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2881"/>
        <w:tblW w:w="3492" w:type="pct"/>
        <w:tblBorders>
          <w:left w:val="single" w:sz="12" w:space="0" w:color="4F81BD" w:themeColor="accent1"/>
        </w:tblBorders>
        <w:tblCellMar>
          <w:left w:w="144" w:type="dxa"/>
          <w:right w:w="115" w:type="dxa"/>
        </w:tblCellMar>
        <w:tblLook w:val="04A0" w:firstRow="1" w:lastRow="0" w:firstColumn="1" w:lastColumn="0" w:noHBand="0" w:noVBand="1"/>
      </w:tblPr>
      <w:tblGrid>
        <w:gridCol w:w="6721"/>
      </w:tblGrid>
      <w:tr w:rsidR="00F10319" w:rsidRPr="00620E80" w14:paraId="341E0886" w14:textId="77777777" w:rsidTr="00322322">
        <w:trPr>
          <w:trHeight w:val="317"/>
        </w:trPr>
        <w:sdt>
          <w:sdtPr>
            <w:rPr>
              <w:rFonts w:ascii="Arial" w:hAnsi="Arial" w:cs="Arial"/>
              <w:color w:val="365F91" w:themeColor="accent1" w:themeShade="BF"/>
              <w:sz w:val="24"/>
              <w:szCs w:val="24"/>
            </w:rPr>
            <w:alias w:val="Société"/>
            <w:id w:val="522215403"/>
            <w:placeholder>
              <w:docPart w:val="73F59EB9CCF84F8AAC3A834DC83DB1D4"/>
            </w:placeholder>
            <w:dataBinding w:prefixMappings="xmlns:ns0='http://schemas.openxmlformats.org/officeDocument/2006/extended-properties'" w:xpath="/ns0:Properties[1]/ns0:Company[1]" w:storeItemID="{6668398D-A668-4E3E-A5EB-62B293D839F1}"/>
            <w:text/>
          </w:sdtPr>
          <w:sdtEndPr/>
          <w:sdtContent>
            <w:tc>
              <w:tcPr>
                <w:tcW w:w="6721" w:type="dxa"/>
                <w:tcMar>
                  <w:top w:w="216" w:type="dxa"/>
                  <w:left w:w="115" w:type="dxa"/>
                  <w:bottom w:w="216" w:type="dxa"/>
                  <w:right w:w="115" w:type="dxa"/>
                </w:tcMar>
              </w:tcPr>
              <w:p w14:paraId="0F5467C7" w14:textId="597B407D" w:rsidR="00F10319" w:rsidRPr="009B071E" w:rsidRDefault="00521B04" w:rsidP="007B4429">
                <w:pPr>
                  <w:pStyle w:val="Sansinterligne"/>
                  <w:rPr>
                    <w:rFonts w:ascii="Arial" w:hAnsi="Arial" w:cs="Arial"/>
                    <w:color w:val="365F91" w:themeColor="accent1" w:themeShade="BF"/>
                    <w:sz w:val="24"/>
                  </w:rPr>
                </w:pPr>
                <w:r w:rsidRPr="009B071E">
                  <w:rPr>
                    <w:rFonts w:ascii="Arial" w:hAnsi="Arial" w:cs="Arial"/>
                    <w:color w:val="365F91" w:themeColor="accent1" w:themeShade="BF"/>
                    <w:sz w:val="24"/>
                    <w:szCs w:val="24"/>
                  </w:rPr>
                  <w:t>POINT 8 DE L’ORDRE DU JOUR PROVISOIRE</w:t>
                </w:r>
              </w:p>
            </w:tc>
          </w:sdtContent>
        </w:sdt>
      </w:tr>
      <w:tr w:rsidR="00322322" w:rsidRPr="00620E80" w14:paraId="654427E3" w14:textId="77777777" w:rsidTr="00322322">
        <w:trPr>
          <w:trHeight w:val="913"/>
        </w:trPr>
        <w:tc>
          <w:tcPr>
            <w:tcW w:w="6721" w:type="dxa"/>
          </w:tcPr>
          <w:sdt>
            <w:sdtPr>
              <w:rPr>
                <w:rFonts w:ascii="Arial" w:eastAsiaTheme="majorEastAsia" w:hAnsi="Arial" w:cs="Arial"/>
                <w:b/>
                <w:bCs/>
                <w:color w:val="4472C4"/>
                <w:sz w:val="40"/>
                <w:szCs w:val="40"/>
              </w:rPr>
              <w:alias w:val="Titre"/>
              <w:id w:val="433558757"/>
              <w:placeholder>
                <w:docPart w:val="9EFBCA44EB7B4316BAF795FA701CC017"/>
              </w:placeholder>
              <w:dataBinding w:prefixMappings="xmlns:ns0='http://schemas.openxmlformats.org/package/2006/metadata/core-properties' xmlns:ns1='http://purl.org/dc/elements/1.1/'" w:xpath="/ns0:coreProperties[1]/ns1:title[1]" w:storeItemID="{6C3C8BC8-F283-45AE-878A-BAB7291924A1}"/>
              <w:text/>
            </w:sdtPr>
            <w:sdtEndPr/>
            <w:sdtContent>
              <w:p w14:paraId="7F39BE3D" w14:textId="06D8E2A6" w:rsidR="00322322" w:rsidRPr="009B071E" w:rsidRDefault="00BD52B7" w:rsidP="00322322">
                <w:pPr>
                  <w:pStyle w:val="Sansinterligne"/>
                  <w:spacing w:line="216" w:lineRule="auto"/>
                  <w:rPr>
                    <w:rFonts w:ascii="Arial" w:eastAsiaTheme="majorEastAsia" w:hAnsi="Arial" w:cs="Arial"/>
                    <w:b/>
                    <w:bCs/>
                    <w:color w:val="4F81BD" w:themeColor="accent1"/>
                    <w:sz w:val="40"/>
                    <w:szCs w:val="40"/>
                  </w:rPr>
                </w:pPr>
                <w:r w:rsidRPr="009B071E">
                  <w:rPr>
                    <w:rFonts w:ascii="Arial" w:eastAsiaTheme="majorEastAsia" w:hAnsi="Arial" w:cs="Arial"/>
                    <w:b/>
                    <w:bCs/>
                    <w:color w:val="4472C4"/>
                    <w:sz w:val="40"/>
                    <w:szCs w:val="40"/>
                  </w:rPr>
                  <w:t>Rapport de l</w:t>
                </w:r>
                <w:r w:rsidR="00521B04" w:rsidRPr="009B071E">
                  <w:rPr>
                    <w:rFonts w:ascii="Arial" w:eastAsiaTheme="majorEastAsia" w:hAnsi="Arial" w:cs="Arial"/>
                    <w:b/>
                    <w:bCs/>
                    <w:color w:val="4472C4"/>
                    <w:sz w:val="40"/>
                    <w:szCs w:val="40"/>
                  </w:rPr>
                  <w:t>’</w:t>
                </w:r>
                <w:r w:rsidRPr="009B071E">
                  <w:rPr>
                    <w:rFonts w:ascii="Arial" w:eastAsiaTheme="majorEastAsia" w:hAnsi="Arial" w:cs="Arial"/>
                    <w:b/>
                    <w:bCs/>
                    <w:color w:val="4472C4"/>
                    <w:sz w:val="40"/>
                    <w:szCs w:val="40"/>
                  </w:rPr>
                  <w:t>Organe d</w:t>
                </w:r>
                <w:r w:rsidR="00521B04" w:rsidRPr="009B071E">
                  <w:rPr>
                    <w:rFonts w:ascii="Arial" w:eastAsiaTheme="majorEastAsia" w:hAnsi="Arial" w:cs="Arial"/>
                    <w:b/>
                    <w:bCs/>
                    <w:color w:val="4472C4"/>
                    <w:sz w:val="40"/>
                    <w:szCs w:val="40"/>
                  </w:rPr>
                  <w:t>’</w:t>
                </w:r>
                <w:r w:rsidRPr="009B071E">
                  <w:rPr>
                    <w:rFonts w:ascii="Arial" w:eastAsiaTheme="majorEastAsia" w:hAnsi="Arial" w:cs="Arial"/>
                    <w:b/>
                    <w:bCs/>
                    <w:color w:val="4472C4"/>
                    <w:sz w:val="40"/>
                    <w:szCs w:val="40"/>
                  </w:rPr>
                  <w:t>évaluation sur ses travaux en 2023</w:t>
                </w:r>
              </w:p>
            </w:sdtContent>
          </w:sdt>
        </w:tc>
      </w:tr>
      <w:tr w:rsidR="00F10319" w:rsidRPr="00620E80" w14:paraId="60F5923E" w14:textId="77777777" w:rsidTr="00322322">
        <w:trPr>
          <w:trHeight w:val="1349"/>
        </w:trPr>
        <w:sdt>
          <w:sdtPr>
            <w:rPr>
              <w:rFonts w:ascii="Arial" w:hAnsi="Arial" w:cs="Arial"/>
              <w:color w:val="365F91" w:themeColor="accent1" w:themeShade="BF"/>
              <w:sz w:val="24"/>
              <w:szCs w:val="24"/>
            </w:rPr>
            <w:alias w:val="Sous-titre"/>
            <w:id w:val="1996529465"/>
            <w:placeholder>
              <w:docPart w:val="E75D4E981FC047B89A2A45945770EBD7"/>
            </w:placeholder>
            <w:dataBinding w:prefixMappings="xmlns:ns0='http://schemas.openxmlformats.org/package/2006/metadata/core-properties' xmlns:ns1='http://purl.org/dc/elements/1.1/'" w:xpath="/ns0:coreProperties[1]/ns1:subject[1]" w:storeItemID="{6C3C8BC8-F283-45AE-878A-BAB7291924A1}"/>
            <w:text/>
          </w:sdtPr>
          <w:sdtEndPr/>
          <w:sdtContent>
            <w:tc>
              <w:tcPr>
                <w:tcW w:w="6721" w:type="dxa"/>
                <w:tcMar>
                  <w:top w:w="216" w:type="dxa"/>
                  <w:left w:w="115" w:type="dxa"/>
                  <w:bottom w:w="216" w:type="dxa"/>
                  <w:right w:w="115" w:type="dxa"/>
                </w:tcMar>
              </w:tcPr>
              <w:p w14:paraId="02BB27E1" w14:textId="15C1084D" w:rsidR="00F10319" w:rsidRPr="009B071E" w:rsidRDefault="002E691A" w:rsidP="00BD52B7">
                <w:pPr>
                  <w:pStyle w:val="Sansinterligne"/>
                  <w:rPr>
                    <w:rFonts w:ascii="Arial" w:hAnsi="Arial" w:cs="Arial"/>
                    <w:color w:val="365F91" w:themeColor="accent1" w:themeShade="BF"/>
                    <w:sz w:val="24"/>
                    <w:szCs w:val="24"/>
                  </w:rPr>
                </w:pPr>
                <w:r w:rsidRPr="009B071E">
                  <w:rPr>
                    <w:rFonts w:ascii="Arial" w:hAnsi="Arial" w:cs="Arial"/>
                    <w:color w:val="365F91" w:themeColor="accent1" w:themeShade="BF"/>
                    <w:sz w:val="24"/>
                    <w:szCs w:val="24"/>
                  </w:rPr>
                  <w:t>Dix-huitième session, Comité intergouvernemental de sauvegarde du patrimoine culturel immatériel (Kasane, République du Botswana – du 4 au 9 décembre 2023)</w:t>
                </w:r>
              </w:p>
            </w:tc>
          </w:sdtContent>
        </w:sdt>
      </w:tr>
    </w:tbl>
    <w:p w14:paraId="60BB389F" w14:textId="2AC040F4" w:rsidR="00F10319" w:rsidRPr="009B071E" w:rsidRDefault="00F10319">
      <w:pPr>
        <w:rPr>
          <w:rFonts w:eastAsia="SimSun" w:cs="Arial"/>
          <w:b/>
          <w:sz w:val="22"/>
          <w:szCs w:val="22"/>
          <w:lang w:val="fr-FR"/>
        </w:rPr>
      </w:pPr>
    </w:p>
    <w:tbl>
      <w:tblPr>
        <w:tblpPr w:leftFromText="187" w:rightFromText="187" w:vertAnchor="page" w:horzAnchor="margin" w:tblpXSpec="center" w:tblpY="11041"/>
        <w:tblW w:w="3857" w:type="pct"/>
        <w:tblLook w:val="04A0" w:firstRow="1" w:lastRow="0" w:firstColumn="1" w:lastColumn="0" w:noHBand="0" w:noVBand="1"/>
      </w:tblPr>
      <w:tblGrid>
        <w:gridCol w:w="7399"/>
      </w:tblGrid>
      <w:tr w:rsidR="00F10319" w:rsidRPr="009B071E" w14:paraId="2E45583C" w14:textId="77777777" w:rsidTr="00973E8F">
        <w:trPr>
          <w:trHeight w:val="3879"/>
        </w:trPr>
        <w:tc>
          <w:tcPr>
            <w:tcW w:w="6963"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09780BC0" w14:textId="77777777" w:rsidR="00F10319" w:rsidRPr="009B071E" w:rsidRDefault="00F10319" w:rsidP="007B4429">
            <w:pPr>
              <w:spacing w:after="160" w:line="259" w:lineRule="auto"/>
              <w:rPr>
                <w:rFonts w:eastAsia="SimSun" w:cs="Arial"/>
                <w:b/>
                <w:bCs/>
                <w:color w:val="4F81BD" w:themeColor="accent1"/>
                <w:sz w:val="22"/>
                <w:szCs w:val="22"/>
                <w:lang w:val="fr-FR"/>
              </w:rPr>
            </w:pPr>
            <w:r w:rsidRPr="009B071E">
              <w:rPr>
                <w:rFonts w:eastAsia="SimSun" w:cs="Arial"/>
                <w:b/>
                <w:bCs/>
                <w:color w:val="4F81BD" w:themeColor="accent1"/>
                <w:sz w:val="22"/>
                <w:szCs w:val="22"/>
                <w:lang w:val="fr-FR"/>
              </w:rPr>
              <w:t>Résumé</w:t>
            </w:r>
          </w:p>
          <w:p w14:paraId="640E6CAC" w14:textId="5D01B743" w:rsidR="003648AE" w:rsidRPr="009B071E" w:rsidRDefault="00322322" w:rsidP="00BD52B7">
            <w:pPr>
              <w:spacing w:after="160" w:line="259" w:lineRule="auto"/>
              <w:jc w:val="both"/>
              <w:rPr>
                <w:rFonts w:eastAsia="SimSun" w:cs="Arial"/>
                <w:bCs/>
                <w:color w:val="4F81BD" w:themeColor="accent1"/>
                <w:sz w:val="22"/>
                <w:szCs w:val="22"/>
                <w:lang w:val="fr-FR"/>
              </w:rPr>
            </w:pPr>
            <w:r w:rsidRPr="009B071E">
              <w:rPr>
                <w:rFonts w:eastAsia="SimSun" w:cs="Arial"/>
                <w:color w:val="4F81BD" w:themeColor="accent1"/>
                <w:sz w:val="22"/>
                <w:szCs w:val="22"/>
                <w:lang w:val="fr-FR"/>
              </w:rPr>
              <w:t>Lors de sa dix-septième session, le Comité a</w:t>
            </w:r>
            <w:r w:rsidR="002F0FD0" w:rsidRPr="009B071E">
              <w:rPr>
                <w:lang w:val="fr-FR"/>
              </w:rPr>
              <w:t xml:space="preserve"> </w:t>
            </w:r>
            <w:r w:rsidR="002F0FD0" w:rsidRPr="009B071E">
              <w:rPr>
                <w:rFonts w:eastAsia="SimSun" w:cs="Arial"/>
                <w:color w:val="4F81BD" w:themeColor="accent1"/>
                <w:sz w:val="22"/>
                <w:szCs w:val="22"/>
                <w:lang w:val="fr-FR"/>
              </w:rPr>
              <w:t xml:space="preserve">établi </w:t>
            </w:r>
            <w:r w:rsidRPr="009B071E">
              <w:rPr>
                <w:rFonts w:eastAsia="SimSun" w:cs="Arial"/>
                <w:color w:val="4F81BD" w:themeColor="accent1"/>
                <w:sz w:val="22"/>
                <w:szCs w:val="22"/>
                <w:lang w:val="fr-FR"/>
              </w:rPr>
              <w:t>un organe consultatif chargé de l</w:t>
            </w:r>
            <w:r w:rsidR="00521B04" w:rsidRPr="009B071E">
              <w:rPr>
                <w:rFonts w:eastAsia="SimSun" w:cs="Arial"/>
                <w:color w:val="4F81BD" w:themeColor="accent1"/>
                <w:sz w:val="22"/>
                <w:szCs w:val="22"/>
                <w:lang w:val="fr-FR"/>
              </w:rPr>
              <w:t>’</w:t>
            </w:r>
            <w:r w:rsidRPr="009B071E">
              <w:rPr>
                <w:rFonts w:eastAsia="SimSun" w:cs="Arial"/>
                <w:color w:val="4F81BD" w:themeColor="accent1"/>
                <w:sz w:val="22"/>
                <w:szCs w:val="22"/>
                <w:lang w:val="fr-FR"/>
              </w:rPr>
              <w:t>évaluation en 2023 des candidatures à la Liste de sauvegarde urgente et à la Liste représentative du patrimoine culturel immatériel de l</w:t>
            </w:r>
            <w:r w:rsidR="00521B04" w:rsidRPr="009B071E">
              <w:rPr>
                <w:rFonts w:eastAsia="SimSun" w:cs="Arial"/>
                <w:color w:val="4F81BD" w:themeColor="accent1"/>
                <w:sz w:val="22"/>
                <w:szCs w:val="22"/>
                <w:lang w:val="fr-FR"/>
              </w:rPr>
              <w:t>’</w:t>
            </w:r>
            <w:r w:rsidRPr="009B071E">
              <w:rPr>
                <w:rFonts w:eastAsia="SimSun" w:cs="Arial"/>
                <w:color w:val="4F81BD" w:themeColor="accent1"/>
                <w:sz w:val="22"/>
                <w:szCs w:val="22"/>
                <w:lang w:val="fr-FR"/>
              </w:rPr>
              <w:t xml:space="preserve">humanité, des propositions </w:t>
            </w:r>
            <w:r w:rsidR="002F0FD0" w:rsidRPr="009B071E">
              <w:rPr>
                <w:rFonts w:eastAsia="SimSun" w:cs="Arial"/>
                <w:color w:val="4F81BD" w:themeColor="accent1"/>
                <w:sz w:val="22"/>
                <w:szCs w:val="22"/>
                <w:lang w:val="fr-FR"/>
              </w:rPr>
              <w:t>pour le</w:t>
            </w:r>
            <w:r w:rsidRPr="009B071E">
              <w:rPr>
                <w:rFonts w:eastAsia="SimSun" w:cs="Arial"/>
                <w:color w:val="4F81BD" w:themeColor="accent1"/>
                <w:sz w:val="22"/>
                <w:szCs w:val="22"/>
                <w:lang w:val="fr-FR"/>
              </w:rPr>
              <w:t xml:space="preserve"> Registre de bonnes pratiques de sauvegarde et des demandes d</w:t>
            </w:r>
            <w:r w:rsidR="00521B04" w:rsidRPr="009B071E">
              <w:rPr>
                <w:rFonts w:eastAsia="SimSun" w:cs="Arial"/>
                <w:color w:val="4F81BD" w:themeColor="accent1"/>
                <w:sz w:val="22"/>
                <w:szCs w:val="22"/>
                <w:lang w:val="fr-FR"/>
              </w:rPr>
              <w:t>’</w:t>
            </w:r>
            <w:r w:rsidRPr="009B071E">
              <w:rPr>
                <w:rFonts w:eastAsia="SimSun" w:cs="Arial"/>
                <w:color w:val="4F81BD" w:themeColor="accent1"/>
                <w:sz w:val="22"/>
                <w:szCs w:val="22"/>
                <w:lang w:val="fr-FR"/>
              </w:rPr>
              <w:t>assistance internationale supérieures à 100 000 dollars</w:t>
            </w:r>
            <w:r w:rsidR="002F0FD0" w:rsidRPr="009B071E">
              <w:rPr>
                <w:rFonts w:eastAsia="SimSun" w:cs="Arial"/>
                <w:color w:val="4F81BD" w:themeColor="accent1"/>
                <w:sz w:val="22"/>
                <w:szCs w:val="22"/>
                <w:lang w:val="fr-FR"/>
              </w:rPr>
              <w:t xml:space="preserve"> des États-Unis </w:t>
            </w:r>
            <w:r w:rsidRPr="009B071E">
              <w:rPr>
                <w:rFonts w:eastAsia="SimSun" w:cs="Arial"/>
                <w:color w:val="4F81BD" w:themeColor="accent1"/>
                <w:sz w:val="22"/>
                <w:szCs w:val="22"/>
                <w:lang w:val="fr-FR"/>
              </w:rPr>
              <w:t xml:space="preserve">(Décision </w:t>
            </w:r>
            <w:hyperlink r:id="rId8" w:history="1">
              <w:r w:rsidRPr="009B071E">
                <w:rPr>
                  <w:rStyle w:val="Lienhypertexte"/>
                  <w:rFonts w:eastAsia="SimSun" w:cs="Arial"/>
                  <w:sz w:val="22"/>
                  <w:szCs w:val="22"/>
                  <w:lang w:val="fr-FR"/>
                </w:rPr>
                <w:t>17.COM 14</w:t>
              </w:r>
            </w:hyperlink>
            <w:r w:rsidRPr="009B071E">
              <w:rPr>
                <w:rFonts w:eastAsia="SimSun" w:cs="Arial"/>
                <w:color w:val="4F81BD" w:themeColor="accent1"/>
                <w:sz w:val="22"/>
                <w:szCs w:val="22"/>
                <w:lang w:val="fr-FR"/>
              </w:rPr>
              <w:t xml:space="preserve">). </w:t>
            </w:r>
            <w:r w:rsidR="00B10C29" w:rsidRPr="009B071E">
              <w:rPr>
                <w:rFonts w:eastAsia="SimSun" w:cs="Arial"/>
                <w:color w:val="4F81BD" w:themeColor="accent1"/>
                <w:sz w:val="22"/>
                <w:szCs w:val="22"/>
                <w:lang w:val="fr-FR"/>
              </w:rPr>
              <w:t>Ce</w:t>
            </w:r>
            <w:r w:rsidR="002F0FD0" w:rsidRPr="009B071E">
              <w:rPr>
                <w:rFonts w:eastAsia="SimSun" w:cs="Arial"/>
                <w:color w:val="4F81BD" w:themeColor="accent1"/>
                <w:sz w:val="22"/>
                <w:szCs w:val="22"/>
                <w:lang w:val="fr-FR"/>
              </w:rPr>
              <w:t xml:space="preserve"> document </w:t>
            </w:r>
            <w:r w:rsidRPr="009B071E">
              <w:rPr>
                <w:rFonts w:eastAsia="SimSun" w:cs="Arial"/>
                <w:color w:val="4F81BD" w:themeColor="accent1"/>
                <w:sz w:val="22"/>
                <w:szCs w:val="22"/>
                <w:lang w:val="fr-FR"/>
              </w:rPr>
              <w:t xml:space="preserve">constitue le rapport </w:t>
            </w:r>
            <w:r w:rsidR="00CD0598" w:rsidRPr="009B071E">
              <w:rPr>
                <w:rFonts w:eastAsia="SimSun" w:cs="Arial"/>
                <w:color w:val="4F81BD" w:themeColor="accent1"/>
                <w:sz w:val="22"/>
                <w:szCs w:val="22"/>
                <w:lang w:val="fr-FR"/>
              </w:rPr>
              <w:t xml:space="preserve">global </w:t>
            </w:r>
            <w:r w:rsidRPr="009B071E">
              <w:rPr>
                <w:rFonts w:eastAsia="SimSun" w:cs="Arial"/>
                <w:color w:val="4F81BD" w:themeColor="accent1"/>
                <w:sz w:val="22"/>
                <w:szCs w:val="22"/>
                <w:lang w:val="fr-FR"/>
              </w:rPr>
              <w:t>de l</w:t>
            </w:r>
            <w:r w:rsidR="00521B04" w:rsidRPr="009B071E">
              <w:rPr>
                <w:rFonts w:eastAsia="SimSun" w:cs="Arial"/>
                <w:color w:val="4F81BD" w:themeColor="accent1"/>
                <w:sz w:val="22"/>
                <w:szCs w:val="22"/>
                <w:lang w:val="fr-FR"/>
              </w:rPr>
              <w:t>’</w:t>
            </w:r>
            <w:r w:rsidRPr="009B071E">
              <w:rPr>
                <w:rFonts w:eastAsia="SimSun" w:cs="Arial"/>
                <w:color w:val="4F81BD" w:themeColor="accent1"/>
                <w:sz w:val="22"/>
                <w:szCs w:val="22"/>
                <w:lang w:val="fr-FR"/>
              </w:rPr>
              <w:t>Organe d</w:t>
            </w:r>
            <w:r w:rsidR="00521B04" w:rsidRPr="009B071E">
              <w:rPr>
                <w:rFonts w:eastAsia="SimSun" w:cs="Arial"/>
                <w:color w:val="4F81BD" w:themeColor="accent1"/>
                <w:sz w:val="22"/>
                <w:szCs w:val="22"/>
                <w:lang w:val="fr-FR"/>
              </w:rPr>
              <w:t>’</w:t>
            </w:r>
            <w:r w:rsidRPr="009B071E">
              <w:rPr>
                <w:rFonts w:eastAsia="SimSun" w:cs="Arial"/>
                <w:color w:val="4F81BD" w:themeColor="accent1"/>
                <w:sz w:val="22"/>
                <w:szCs w:val="22"/>
                <w:lang w:val="fr-FR"/>
              </w:rPr>
              <w:t>évaluation, qui comprend un</w:t>
            </w:r>
            <w:r w:rsidR="00B10C29" w:rsidRPr="009B071E">
              <w:rPr>
                <w:rFonts w:eastAsia="SimSun" w:cs="Arial"/>
                <w:color w:val="4F81BD" w:themeColor="accent1"/>
                <w:sz w:val="22"/>
                <w:szCs w:val="22"/>
                <w:lang w:val="fr-FR"/>
              </w:rPr>
              <w:t>e</w:t>
            </w:r>
            <w:r w:rsidRPr="009B071E">
              <w:rPr>
                <w:rFonts w:eastAsia="SimSun" w:cs="Arial"/>
                <w:color w:val="4F81BD" w:themeColor="accent1"/>
                <w:sz w:val="22"/>
                <w:szCs w:val="22"/>
                <w:lang w:val="fr-FR"/>
              </w:rPr>
              <w:t xml:space="preserve"> </w:t>
            </w:r>
            <w:r w:rsidR="002F0FD0" w:rsidRPr="009B071E">
              <w:rPr>
                <w:rFonts w:eastAsia="SimSun" w:cs="Arial"/>
                <w:color w:val="4F81BD" w:themeColor="accent1"/>
                <w:sz w:val="22"/>
                <w:szCs w:val="22"/>
                <w:lang w:val="fr-FR"/>
              </w:rPr>
              <w:t>vue d’ensemble</w:t>
            </w:r>
            <w:r w:rsidRPr="009B071E">
              <w:rPr>
                <w:rFonts w:eastAsia="SimSun" w:cs="Arial"/>
                <w:color w:val="4F81BD" w:themeColor="accent1"/>
                <w:sz w:val="22"/>
                <w:szCs w:val="22"/>
                <w:lang w:val="fr-FR"/>
              </w:rPr>
              <w:t xml:space="preserve"> du cycle 2023 (partie A), des observations et des recommandations sur les méthodes de travail, des questions transversales</w:t>
            </w:r>
            <w:r w:rsidR="00B10C29" w:rsidRPr="009B071E">
              <w:rPr>
                <w:rFonts w:eastAsia="SimSun" w:cs="Arial"/>
                <w:color w:val="4F81BD" w:themeColor="accent1"/>
                <w:sz w:val="22"/>
                <w:szCs w:val="22"/>
                <w:lang w:val="fr-FR"/>
              </w:rPr>
              <w:t xml:space="preserve"> et</w:t>
            </w:r>
            <w:r w:rsidRPr="009B071E">
              <w:rPr>
                <w:rFonts w:eastAsia="SimSun" w:cs="Arial"/>
                <w:color w:val="4F81BD" w:themeColor="accent1"/>
                <w:sz w:val="22"/>
                <w:szCs w:val="22"/>
                <w:lang w:val="fr-FR"/>
              </w:rPr>
              <w:t xml:space="preserve"> de bons exemples (partie B), un aperçu des questions récurrentes (partie C) et un projet de décision pour examen </w:t>
            </w:r>
            <w:r w:rsidR="00C548B6" w:rsidRPr="009B071E">
              <w:rPr>
                <w:rFonts w:eastAsia="SimSun" w:cs="Arial"/>
                <w:color w:val="4F81BD" w:themeColor="accent1"/>
                <w:sz w:val="22"/>
                <w:szCs w:val="22"/>
                <w:lang w:val="fr-FR"/>
              </w:rPr>
              <w:t>par le</w:t>
            </w:r>
            <w:r w:rsidRPr="009B071E">
              <w:rPr>
                <w:rFonts w:eastAsia="SimSun" w:cs="Arial"/>
                <w:color w:val="4F81BD" w:themeColor="accent1"/>
                <w:sz w:val="22"/>
                <w:szCs w:val="22"/>
                <w:lang w:val="fr-FR"/>
              </w:rPr>
              <w:t xml:space="preserve"> Comité.</w:t>
            </w:r>
          </w:p>
          <w:p w14:paraId="63A78FD2" w14:textId="25E07F1A" w:rsidR="00F10319" w:rsidRPr="009B071E" w:rsidRDefault="00F10319" w:rsidP="007B4429">
            <w:pPr>
              <w:pStyle w:val="Sansinterligne"/>
              <w:rPr>
                <w:rFonts w:ascii="Arial" w:hAnsi="Arial" w:cs="Arial"/>
                <w:color w:val="4F81BD" w:themeColor="accent1"/>
                <w:sz w:val="28"/>
                <w:szCs w:val="28"/>
              </w:rPr>
            </w:pPr>
            <w:r w:rsidRPr="009B071E">
              <w:rPr>
                <w:rFonts w:ascii="Arial" w:hAnsi="Arial" w:cs="Arial"/>
                <w:b/>
                <w:bCs/>
                <w:color w:val="4F81BD" w:themeColor="accent1"/>
              </w:rPr>
              <w:t xml:space="preserve">Décision requise : </w:t>
            </w:r>
            <w:r w:rsidRPr="009B071E">
              <w:rPr>
                <w:rFonts w:ascii="Arial" w:hAnsi="Arial" w:cs="Arial"/>
                <w:color w:val="4F81BD" w:themeColor="accent1"/>
              </w:rPr>
              <w:t xml:space="preserve">paragraphe </w:t>
            </w:r>
            <w:r w:rsidR="002E691A" w:rsidRPr="009B071E">
              <w:rPr>
                <w:rFonts w:ascii="Arial" w:hAnsi="Arial" w:cs="Arial"/>
                <w:color w:val="4F81BD" w:themeColor="accent1"/>
              </w:rPr>
              <w:t>3</w:t>
            </w:r>
            <w:r w:rsidR="000A2F85">
              <w:rPr>
                <w:rFonts w:ascii="Arial" w:hAnsi="Arial" w:cs="Arial"/>
                <w:color w:val="4F81BD" w:themeColor="accent1"/>
              </w:rPr>
              <w:t>8</w:t>
            </w:r>
          </w:p>
        </w:tc>
      </w:tr>
    </w:tbl>
    <w:p w14:paraId="24114782" w14:textId="77777777" w:rsidR="00F10319" w:rsidRPr="009B071E" w:rsidRDefault="00F10319">
      <w:pPr>
        <w:rPr>
          <w:rFonts w:eastAsia="SimSun" w:cs="Arial"/>
          <w:b/>
          <w:sz w:val="22"/>
          <w:szCs w:val="22"/>
          <w:lang w:val="fr-FR"/>
        </w:rPr>
      </w:pPr>
      <w:r w:rsidRPr="009B071E">
        <w:rPr>
          <w:rFonts w:cs="Arial"/>
          <w:b/>
          <w:bCs/>
          <w:lang w:val="fr-FR"/>
        </w:rPr>
        <w:br w:type="page"/>
      </w:r>
    </w:p>
    <w:p w14:paraId="3BF18302" w14:textId="0B1757DA" w:rsidR="00322322" w:rsidRPr="009B071E" w:rsidRDefault="00322322" w:rsidP="00A807F5">
      <w:pPr>
        <w:pStyle w:val="COMPara"/>
        <w:numPr>
          <w:ilvl w:val="0"/>
          <w:numId w:val="7"/>
        </w:numPr>
        <w:ind w:left="567" w:hanging="567"/>
        <w:jc w:val="both"/>
        <w:rPr>
          <w:rFonts w:eastAsia="SimSun"/>
          <w:snapToGrid/>
          <w:color w:val="000000" w:themeColor="text1"/>
          <w:lang w:val="fr-FR"/>
        </w:rPr>
      </w:pPr>
      <w:r w:rsidRPr="009B071E">
        <w:rPr>
          <w:rFonts w:eastAsia="SimSun"/>
          <w:snapToGrid/>
          <w:color w:val="000000" w:themeColor="text1"/>
          <w:lang w:val="fr-FR"/>
        </w:rPr>
        <w:lastRenderedPageBreak/>
        <w:t xml:space="preserve">Conformément </w:t>
      </w:r>
      <w:r w:rsidRPr="009B071E">
        <w:rPr>
          <w:rFonts w:eastAsia="SimSun"/>
          <w:color w:val="000000" w:themeColor="text1"/>
          <w:lang w:val="fr-FR"/>
        </w:rPr>
        <w:t>au paragraphe 27 des Directives opérationnelles, l</w:t>
      </w:r>
      <w:r w:rsidR="00521B04" w:rsidRPr="009B071E">
        <w:rPr>
          <w:rFonts w:eastAsia="SimSun"/>
          <w:color w:val="000000" w:themeColor="text1"/>
          <w:lang w:val="fr-FR"/>
        </w:rPr>
        <w:t>’</w:t>
      </w:r>
      <w:r w:rsidRPr="009B071E">
        <w:rPr>
          <w:rFonts w:eastAsia="SimSun"/>
          <w:color w:val="000000" w:themeColor="text1"/>
          <w:lang w:val="fr-FR"/>
        </w:rPr>
        <w:t>évaluation des candidatures pour inscription sur la Liste de sauvegarde urgente et la Liste représentative (y compris les demandes de transfert d</w:t>
      </w:r>
      <w:r w:rsidR="00521B04" w:rsidRPr="009B071E">
        <w:rPr>
          <w:rFonts w:eastAsia="SimSun"/>
          <w:color w:val="000000" w:themeColor="text1"/>
          <w:lang w:val="fr-FR"/>
        </w:rPr>
        <w:t>’</w:t>
      </w:r>
      <w:r w:rsidRPr="009B071E">
        <w:rPr>
          <w:rFonts w:eastAsia="SimSun"/>
          <w:color w:val="000000" w:themeColor="text1"/>
          <w:lang w:val="fr-FR"/>
        </w:rPr>
        <w:t xml:space="preserve">une Liste à </w:t>
      </w:r>
      <w:r w:rsidR="00F61C6C" w:rsidRPr="009B071E">
        <w:rPr>
          <w:rFonts w:eastAsia="SimSun"/>
          <w:color w:val="000000" w:themeColor="text1"/>
          <w:lang w:val="fr-FR"/>
        </w:rPr>
        <w:t>une autre, l’extension ou la réduction</w:t>
      </w:r>
      <w:r w:rsidRPr="009B071E">
        <w:rPr>
          <w:rFonts w:eastAsia="SimSun"/>
          <w:color w:val="000000" w:themeColor="text1"/>
          <w:lang w:val="fr-FR"/>
        </w:rPr>
        <w:t xml:space="preserve"> d</w:t>
      </w:r>
      <w:r w:rsidR="00521B04" w:rsidRPr="009B071E">
        <w:rPr>
          <w:rFonts w:eastAsia="SimSun"/>
          <w:color w:val="000000" w:themeColor="text1"/>
          <w:lang w:val="fr-FR"/>
        </w:rPr>
        <w:t>’</w:t>
      </w:r>
      <w:r w:rsidRPr="009B071E">
        <w:rPr>
          <w:rFonts w:eastAsia="SimSun"/>
          <w:color w:val="000000" w:themeColor="text1"/>
          <w:lang w:val="fr-FR"/>
        </w:rPr>
        <w:t xml:space="preserve">un élément déjà inscrit), </w:t>
      </w:r>
      <w:r w:rsidR="00275A94" w:rsidRPr="009B071E">
        <w:rPr>
          <w:rFonts w:eastAsia="SimSun"/>
          <w:color w:val="000000" w:themeColor="text1"/>
          <w:lang w:val="fr-FR"/>
        </w:rPr>
        <w:t>d</w:t>
      </w:r>
      <w:r w:rsidRPr="009B071E">
        <w:rPr>
          <w:rFonts w:eastAsia="SimSun"/>
          <w:color w:val="000000" w:themeColor="text1"/>
          <w:lang w:val="fr-FR"/>
        </w:rPr>
        <w:t xml:space="preserve">es propositions pour le Registre de bonnes pratiques de sauvegarde, </w:t>
      </w:r>
      <w:r w:rsidR="00275A94" w:rsidRPr="009B071E">
        <w:rPr>
          <w:rFonts w:eastAsia="SimSun"/>
          <w:color w:val="000000" w:themeColor="text1"/>
          <w:lang w:val="fr-FR"/>
        </w:rPr>
        <w:t>d</w:t>
      </w:r>
      <w:r w:rsidRPr="009B071E">
        <w:rPr>
          <w:rFonts w:eastAsia="SimSun"/>
          <w:color w:val="000000" w:themeColor="text1"/>
          <w:lang w:val="fr-FR"/>
        </w:rPr>
        <w:t>es demandes d</w:t>
      </w:r>
      <w:r w:rsidR="00521B04" w:rsidRPr="009B071E">
        <w:rPr>
          <w:rFonts w:eastAsia="SimSun"/>
          <w:color w:val="000000" w:themeColor="text1"/>
          <w:lang w:val="fr-FR"/>
        </w:rPr>
        <w:t>’</w:t>
      </w:r>
      <w:r w:rsidRPr="009B071E">
        <w:rPr>
          <w:rFonts w:eastAsia="SimSun"/>
          <w:color w:val="000000" w:themeColor="text1"/>
          <w:lang w:val="fr-FR"/>
        </w:rPr>
        <w:t xml:space="preserve">assistance internationale supérieures à 100 000 dollars </w:t>
      </w:r>
      <w:r w:rsidR="00592DB7" w:rsidRPr="009B071E">
        <w:rPr>
          <w:rFonts w:eastAsia="SimSun"/>
          <w:color w:val="000000" w:themeColor="text1"/>
          <w:lang w:val="fr-FR"/>
        </w:rPr>
        <w:t>des États-Unis</w:t>
      </w:r>
      <w:r w:rsidRPr="009B071E">
        <w:rPr>
          <w:rStyle w:val="Appelnotedebasdep"/>
          <w:rFonts w:eastAsia="SimSun"/>
          <w:color w:val="000000" w:themeColor="text1"/>
          <w:lang w:val="fr-FR"/>
        </w:rPr>
        <w:footnoteReference w:id="2"/>
      </w:r>
      <w:r w:rsidRPr="009B071E">
        <w:rPr>
          <w:rFonts w:eastAsia="SimSun"/>
          <w:color w:val="000000" w:themeColor="text1"/>
          <w:lang w:val="fr-FR"/>
        </w:rPr>
        <w:t xml:space="preserve"> et </w:t>
      </w:r>
      <w:r w:rsidR="00275A94" w:rsidRPr="009B071E">
        <w:rPr>
          <w:rFonts w:eastAsia="SimSun"/>
          <w:color w:val="000000" w:themeColor="text1"/>
          <w:lang w:val="fr-FR"/>
        </w:rPr>
        <w:t>d</w:t>
      </w:r>
      <w:r w:rsidRPr="009B071E">
        <w:rPr>
          <w:rFonts w:eastAsia="SimSun"/>
          <w:color w:val="000000" w:themeColor="text1"/>
          <w:lang w:val="fr-FR"/>
        </w:rPr>
        <w:t>es demandes d</w:t>
      </w:r>
      <w:r w:rsidR="00521B04" w:rsidRPr="009B071E">
        <w:rPr>
          <w:rFonts w:eastAsia="SimSun"/>
          <w:color w:val="000000" w:themeColor="text1"/>
          <w:lang w:val="fr-FR"/>
        </w:rPr>
        <w:t>’</w:t>
      </w:r>
      <w:r w:rsidRPr="009B071E">
        <w:rPr>
          <w:rFonts w:eastAsia="SimSun"/>
          <w:color w:val="000000" w:themeColor="text1"/>
          <w:lang w:val="fr-FR"/>
        </w:rPr>
        <w:t xml:space="preserve">assistance internationale soumises </w:t>
      </w:r>
      <w:r w:rsidR="00275A94" w:rsidRPr="009B071E">
        <w:rPr>
          <w:rFonts w:eastAsia="SimSun"/>
          <w:color w:val="000000" w:themeColor="text1"/>
          <w:lang w:val="fr-FR"/>
        </w:rPr>
        <w:t>simultanément à des</w:t>
      </w:r>
      <w:r w:rsidRPr="009B071E">
        <w:rPr>
          <w:rFonts w:eastAsia="SimSun"/>
          <w:color w:val="000000" w:themeColor="text1"/>
          <w:lang w:val="fr-FR"/>
        </w:rPr>
        <w:t xml:space="preserve"> candidatures à la Liste de sauvegarde urgente ou dans le cadre d</w:t>
      </w:r>
      <w:r w:rsidR="00521B04" w:rsidRPr="009B071E">
        <w:rPr>
          <w:rFonts w:eastAsia="SimSun"/>
          <w:color w:val="000000" w:themeColor="text1"/>
          <w:lang w:val="fr-FR"/>
        </w:rPr>
        <w:t>’</w:t>
      </w:r>
      <w:r w:rsidRPr="009B071E">
        <w:rPr>
          <w:rFonts w:eastAsia="SimSun"/>
          <w:color w:val="000000" w:themeColor="text1"/>
          <w:lang w:val="fr-FR"/>
        </w:rPr>
        <w:t>une demande de transfert d</w:t>
      </w:r>
      <w:r w:rsidR="00521B04" w:rsidRPr="009B071E">
        <w:rPr>
          <w:rFonts w:eastAsia="SimSun"/>
          <w:color w:val="000000" w:themeColor="text1"/>
          <w:lang w:val="fr-FR"/>
        </w:rPr>
        <w:t>’</w:t>
      </w:r>
      <w:r w:rsidRPr="009B071E">
        <w:rPr>
          <w:rFonts w:eastAsia="SimSun"/>
          <w:color w:val="000000" w:themeColor="text1"/>
          <w:lang w:val="fr-FR"/>
        </w:rPr>
        <w:t xml:space="preserve">un élément de la Liste représentative à la Liste de sauvegarde urgente </w:t>
      </w:r>
      <w:bookmarkStart w:id="0" w:name="_Hlk145076412"/>
      <w:r w:rsidR="00F61C6C" w:rsidRPr="009B071E">
        <w:rPr>
          <w:rFonts w:eastAsia="SimSun"/>
          <w:color w:val="000000" w:themeColor="text1"/>
          <w:lang w:val="fr-FR"/>
        </w:rPr>
        <w:t>est effectuée</w:t>
      </w:r>
      <w:r w:rsidRPr="009B071E">
        <w:rPr>
          <w:rFonts w:eastAsia="SimSun"/>
          <w:color w:val="000000" w:themeColor="text1"/>
          <w:lang w:val="fr-FR"/>
        </w:rPr>
        <w:t xml:space="preserve"> </w:t>
      </w:r>
      <w:bookmarkEnd w:id="0"/>
      <w:r w:rsidRPr="009B071E">
        <w:rPr>
          <w:rFonts w:eastAsia="SimSun"/>
          <w:color w:val="000000" w:themeColor="text1"/>
          <w:lang w:val="fr-FR"/>
        </w:rPr>
        <w:t>par un organe consultatif du Comité</w:t>
      </w:r>
      <w:r w:rsidR="00F61C6C" w:rsidRPr="009B071E">
        <w:rPr>
          <w:rFonts w:eastAsia="SimSun"/>
          <w:color w:val="000000" w:themeColor="text1"/>
          <w:lang w:val="fr-FR"/>
        </w:rPr>
        <w:t>, appelé « Organe d’évaluation » et</w:t>
      </w:r>
      <w:r w:rsidRPr="009B071E">
        <w:rPr>
          <w:rFonts w:eastAsia="SimSun"/>
          <w:color w:val="000000" w:themeColor="text1"/>
          <w:lang w:val="fr-FR"/>
        </w:rPr>
        <w:t xml:space="preserve"> </w:t>
      </w:r>
      <w:bookmarkStart w:id="1" w:name="_Hlk145076386"/>
      <w:r w:rsidRPr="009B071E">
        <w:rPr>
          <w:rFonts w:eastAsia="SimSun"/>
          <w:color w:val="000000" w:themeColor="text1"/>
          <w:lang w:val="fr-FR"/>
        </w:rPr>
        <w:t xml:space="preserve">établi conformément </w:t>
      </w:r>
      <w:bookmarkEnd w:id="1"/>
      <w:r w:rsidRPr="009B071E">
        <w:rPr>
          <w:rFonts w:eastAsia="SimSun"/>
          <w:color w:val="000000" w:themeColor="text1"/>
          <w:lang w:val="fr-FR"/>
        </w:rPr>
        <w:t>à l</w:t>
      </w:r>
      <w:r w:rsidR="00521B04" w:rsidRPr="009B071E">
        <w:rPr>
          <w:rFonts w:eastAsia="SimSun"/>
          <w:color w:val="000000" w:themeColor="text1"/>
          <w:lang w:val="fr-FR"/>
        </w:rPr>
        <w:t>’</w:t>
      </w:r>
      <w:r w:rsidRPr="009B071E">
        <w:rPr>
          <w:rFonts w:eastAsia="SimSun"/>
          <w:color w:val="000000" w:themeColor="text1"/>
          <w:lang w:val="fr-FR"/>
        </w:rPr>
        <w:t>article 8.3 de la Convention, ainsi qu</w:t>
      </w:r>
      <w:r w:rsidR="00521B04" w:rsidRPr="009B071E">
        <w:rPr>
          <w:rFonts w:eastAsia="SimSun"/>
          <w:color w:val="000000" w:themeColor="text1"/>
          <w:lang w:val="fr-FR"/>
        </w:rPr>
        <w:t>’</w:t>
      </w:r>
      <w:r w:rsidRPr="009B071E">
        <w:rPr>
          <w:rFonts w:eastAsia="SimSun"/>
          <w:color w:val="000000" w:themeColor="text1"/>
          <w:lang w:val="fr-FR"/>
        </w:rPr>
        <w:t>à l</w:t>
      </w:r>
      <w:r w:rsidR="00521B04" w:rsidRPr="009B071E">
        <w:rPr>
          <w:rFonts w:eastAsia="SimSun"/>
          <w:color w:val="000000" w:themeColor="text1"/>
          <w:lang w:val="fr-FR"/>
        </w:rPr>
        <w:t>’</w:t>
      </w:r>
      <w:r w:rsidRPr="009B071E">
        <w:rPr>
          <w:rFonts w:eastAsia="SimSun"/>
          <w:color w:val="000000" w:themeColor="text1"/>
          <w:lang w:val="fr-FR"/>
        </w:rPr>
        <w:t>article 20 de son règlement intérieur</w:t>
      </w:r>
      <w:r w:rsidR="00F61C6C" w:rsidRPr="009B071E">
        <w:rPr>
          <w:rFonts w:eastAsia="SimSun"/>
          <w:color w:val="000000" w:themeColor="text1"/>
          <w:lang w:val="fr-FR"/>
        </w:rPr>
        <w:t>.</w:t>
      </w:r>
    </w:p>
    <w:p w14:paraId="3B3BC7FB" w14:textId="0E4402C2" w:rsidR="00322322" w:rsidRPr="009B071E" w:rsidRDefault="00322322" w:rsidP="00A807F5">
      <w:pPr>
        <w:pStyle w:val="COMPara"/>
        <w:numPr>
          <w:ilvl w:val="0"/>
          <w:numId w:val="7"/>
        </w:numPr>
        <w:ind w:left="567" w:hanging="567"/>
        <w:jc w:val="both"/>
        <w:rPr>
          <w:rFonts w:eastAsia="SimSun"/>
          <w:snapToGrid/>
          <w:color w:val="000000" w:themeColor="text1"/>
          <w:lang w:val="fr-FR"/>
        </w:rPr>
      </w:pPr>
      <w:r w:rsidRPr="009B071E">
        <w:rPr>
          <w:rFonts w:eastAsia="SimSun"/>
          <w:snapToGrid/>
          <w:color w:val="000000" w:themeColor="text1"/>
          <w:lang w:val="fr-FR"/>
        </w:rPr>
        <w:t xml:space="preserve">Par sa </w:t>
      </w:r>
      <w:r w:rsidR="00B10C29" w:rsidRPr="009B071E">
        <w:rPr>
          <w:rFonts w:eastAsia="SimSun"/>
          <w:lang w:val="fr-FR"/>
        </w:rPr>
        <w:t>d</w:t>
      </w:r>
      <w:r w:rsidRPr="009B071E">
        <w:rPr>
          <w:rFonts w:eastAsia="SimSun"/>
          <w:lang w:val="fr-FR"/>
        </w:rPr>
        <w:t xml:space="preserve">écision </w:t>
      </w:r>
      <w:hyperlink r:id="rId9" w:history="1">
        <w:r w:rsidRPr="009B071E">
          <w:rPr>
            <w:rStyle w:val="Lienhypertexte"/>
            <w:rFonts w:eastAsia="SimSun"/>
            <w:lang w:val="fr-FR"/>
          </w:rPr>
          <w:t>17.COM 14</w:t>
        </w:r>
      </w:hyperlink>
      <w:r w:rsidR="00FF0A42" w:rsidRPr="0033136C">
        <w:rPr>
          <w:rStyle w:val="Lienhypertexte"/>
          <w:rFonts w:eastAsia="SimSun"/>
          <w:color w:val="auto"/>
          <w:u w:val="none"/>
          <w:lang w:val="fr-FR"/>
        </w:rPr>
        <w:t>,</w:t>
      </w:r>
      <w:r w:rsidRPr="009B071E">
        <w:rPr>
          <w:rFonts w:eastAsia="SimSun"/>
          <w:color w:val="000000" w:themeColor="text1"/>
          <w:lang w:val="fr-FR"/>
        </w:rPr>
        <w:t xml:space="preserve"> la dix-septième session du Comité a établi le présent </w:t>
      </w:r>
      <w:r w:rsidR="00F61C6C" w:rsidRPr="009B071E">
        <w:rPr>
          <w:rFonts w:eastAsia="SimSun"/>
          <w:color w:val="000000" w:themeColor="text1"/>
          <w:lang w:val="fr-FR"/>
        </w:rPr>
        <w:t>O</w:t>
      </w:r>
      <w:r w:rsidRPr="009B071E">
        <w:rPr>
          <w:rFonts w:eastAsia="SimSun"/>
          <w:color w:val="000000" w:themeColor="text1"/>
          <w:lang w:val="fr-FR"/>
        </w:rPr>
        <w:t xml:space="preserve">rgane pour le cycle 2023 avec </w:t>
      </w:r>
      <w:r w:rsidR="00B10C29" w:rsidRPr="009B071E">
        <w:rPr>
          <w:rFonts w:eastAsia="SimSun"/>
          <w:color w:val="000000" w:themeColor="text1"/>
          <w:lang w:val="fr-FR"/>
        </w:rPr>
        <w:t>ses termes de référence</w:t>
      </w:r>
      <w:r w:rsidRPr="009B071E">
        <w:rPr>
          <w:rFonts w:eastAsia="SimSun"/>
          <w:color w:val="000000" w:themeColor="text1"/>
          <w:lang w:val="fr-FR"/>
        </w:rPr>
        <w:t>. L</w:t>
      </w:r>
      <w:r w:rsidR="00521B04" w:rsidRPr="009B071E">
        <w:rPr>
          <w:rFonts w:eastAsia="SimSun"/>
          <w:color w:val="000000" w:themeColor="text1"/>
          <w:lang w:val="fr-FR"/>
        </w:rPr>
        <w:t>’</w:t>
      </w:r>
      <w:r w:rsidRPr="009B071E">
        <w:rPr>
          <w:rFonts w:eastAsia="SimSun"/>
          <w:color w:val="000000" w:themeColor="text1"/>
          <w:lang w:val="fr-FR"/>
        </w:rPr>
        <w:t>Organe d</w:t>
      </w:r>
      <w:r w:rsidR="00521B04" w:rsidRPr="009B071E">
        <w:rPr>
          <w:rFonts w:eastAsia="SimSun"/>
          <w:color w:val="000000" w:themeColor="text1"/>
          <w:lang w:val="fr-FR"/>
        </w:rPr>
        <w:t>’</w:t>
      </w:r>
      <w:r w:rsidRPr="009B071E">
        <w:rPr>
          <w:rFonts w:eastAsia="SimSun"/>
          <w:color w:val="000000" w:themeColor="text1"/>
          <w:lang w:val="fr-FR"/>
        </w:rPr>
        <w:t xml:space="preserve">évaluation est composé de six experts qualifiés dans les divers domaines du patrimoine culturel immatériel, représentants des États parties non membres du Comité, et de six organisations non gouvernementales accréditées. </w:t>
      </w:r>
      <w:r w:rsidR="00EC2889" w:rsidRPr="009B071E">
        <w:rPr>
          <w:rFonts w:eastAsia="SimSun"/>
          <w:color w:val="000000" w:themeColor="text1"/>
          <w:lang w:val="fr-FR"/>
        </w:rPr>
        <w:t>Conformément au</w:t>
      </w:r>
      <w:r w:rsidRPr="009B071E">
        <w:rPr>
          <w:rFonts w:eastAsia="SimSun"/>
          <w:color w:val="000000" w:themeColor="text1"/>
          <w:lang w:val="fr-FR"/>
        </w:rPr>
        <w:t xml:space="preserve"> système de rotation des sièges (Décision</w:t>
      </w:r>
      <w:hyperlink r:id="rId10" w:history="1">
        <w:r w:rsidRPr="009B071E">
          <w:rPr>
            <w:rStyle w:val="Lienhypertexte"/>
            <w:rFonts w:eastAsia="SimSun"/>
            <w:u w:val="none"/>
            <w:lang w:val="fr-FR"/>
          </w:rPr>
          <w:t xml:space="preserve"> </w:t>
        </w:r>
        <w:r w:rsidRPr="009B071E">
          <w:rPr>
            <w:rStyle w:val="Lienhypertexte"/>
            <w:rFonts w:eastAsia="SimSun"/>
            <w:lang w:val="fr-FR"/>
          </w:rPr>
          <w:t>16.COM 16</w:t>
        </w:r>
      </w:hyperlink>
      <w:r w:rsidRPr="009B071E">
        <w:rPr>
          <w:rStyle w:val="Lienhypertexte"/>
          <w:rFonts w:eastAsia="SimSun"/>
          <w:color w:val="auto"/>
          <w:u w:val="none"/>
          <w:lang w:val="fr-FR"/>
        </w:rPr>
        <w:t>)</w:t>
      </w:r>
      <w:r w:rsidR="00B10C29" w:rsidRPr="009B071E">
        <w:rPr>
          <w:rStyle w:val="Lienhypertexte"/>
          <w:rFonts w:eastAsia="SimSun"/>
          <w:color w:val="auto"/>
          <w:u w:val="none"/>
          <w:lang w:val="fr-FR"/>
        </w:rPr>
        <w:t>,</w:t>
      </w:r>
      <w:r w:rsidRPr="009B071E">
        <w:rPr>
          <w:rFonts w:eastAsia="SimSun"/>
          <w:color w:val="000000" w:themeColor="text1"/>
          <w:lang w:val="fr-FR"/>
        </w:rPr>
        <w:t xml:space="preserve"> le Comité a reconduit huit membres et en a élu quatre nouveaux : Mme Evrim Ölçer Özünel (</w:t>
      </w:r>
      <w:r w:rsidR="00FF0A42" w:rsidRPr="009B071E">
        <w:rPr>
          <w:rFonts w:eastAsia="SimSun"/>
          <w:color w:val="000000" w:themeColor="text1"/>
          <w:lang w:val="fr-FR" w:bidi="en-US"/>
        </w:rPr>
        <w:t>Türkiye</w:t>
      </w:r>
      <w:r w:rsidRPr="009B071E">
        <w:rPr>
          <w:rFonts w:eastAsia="SimSun"/>
          <w:color w:val="000000" w:themeColor="text1"/>
          <w:lang w:val="fr-FR"/>
        </w:rPr>
        <w:t xml:space="preserve">), M. Rimvydas Laužikas (Lituanie), Mme Tiana Lalaina Razafimanantsoa (Madagascar) et Cross-Cultural </w:t>
      </w:r>
      <w:proofErr w:type="spellStart"/>
      <w:r w:rsidRPr="009B071E">
        <w:rPr>
          <w:rFonts w:eastAsia="SimSun"/>
          <w:color w:val="000000" w:themeColor="text1"/>
          <w:lang w:val="fr-FR"/>
        </w:rPr>
        <w:t>Foundation</w:t>
      </w:r>
      <w:proofErr w:type="spellEnd"/>
      <w:r w:rsidRPr="009B071E">
        <w:rPr>
          <w:rFonts w:eastAsia="SimSun"/>
          <w:color w:val="000000" w:themeColor="text1"/>
          <w:lang w:val="fr-FR"/>
        </w:rPr>
        <w:t xml:space="preserve"> of Uganda (CCFU). Ce faisant, le Comité a tenu compte d</w:t>
      </w:r>
      <w:r w:rsidR="00521B04" w:rsidRPr="009B071E">
        <w:rPr>
          <w:rFonts w:eastAsia="SimSun"/>
          <w:color w:val="000000" w:themeColor="text1"/>
          <w:lang w:val="fr-FR"/>
        </w:rPr>
        <w:t>’</w:t>
      </w:r>
      <w:r w:rsidRPr="009B071E">
        <w:rPr>
          <w:rFonts w:eastAsia="SimSun"/>
          <w:color w:val="000000" w:themeColor="text1"/>
          <w:lang w:val="fr-FR"/>
        </w:rPr>
        <w:t>une représentation géographique équitable et de leurs qualifications dans les différents domaines du patrimoine culturel immatériel. Les douze membres, ainsi que le pays qu</w:t>
      </w:r>
      <w:r w:rsidR="00521B04" w:rsidRPr="009B071E">
        <w:rPr>
          <w:rFonts w:eastAsia="SimSun"/>
          <w:color w:val="000000" w:themeColor="text1"/>
          <w:lang w:val="fr-FR"/>
        </w:rPr>
        <w:t>’</w:t>
      </w:r>
      <w:r w:rsidRPr="009B071E">
        <w:rPr>
          <w:rFonts w:eastAsia="SimSun"/>
          <w:color w:val="000000" w:themeColor="text1"/>
          <w:lang w:val="fr-FR"/>
        </w:rPr>
        <w:t>ils représentent dans le cas des experts, sont</w:t>
      </w:r>
      <w:r w:rsidRPr="009B071E">
        <w:rPr>
          <w:rFonts w:eastAsia="SimSun"/>
          <w:snapToGrid/>
          <w:color w:val="000000" w:themeColor="text1"/>
          <w:lang w:val="fr-FR"/>
        </w:rPr>
        <w:t> :</w:t>
      </w:r>
    </w:p>
    <w:p w14:paraId="7F73C35E" w14:textId="03EED046" w:rsidR="00322322" w:rsidRPr="009B071E" w:rsidRDefault="00B10C29" w:rsidP="00322322">
      <w:pPr>
        <w:pStyle w:val="COMPara"/>
        <w:numPr>
          <w:ilvl w:val="0"/>
          <w:numId w:val="0"/>
        </w:numPr>
        <w:ind w:left="360" w:firstLine="207"/>
        <w:jc w:val="both"/>
        <w:rPr>
          <w:rFonts w:eastAsia="SimSun"/>
          <w:snapToGrid/>
          <w:color w:val="000000" w:themeColor="text1"/>
          <w:lang w:val="fr-FR"/>
        </w:rPr>
      </w:pPr>
      <w:r w:rsidRPr="009B071E">
        <w:rPr>
          <w:rFonts w:eastAsia="SimSun"/>
          <w:b/>
          <w:bCs/>
          <w:snapToGrid/>
          <w:color w:val="000000" w:themeColor="text1"/>
          <w:lang w:val="fr-FR"/>
        </w:rPr>
        <w:t>E</w:t>
      </w:r>
      <w:r w:rsidR="00322322" w:rsidRPr="009B071E">
        <w:rPr>
          <w:rFonts w:eastAsia="SimSun"/>
          <w:b/>
          <w:bCs/>
          <w:snapToGrid/>
          <w:color w:val="000000" w:themeColor="text1"/>
          <w:lang w:val="fr-FR"/>
        </w:rPr>
        <w:t xml:space="preserve">xperts </w:t>
      </w:r>
      <w:r w:rsidRPr="009B071E">
        <w:rPr>
          <w:rFonts w:eastAsia="SimSun"/>
          <w:b/>
          <w:bCs/>
          <w:snapToGrid/>
          <w:color w:val="000000" w:themeColor="text1"/>
          <w:lang w:val="fr-FR"/>
        </w:rPr>
        <w:t xml:space="preserve">représentants </w:t>
      </w:r>
      <w:r w:rsidR="00322322" w:rsidRPr="009B071E">
        <w:rPr>
          <w:rFonts w:eastAsia="SimSun"/>
          <w:b/>
          <w:bCs/>
          <w:snapToGrid/>
          <w:color w:val="000000" w:themeColor="text1"/>
          <w:lang w:val="fr-FR"/>
        </w:rPr>
        <w:t xml:space="preserve">des États parties </w:t>
      </w:r>
      <w:r w:rsidR="00FF0A42" w:rsidRPr="009B071E">
        <w:rPr>
          <w:rFonts w:eastAsia="SimSun"/>
          <w:b/>
          <w:bCs/>
          <w:snapToGrid/>
          <w:color w:val="000000" w:themeColor="text1"/>
          <w:lang w:val="fr-FR"/>
        </w:rPr>
        <w:t>non membres</w:t>
      </w:r>
      <w:r w:rsidR="00322322" w:rsidRPr="009B071E">
        <w:rPr>
          <w:rFonts w:eastAsia="SimSun"/>
          <w:b/>
          <w:bCs/>
          <w:snapToGrid/>
          <w:color w:val="000000" w:themeColor="text1"/>
          <w:lang w:val="fr-FR"/>
        </w:rPr>
        <w:t xml:space="preserve"> du Comité</w:t>
      </w:r>
    </w:p>
    <w:p w14:paraId="669D274D" w14:textId="54B9EFE2" w:rsidR="00BF41F2" w:rsidRPr="009B071E" w:rsidRDefault="00BF41F2" w:rsidP="00BF41F2">
      <w:pPr>
        <w:pStyle w:val="COMPara"/>
        <w:numPr>
          <w:ilvl w:val="0"/>
          <w:numId w:val="0"/>
        </w:numPr>
        <w:ind w:left="1440"/>
        <w:rPr>
          <w:color w:val="000000" w:themeColor="text1"/>
          <w:lang w:val="fr-FR"/>
        </w:rPr>
      </w:pPr>
      <w:r w:rsidRPr="009B071E">
        <w:rPr>
          <w:color w:val="000000" w:themeColor="text1"/>
          <w:lang w:val="fr-FR"/>
        </w:rPr>
        <w:t>GE I : Mme Evrim Ölçer Özünel (</w:t>
      </w:r>
      <w:r w:rsidR="00FF0A42" w:rsidRPr="009B071E">
        <w:rPr>
          <w:rFonts w:eastAsia="SimSun"/>
          <w:color w:val="000000" w:themeColor="text1"/>
          <w:lang w:val="fr-FR" w:bidi="en-US"/>
        </w:rPr>
        <w:t>Türkiye</w:t>
      </w:r>
      <w:r w:rsidRPr="009B071E">
        <w:rPr>
          <w:color w:val="000000" w:themeColor="text1"/>
          <w:lang w:val="fr-FR"/>
        </w:rPr>
        <w:t>)</w:t>
      </w:r>
    </w:p>
    <w:p w14:paraId="35F9AD29" w14:textId="47A471B1" w:rsidR="00BF41F2" w:rsidRPr="008E76EA" w:rsidRDefault="00BF41F2" w:rsidP="00BF41F2">
      <w:pPr>
        <w:pStyle w:val="COMPara"/>
        <w:numPr>
          <w:ilvl w:val="0"/>
          <w:numId w:val="0"/>
        </w:numPr>
        <w:ind w:left="1440"/>
        <w:rPr>
          <w:color w:val="000000" w:themeColor="text1"/>
          <w:lang w:val="es-ES"/>
        </w:rPr>
      </w:pPr>
      <w:r w:rsidRPr="008E76EA">
        <w:rPr>
          <w:color w:val="000000" w:themeColor="text1"/>
          <w:lang w:val="es-ES"/>
        </w:rPr>
        <w:t>GE </w:t>
      </w:r>
      <w:proofErr w:type="gramStart"/>
      <w:r w:rsidRPr="008E76EA">
        <w:rPr>
          <w:color w:val="000000" w:themeColor="text1"/>
          <w:lang w:val="es-ES"/>
        </w:rPr>
        <w:t>II :</w:t>
      </w:r>
      <w:proofErr w:type="gramEnd"/>
      <w:r w:rsidRPr="008E76EA">
        <w:rPr>
          <w:color w:val="000000" w:themeColor="text1"/>
          <w:lang w:val="es-ES"/>
        </w:rPr>
        <w:t xml:space="preserve"> M. Rimvydas Laužikas (</w:t>
      </w:r>
      <w:proofErr w:type="spellStart"/>
      <w:r w:rsidRPr="008E76EA">
        <w:rPr>
          <w:color w:val="000000" w:themeColor="text1"/>
          <w:lang w:val="es-ES"/>
        </w:rPr>
        <w:t>Lituanie</w:t>
      </w:r>
      <w:proofErr w:type="spellEnd"/>
      <w:r w:rsidRPr="008E76EA">
        <w:rPr>
          <w:color w:val="000000" w:themeColor="text1"/>
          <w:lang w:val="es-ES"/>
        </w:rPr>
        <w:t>)</w:t>
      </w:r>
    </w:p>
    <w:p w14:paraId="4674BEDB" w14:textId="77777777" w:rsidR="00BF41F2" w:rsidRPr="008E76EA" w:rsidRDefault="00BF41F2" w:rsidP="00BF41F2">
      <w:pPr>
        <w:pStyle w:val="COMPara"/>
        <w:numPr>
          <w:ilvl w:val="0"/>
          <w:numId w:val="0"/>
        </w:numPr>
        <w:ind w:left="1440"/>
        <w:rPr>
          <w:rFonts w:eastAsia="SimSun"/>
          <w:color w:val="000000" w:themeColor="text1"/>
          <w:lang w:val="es-ES"/>
        </w:rPr>
      </w:pPr>
      <w:r w:rsidRPr="008E76EA">
        <w:rPr>
          <w:color w:val="000000" w:themeColor="text1"/>
          <w:lang w:val="es-ES"/>
        </w:rPr>
        <w:t>GE </w:t>
      </w:r>
      <w:proofErr w:type="gramStart"/>
      <w:r w:rsidRPr="008E76EA">
        <w:rPr>
          <w:color w:val="000000" w:themeColor="text1"/>
          <w:lang w:val="es-ES"/>
        </w:rPr>
        <w:t>III :</w:t>
      </w:r>
      <w:proofErr w:type="gramEnd"/>
      <w:r w:rsidRPr="008E76EA">
        <w:rPr>
          <w:color w:val="000000" w:themeColor="text1"/>
          <w:lang w:val="es-ES"/>
        </w:rPr>
        <w:t xml:space="preserve"> M. Nigel Encalada (Belize)</w:t>
      </w:r>
    </w:p>
    <w:p w14:paraId="07CAC3E9" w14:textId="77777777" w:rsidR="00BF41F2" w:rsidRPr="008E76EA" w:rsidRDefault="00BF41F2" w:rsidP="00BF41F2">
      <w:pPr>
        <w:pStyle w:val="COMPara"/>
        <w:numPr>
          <w:ilvl w:val="0"/>
          <w:numId w:val="0"/>
        </w:numPr>
        <w:ind w:left="1440"/>
        <w:rPr>
          <w:rFonts w:eastAsia="SimSun"/>
          <w:color w:val="000000" w:themeColor="text1"/>
          <w:lang w:val="en-US"/>
        </w:rPr>
      </w:pPr>
      <w:r w:rsidRPr="008E76EA">
        <w:rPr>
          <w:color w:val="000000" w:themeColor="text1"/>
          <w:lang w:val="en-US"/>
        </w:rPr>
        <w:t>GE IV : M. Kirk Siang Yeo (Singapour)</w:t>
      </w:r>
    </w:p>
    <w:p w14:paraId="08CA67C9" w14:textId="77777777" w:rsidR="00BF41F2" w:rsidRPr="008E76EA" w:rsidRDefault="00BF41F2" w:rsidP="00BF41F2">
      <w:pPr>
        <w:pStyle w:val="COMPara"/>
        <w:numPr>
          <w:ilvl w:val="0"/>
          <w:numId w:val="0"/>
        </w:numPr>
        <w:ind w:left="1440"/>
        <w:rPr>
          <w:color w:val="000000" w:themeColor="text1"/>
          <w:lang w:val="es-ES"/>
        </w:rPr>
      </w:pPr>
      <w:r w:rsidRPr="008E76EA">
        <w:rPr>
          <w:color w:val="000000" w:themeColor="text1"/>
          <w:lang w:val="es-ES"/>
        </w:rPr>
        <w:t xml:space="preserve">GE V(a) : Mme Tiana </w:t>
      </w:r>
      <w:proofErr w:type="spellStart"/>
      <w:r w:rsidRPr="008E76EA">
        <w:rPr>
          <w:color w:val="000000" w:themeColor="text1"/>
          <w:lang w:val="es-ES"/>
        </w:rPr>
        <w:t>Lalaina</w:t>
      </w:r>
      <w:proofErr w:type="spellEnd"/>
      <w:r w:rsidRPr="008E76EA">
        <w:rPr>
          <w:color w:val="000000" w:themeColor="text1"/>
          <w:lang w:val="es-ES"/>
        </w:rPr>
        <w:t xml:space="preserve"> </w:t>
      </w:r>
      <w:proofErr w:type="spellStart"/>
      <w:r w:rsidRPr="008E76EA">
        <w:rPr>
          <w:color w:val="000000" w:themeColor="text1"/>
          <w:lang w:val="es-ES"/>
        </w:rPr>
        <w:t>Razafimanantsoa</w:t>
      </w:r>
      <w:proofErr w:type="spellEnd"/>
      <w:r w:rsidRPr="008E76EA">
        <w:rPr>
          <w:color w:val="000000" w:themeColor="text1"/>
          <w:lang w:val="es-ES"/>
        </w:rPr>
        <w:t xml:space="preserve"> (Madagascar)</w:t>
      </w:r>
    </w:p>
    <w:p w14:paraId="57FC4EF4" w14:textId="77777777" w:rsidR="00BF41F2" w:rsidRPr="008E76EA" w:rsidRDefault="00BF41F2" w:rsidP="00BF41F2">
      <w:pPr>
        <w:pStyle w:val="COMPara"/>
        <w:numPr>
          <w:ilvl w:val="0"/>
          <w:numId w:val="0"/>
        </w:numPr>
        <w:ind w:left="1440"/>
        <w:rPr>
          <w:color w:val="000000" w:themeColor="text1"/>
          <w:lang w:val="es-ES"/>
        </w:rPr>
      </w:pPr>
      <w:r w:rsidRPr="008E76EA">
        <w:rPr>
          <w:color w:val="000000" w:themeColor="text1"/>
          <w:lang w:val="es-ES"/>
        </w:rPr>
        <w:t xml:space="preserve">GE V(b) : Mme </w:t>
      </w:r>
      <w:proofErr w:type="spellStart"/>
      <w:r w:rsidRPr="008E76EA">
        <w:rPr>
          <w:color w:val="000000" w:themeColor="text1"/>
          <w:lang w:val="es-ES"/>
        </w:rPr>
        <w:t>Nahla</w:t>
      </w:r>
      <w:proofErr w:type="spellEnd"/>
      <w:r w:rsidRPr="008E76EA">
        <w:rPr>
          <w:color w:val="000000" w:themeColor="text1"/>
          <w:lang w:val="es-ES"/>
        </w:rPr>
        <w:t xml:space="preserve"> </w:t>
      </w:r>
      <w:proofErr w:type="spellStart"/>
      <w:r w:rsidRPr="008E76EA">
        <w:rPr>
          <w:color w:val="000000" w:themeColor="text1"/>
          <w:lang w:val="es-ES"/>
        </w:rPr>
        <w:t>Abdallah</w:t>
      </w:r>
      <w:proofErr w:type="spellEnd"/>
      <w:r w:rsidRPr="008E76EA">
        <w:rPr>
          <w:color w:val="000000" w:themeColor="text1"/>
          <w:lang w:val="es-ES"/>
        </w:rPr>
        <w:t xml:space="preserve"> </w:t>
      </w:r>
      <w:proofErr w:type="spellStart"/>
      <w:r w:rsidRPr="008E76EA">
        <w:rPr>
          <w:color w:val="000000" w:themeColor="text1"/>
          <w:lang w:val="es-ES"/>
        </w:rPr>
        <w:t>Emam</w:t>
      </w:r>
      <w:proofErr w:type="spellEnd"/>
      <w:r w:rsidRPr="008E76EA">
        <w:rPr>
          <w:color w:val="000000" w:themeColor="text1"/>
          <w:lang w:val="es-ES"/>
        </w:rPr>
        <w:t xml:space="preserve"> (</w:t>
      </w:r>
      <w:proofErr w:type="spellStart"/>
      <w:r w:rsidRPr="008E76EA">
        <w:rPr>
          <w:color w:val="000000" w:themeColor="text1"/>
          <w:lang w:val="es-ES"/>
        </w:rPr>
        <w:t>Égypte</w:t>
      </w:r>
      <w:proofErr w:type="spellEnd"/>
      <w:r w:rsidRPr="008E76EA">
        <w:rPr>
          <w:color w:val="000000" w:themeColor="text1"/>
          <w:lang w:val="es-ES"/>
        </w:rPr>
        <w:t>)</w:t>
      </w:r>
    </w:p>
    <w:p w14:paraId="4E01BAEB" w14:textId="77777777" w:rsidR="00322322" w:rsidRPr="009B071E" w:rsidRDefault="00322322" w:rsidP="00322322">
      <w:pPr>
        <w:pStyle w:val="COMPara"/>
        <w:numPr>
          <w:ilvl w:val="0"/>
          <w:numId w:val="0"/>
        </w:numPr>
        <w:ind w:left="360" w:firstLine="349"/>
        <w:jc w:val="both"/>
        <w:rPr>
          <w:rFonts w:eastAsia="SimSun"/>
          <w:snapToGrid/>
          <w:color w:val="000000" w:themeColor="text1"/>
          <w:lang w:val="fr-FR"/>
        </w:rPr>
      </w:pPr>
      <w:r w:rsidRPr="009B071E">
        <w:rPr>
          <w:rFonts w:eastAsia="SimSun"/>
          <w:b/>
          <w:bCs/>
          <w:snapToGrid/>
          <w:color w:val="000000" w:themeColor="text1"/>
          <w:lang w:val="fr-FR"/>
        </w:rPr>
        <w:t>Organisations non gouvernementales accréditées</w:t>
      </w:r>
    </w:p>
    <w:p w14:paraId="336CB14C" w14:textId="7C3482D8" w:rsidR="00322322" w:rsidRPr="009B071E" w:rsidRDefault="00322322" w:rsidP="00322322">
      <w:pPr>
        <w:pStyle w:val="COMPara"/>
        <w:numPr>
          <w:ilvl w:val="0"/>
          <w:numId w:val="0"/>
        </w:numPr>
        <w:ind w:left="1440"/>
        <w:rPr>
          <w:color w:val="000000" w:themeColor="text1"/>
          <w:lang w:val="fr-FR"/>
        </w:rPr>
      </w:pPr>
      <w:r w:rsidRPr="009B071E">
        <w:rPr>
          <w:color w:val="000000" w:themeColor="text1"/>
          <w:lang w:val="fr-FR"/>
        </w:rPr>
        <w:t xml:space="preserve">GE I : </w:t>
      </w:r>
      <w:r w:rsidR="00FF0A42" w:rsidRPr="009B071E">
        <w:rPr>
          <w:color w:val="000000" w:themeColor="text1"/>
          <w:lang w:val="fr-FR"/>
        </w:rPr>
        <w:t xml:space="preserve">Workshop intangible </w:t>
      </w:r>
      <w:proofErr w:type="spellStart"/>
      <w:r w:rsidR="00FF0A42" w:rsidRPr="009B071E">
        <w:rPr>
          <w:color w:val="000000" w:themeColor="text1"/>
          <w:lang w:val="fr-FR"/>
        </w:rPr>
        <w:t>heritage</w:t>
      </w:r>
      <w:proofErr w:type="spellEnd"/>
      <w:r w:rsidR="00FF0A42" w:rsidRPr="009B071E">
        <w:rPr>
          <w:color w:val="000000" w:themeColor="text1"/>
          <w:lang w:val="fr-FR"/>
        </w:rPr>
        <w:t xml:space="preserve"> </w:t>
      </w:r>
      <w:proofErr w:type="spellStart"/>
      <w:r w:rsidR="00FF0A42" w:rsidRPr="009B071E">
        <w:rPr>
          <w:color w:val="000000" w:themeColor="text1"/>
          <w:lang w:val="fr-FR"/>
        </w:rPr>
        <w:t>Flanders</w:t>
      </w:r>
      <w:proofErr w:type="spellEnd"/>
    </w:p>
    <w:p w14:paraId="6BDA87F9" w14:textId="058C9F32" w:rsidR="00322322" w:rsidRPr="009B071E" w:rsidRDefault="00322322" w:rsidP="00322322">
      <w:pPr>
        <w:pStyle w:val="COMPara"/>
        <w:numPr>
          <w:ilvl w:val="0"/>
          <w:numId w:val="0"/>
        </w:numPr>
        <w:ind w:left="1440"/>
        <w:rPr>
          <w:color w:val="000000" w:themeColor="text1"/>
          <w:lang w:val="fr-FR"/>
        </w:rPr>
      </w:pPr>
      <w:r w:rsidRPr="009B071E">
        <w:rPr>
          <w:color w:val="000000" w:themeColor="text1"/>
          <w:lang w:val="fr-FR"/>
        </w:rPr>
        <w:t xml:space="preserve">GE II : </w:t>
      </w:r>
      <w:proofErr w:type="spellStart"/>
      <w:r w:rsidR="00FF0A42" w:rsidRPr="009B071E">
        <w:rPr>
          <w:color w:val="000000" w:themeColor="text1"/>
          <w:lang w:val="fr-FR"/>
        </w:rPr>
        <w:t>European</w:t>
      </w:r>
      <w:proofErr w:type="spellEnd"/>
      <w:r w:rsidR="00FF0A42" w:rsidRPr="009B071E">
        <w:rPr>
          <w:color w:val="000000" w:themeColor="text1"/>
          <w:lang w:val="fr-FR"/>
        </w:rPr>
        <w:t xml:space="preserve"> Association of Folklore Festivals</w:t>
      </w:r>
      <w:r w:rsidR="00FF0A42" w:rsidRPr="009B071E" w:rsidDel="00FF0A42">
        <w:rPr>
          <w:color w:val="000000" w:themeColor="text1"/>
          <w:lang w:val="fr-FR"/>
        </w:rPr>
        <w:t xml:space="preserve"> </w:t>
      </w:r>
    </w:p>
    <w:p w14:paraId="399F53B8" w14:textId="3C372426" w:rsidR="00322322" w:rsidRPr="009B071E" w:rsidRDefault="00322322" w:rsidP="00322322">
      <w:pPr>
        <w:pStyle w:val="COMPara"/>
        <w:numPr>
          <w:ilvl w:val="0"/>
          <w:numId w:val="0"/>
        </w:numPr>
        <w:ind w:left="1440"/>
        <w:rPr>
          <w:rFonts w:eastAsia="SimSun"/>
          <w:snapToGrid/>
          <w:color w:val="000000" w:themeColor="text1"/>
          <w:lang w:val="fr-FR"/>
        </w:rPr>
      </w:pPr>
      <w:r w:rsidRPr="009B071E">
        <w:rPr>
          <w:color w:val="000000" w:themeColor="text1"/>
          <w:lang w:val="fr-FR"/>
        </w:rPr>
        <w:t>G</w:t>
      </w:r>
      <w:r w:rsidR="00FF0A42" w:rsidRPr="009B071E">
        <w:rPr>
          <w:color w:val="000000" w:themeColor="text1"/>
          <w:lang w:val="fr-FR"/>
        </w:rPr>
        <w:t>E</w:t>
      </w:r>
      <w:r w:rsidRPr="009B071E">
        <w:rPr>
          <w:color w:val="000000" w:themeColor="text1"/>
          <w:lang w:val="fr-FR"/>
        </w:rPr>
        <w:t xml:space="preserve"> III : </w:t>
      </w:r>
      <w:r w:rsidR="00FF0A42" w:rsidRPr="009B071E">
        <w:rPr>
          <w:color w:val="000000" w:themeColor="text1"/>
          <w:lang w:val="fr-FR"/>
        </w:rPr>
        <w:t>Daniel Rubin de la Borbolla Center</w:t>
      </w:r>
    </w:p>
    <w:p w14:paraId="305B81DA" w14:textId="2A72AC88" w:rsidR="00322322" w:rsidRPr="008E76EA" w:rsidRDefault="00322322" w:rsidP="00322322">
      <w:pPr>
        <w:pStyle w:val="COMPara"/>
        <w:numPr>
          <w:ilvl w:val="0"/>
          <w:numId w:val="0"/>
        </w:numPr>
        <w:ind w:left="1440"/>
        <w:rPr>
          <w:color w:val="000000" w:themeColor="text1"/>
          <w:lang w:val="en-US"/>
        </w:rPr>
      </w:pPr>
      <w:r w:rsidRPr="008E76EA">
        <w:rPr>
          <w:color w:val="000000" w:themeColor="text1"/>
          <w:lang w:val="en-US"/>
        </w:rPr>
        <w:t xml:space="preserve">GE IV : </w:t>
      </w:r>
      <w:proofErr w:type="spellStart"/>
      <w:r w:rsidR="00FF0A42" w:rsidRPr="008E76EA">
        <w:rPr>
          <w:color w:val="000000" w:themeColor="text1"/>
          <w:lang w:val="en-US"/>
        </w:rPr>
        <w:t>Aigine</w:t>
      </w:r>
      <w:proofErr w:type="spellEnd"/>
      <w:r w:rsidR="00FF0A42" w:rsidRPr="008E76EA">
        <w:rPr>
          <w:color w:val="000000" w:themeColor="text1"/>
          <w:lang w:val="en-US"/>
        </w:rPr>
        <w:t xml:space="preserve"> Cultural Research Center – </w:t>
      </w:r>
      <w:proofErr w:type="spellStart"/>
      <w:r w:rsidR="00FF0A42" w:rsidRPr="008E76EA">
        <w:rPr>
          <w:color w:val="000000" w:themeColor="text1"/>
          <w:lang w:val="en-US"/>
        </w:rPr>
        <w:t>Aigine</w:t>
      </w:r>
      <w:proofErr w:type="spellEnd"/>
      <w:r w:rsidR="00FF0A42" w:rsidRPr="008E76EA">
        <w:rPr>
          <w:color w:val="000000" w:themeColor="text1"/>
          <w:lang w:val="en-US"/>
        </w:rPr>
        <w:t xml:space="preserve"> CRC</w:t>
      </w:r>
    </w:p>
    <w:p w14:paraId="0D65A4FB" w14:textId="361ADB9F" w:rsidR="00AD33EA" w:rsidRPr="008E76EA" w:rsidRDefault="00AD33EA" w:rsidP="00AD33EA">
      <w:pPr>
        <w:pStyle w:val="COMPara"/>
        <w:numPr>
          <w:ilvl w:val="0"/>
          <w:numId w:val="0"/>
        </w:numPr>
        <w:ind w:left="1440"/>
        <w:rPr>
          <w:color w:val="000000" w:themeColor="text1"/>
          <w:lang w:val="en-US"/>
        </w:rPr>
      </w:pPr>
      <w:r w:rsidRPr="008E76EA">
        <w:rPr>
          <w:color w:val="000000" w:themeColor="text1"/>
          <w:lang w:val="en-US"/>
        </w:rPr>
        <w:t xml:space="preserve">GE V(a) : </w:t>
      </w:r>
      <w:bookmarkStart w:id="2" w:name="_Hlk108619310"/>
      <w:r w:rsidR="00FF0A42" w:rsidRPr="008E76EA">
        <w:rPr>
          <w:color w:val="000000" w:themeColor="text1"/>
          <w:lang w:val="en-US"/>
        </w:rPr>
        <w:t>The Cross-Cultural Foundation of Uganda (CCFU)</w:t>
      </w:r>
      <w:bookmarkEnd w:id="2"/>
    </w:p>
    <w:p w14:paraId="7EDE424B" w14:textId="77777777" w:rsidR="00322322" w:rsidRPr="008E76EA" w:rsidRDefault="00322322" w:rsidP="00322322">
      <w:pPr>
        <w:pStyle w:val="COMPara"/>
        <w:numPr>
          <w:ilvl w:val="0"/>
          <w:numId w:val="0"/>
        </w:numPr>
        <w:ind w:left="1440"/>
        <w:rPr>
          <w:rFonts w:eastAsia="SimSun"/>
          <w:color w:val="000000" w:themeColor="text1"/>
          <w:lang w:val="en-US"/>
        </w:rPr>
      </w:pPr>
      <w:r w:rsidRPr="008E76EA">
        <w:rPr>
          <w:color w:val="000000" w:themeColor="text1"/>
          <w:lang w:val="en-US"/>
        </w:rPr>
        <w:t>GE V(b) : Syria Trust for Development</w:t>
      </w:r>
    </w:p>
    <w:p w14:paraId="7F5B0FE5" w14:textId="4289EAB7" w:rsidR="00322322" w:rsidRPr="009B071E" w:rsidRDefault="00C61A8A" w:rsidP="00EF6ACC">
      <w:pPr>
        <w:pStyle w:val="COMPara"/>
        <w:keepLines/>
        <w:numPr>
          <w:ilvl w:val="0"/>
          <w:numId w:val="7"/>
        </w:numPr>
        <w:ind w:left="567" w:hanging="567"/>
        <w:jc w:val="both"/>
        <w:rPr>
          <w:rFonts w:eastAsia="SimSun"/>
          <w:snapToGrid/>
          <w:color w:val="000000" w:themeColor="text1"/>
          <w:lang w:val="fr-FR"/>
        </w:rPr>
      </w:pPr>
      <w:r w:rsidRPr="009B071E">
        <w:rPr>
          <w:lang w:val="fr-FR"/>
        </w:rPr>
        <w:t xml:space="preserve">Après la </w:t>
      </w:r>
      <w:r w:rsidRPr="009B071E">
        <w:rPr>
          <w:snapToGrid/>
          <w:color w:val="000000" w:themeColor="text1"/>
          <w:lang w:val="fr-FR"/>
        </w:rPr>
        <w:t>soumission</w:t>
      </w:r>
      <w:r w:rsidRPr="009B071E">
        <w:rPr>
          <w:lang w:val="fr-FR"/>
        </w:rPr>
        <w:t xml:space="preserve"> et la présentation du rapport sur ses travaux à la dix-huitième session du Comité, l</w:t>
      </w:r>
      <w:r w:rsidR="00521B04" w:rsidRPr="009B071E">
        <w:rPr>
          <w:rFonts w:eastAsia="SimSun"/>
          <w:color w:val="000000" w:themeColor="text1"/>
          <w:lang w:val="fr-FR"/>
        </w:rPr>
        <w:t>’</w:t>
      </w:r>
      <w:r w:rsidRPr="009B071E">
        <w:rPr>
          <w:lang w:val="fr-FR"/>
        </w:rPr>
        <w:t>actuel Organe d</w:t>
      </w:r>
      <w:r w:rsidR="00521B04" w:rsidRPr="009B071E">
        <w:rPr>
          <w:rFonts w:eastAsia="SimSun"/>
          <w:color w:val="000000" w:themeColor="text1"/>
          <w:lang w:val="fr-FR"/>
        </w:rPr>
        <w:t>’</w:t>
      </w:r>
      <w:r w:rsidRPr="009B071E">
        <w:rPr>
          <w:lang w:val="fr-FR"/>
        </w:rPr>
        <w:t>évaluation dans son ensemble cessera d</w:t>
      </w:r>
      <w:r w:rsidR="00521B04" w:rsidRPr="009B071E">
        <w:rPr>
          <w:rFonts w:eastAsia="SimSun"/>
          <w:color w:val="000000" w:themeColor="text1"/>
          <w:lang w:val="fr-FR"/>
        </w:rPr>
        <w:t>’</w:t>
      </w:r>
      <w:r w:rsidRPr="009B071E">
        <w:rPr>
          <w:lang w:val="fr-FR"/>
        </w:rPr>
        <w:t>exister avec l</w:t>
      </w:r>
      <w:r w:rsidR="00521B04" w:rsidRPr="009B071E">
        <w:rPr>
          <w:rFonts w:eastAsia="SimSun"/>
          <w:color w:val="000000" w:themeColor="text1"/>
          <w:lang w:val="fr-FR"/>
        </w:rPr>
        <w:t>’</w:t>
      </w:r>
      <w:r w:rsidRPr="009B071E">
        <w:rPr>
          <w:lang w:val="fr-FR"/>
        </w:rPr>
        <w:t>établissement du prochain Organe (Décision </w:t>
      </w:r>
      <w:hyperlink r:id="rId11" w:history="1">
        <w:r w:rsidRPr="009B071E">
          <w:rPr>
            <w:rStyle w:val="Lienhypertexte"/>
            <w:rFonts w:eastAsia="SimSun"/>
            <w:lang w:val="fr-FR"/>
          </w:rPr>
          <w:t>17.COM 14</w:t>
        </w:r>
      </w:hyperlink>
      <w:r w:rsidRPr="009B071E">
        <w:rPr>
          <w:lang w:val="fr-FR"/>
        </w:rPr>
        <w:t>). Un nouvel Organe d</w:t>
      </w:r>
      <w:r w:rsidR="00521B04" w:rsidRPr="009B071E">
        <w:rPr>
          <w:rFonts w:eastAsia="SimSun"/>
          <w:color w:val="000000" w:themeColor="text1"/>
          <w:lang w:val="fr-FR"/>
        </w:rPr>
        <w:t>’</w:t>
      </w:r>
      <w:r w:rsidRPr="009B071E">
        <w:rPr>
          <w:lang w:val="fr-FR"/>
        </w:rPr>
        <w:t xml:space="preserve">évaluation sera créé lors de la présente session du Comité (voir document </w:t>
      </w:r>
      <w:hyperlink r:id="rId12" w:history="1">
        <w:r w:rsidRPr="006D4C6A">
          <w:rPr>
            <w:rStyle w:val="Lienhypertexte"/>
            <w:lang w:val="fr-FR"/>
          </w:rPr>
          <w:t>LHE/23/18.COM/17</w:t>
        </w:r>
      </w:hyperlink>
      <w:r w:rsidRPr="009B071E">
        <w:rPr>
          <w:lang w:val="fr-FR"/>
        </w:rPr>
        <w:t xml:space="preserve">). </w:t>
      </w:r>
    </w:p>
    <w:p w14:paraId="637DBE06" w14:textId="6D39B1B1" w:rsidR="00322322" w:rsidRPr="009B071E" w:rsidRDefault="00322322" w:rsidP="00A807F5">
      <w:pPr>
        <w:pStyle w:val="COMPara"/>
        <w:numPr>
          <w:ilvl w:val="0"/>
          <w:numId w:val="7"/>
        </w:numPr>
        <w:ind w:left="567" w:hanging="567"/>
        <w:jc w:val="both"/>
        <w:rPr>
          <w:rFonts w:eastAsia="SimSun"/>
          <w:snapToGrid/>
          <w:color w:val="000000" w:themeColor="text1"/>
          <w:lang w:val="fr-FR"/>
        </w:rPr>
      </w:pPr>
      <w:r w:rsidRPr="009B071E">
        <w:rPr>
          <w:lang w:val="fr-FR"/>
        </w:rPr>
        <w:t>Le rapport de l</w:t>
      </w:r>
      <w:r w:rsidR="00521B04" w:rsidRPr="009B071E">
        <w:rPr>
          <w:rFonts w:eastAsia="SimSun"/>
          <w:color w:val="000000" w:themeColor="text1"/>
          <w:lang w:val="fr-FR"/>
        </w:rPr>
        <w:t>’</w:t>
      </w:r>
      <w:r w:rsidRPr="009B071E">
        <w:rPr>
          <w:lang w:val="fr-FR"/>
        </w:rPr>
        <w:t>Organe d</w:t>
      </w:r>
      <w:r w:rsidR="00521B04" w:rsidRPr="009B071E">
        <w:rPr>
          <w:rFonts w:eastAsia="SimSun"/>
          <w:color w:val="000000" w:themeColor="text1"/>
          <w:lang w:val="fr-FR"/>
        </w:rPr>
        <w:t>’</w:t>
      </w:r>
      <w:r w:rsidRPr="009B071E">
        <w:rPr>
          <w:lang w:val="fr-FR"/>
        </w:rPr>
        <w:t xml:space="preserve">évaluation se compose de cinq documents de travail, dont le présent document, et de quatre documents concernant les </w:t>
      </w:r>
      <w:r w:rsidR="00FF0A42" w:rsidRPr="009B071E">
        <w:rPr>
          <w:lang w:val="fr-FR"/>
        </w:rPr>
        <w:t xml:space="preserve">candidatures pour </w:t>
      </w:r>
      <w:r w:rsidRPr="009B071E">
        <w:rPr>
          <w:lang w:val="fr-FR"/>
        </w:rPr>
        <w:t>inscription sur les Listes et le Registre de la Convention, ainsi que les demandes d</w:t>
      </w:r>
      <w:r w:rsidR="00521B04" w:rsidRPr="009B071E">
        <w:rPr>
          <w:rFonts w:eastAsia="SimSun"/>
          <w:color w:val="000000" w:themeColor="text1"/>
          <w:lang w:val="fr-FR"/>
        </w:rPr>
        <w:t>’</w:t>
      </w:r>
      <w:r w:rsidRPr="009B071E">
        <w:rPr>
          <w:lang w:val="fr-FR"/>
        </w:rPr>
        <w:t xml:space="preserve">assistance internationale. Ces </w:t>
      </w:r>
      <w:r w:rsidRPr="009B071E">
        <w:rPr>
          <w:lang w:val="fr-FR"/>
        </w:rPr>
        <w:lastRenderedPageBreak/>
        <w:t xml:space="preserve">documents comprennent une évaluation de la conformité des candidatures, propositions et demandes avec les critères pertinents, comme prévu aux chapitres I.1 </w:t>
      </w:r>
      <w:proofErr w:type="spellStart"/>
      <w:r w:rsidRPr="009B071E">
        <w:rPr>
          <w:lang w:val="fr-FR"/>
        </w:rPr>
        <w:t>à</w:t>
      </w:r>
      <w:proofErr w:type="spellEnd"/>
      <w:r w:rsidRPr="009B071E">
        <w:rPr>
          <w:lang w:val="fr-FR"/>
        </w:rPr>
        <w:t xml:space="preserve"> I.4 des Directives opérationnelles, ainsi que des recommandations au Comité </w:t>
      </w:r>
      <w:r w:rsidR="00943602" w:rsidRPr="009B071E">
        <w:rPr>
          <w:lang w:val="fr-FR"/>
        </w:rPr>
        <w:t xml:space="preserve">pour </w:t>
      </w:r>
      <w:r w:rsidRPr="009B071E">
        <w:rPr>
          <w:lang w:val="fr-FR"/>
        </w:rPr>
        <w:t>décider de l</w:t>
      </w:r>
      <w:r w:rsidR="00521B04" w:rsidRPr="009B071E">
        <w:rPr>
          <w:lang w:val="fr-FR"/>
        </w:rPr>
        <w:t>’</w:t>
      </w:r>
      <w:r w:rsidRPr="009B071E">
        <w:rPr>
          <w:lang w:val="fr-FR"/>
        </w:rPr>
        <w:t>inscription, de la sélection ou de l</w:t>
      </w:r>
      <w:r w:rsidR="00521B04" w:rsidRPr="009B071E">
        <w:rPr>
          <w:lang w:val="fr-FR"/>
        </w:rPr>
        <w:t>’</w:t>
      </w:r>
      <w:r w:rsidRPr="009B071E">
        <w:rPr>
          <w:lang w:val="fr-FR"/>
        </w:rPr>
        <w:t>octroi. Les documents sont les suivants :</w:t>
      </w:r>
    </w:p>
    <w:p w14:paraId="1627C1F9" w14:textId="41C2D040" w:rsidR="00891D2C" w:rsidRPr="009B071E" w:rsidRDefault="00891D2C" w:rsidP="00891D2C">
      <w:pPr>
        <w:pStyle w:val="COMPara"/>
        <w:numPr>
          <w:ilvl w:val="0"/>
          <w:numId w:val="8"/>
        </w:numPr>
        <w:ind w:left="1134" w:hanging="504"/>
        <w:jc w:val="both"/>
        <w:rPr>
          <w:lang w:val="fr-FR"/>
        </w:rPr>
      </w:pPr>
      <w:r w:rsidRPr="009B071E">
        <w:rPr>
          <w:lang w:val="fr-FR"/>
        </w:rPr>
        <w:t>Le présent document LHE/23/18.COM/8 constitue le rapport général de l</w:t>
      </w:r>
      <w:r w:rsidR="00521B04" w:rsidRPr="009B071E">
        <w:rPr>
          <w:lang w:val="fr-FR"/>
        </w:rPr>
        <w:t>’</w:t>
      </w:r>
      <w:r w:rsidRPr="009B071E">
        <w:rPr>
          <w:lang w:val="fr-FR"/>
        </w:rPr>
        <w:t>Organe d</w:t>
      </w:r>
      <w:r w:rsidR="00521B04" w:rsidRPr="009B071E">
        <w:rPr>
          <w:lang w:val="fr-FR"/>
        </w:rPr>
        <w:t>’</w:t>
      </w:r>
      <w:r w:rsidRPr="009B071E">
        <w:rPr>
          <w:lang w:val="fr-FR"/>
        </w:rPr>
        <w:t xml:space="preserve">évaluation, avec </w:t>
      </w:r>
      <w:r w:rsidR="00C548B6" w:rsidRPr="009B071E">
        <w:rPr>
          <w:lang w:val="fr-FR"/>
        </w:rPr>
        <w:t>une vue d’ensemble</w:t>
      </w:r>
      <w:r w:rsidRPr="009B071E">
        <w:rPr>
          <w:lang w:val="fr-FR"/>
        </w:rPr>
        <w:t xml:space="preserve"> de tous les dossiers de 2023 (partie A), des observations et des recommandations sur les méthodes de travail, des questions transversales, de bons exemples (partie B), </w:t>
      </w:r>
      <w:r w:rsidR="00C548B6" w:rsidRPr="009B071E">
        <w:rPr>
          <w:lang w:val="fr-FR"/>
        </w:rPr>
        <w:t>une vue d’ensemble</w:t>
      </w:r>
      <w:r w:rsidRPr="009B071E">
        <w:rPr>
          <w:lang w:val="fr-FR"/>
        </w:rPr>
        <w:t xml:space="preserve"> des questions récurrentes pour le cycle 2023 (partie C) et un projet de décision pour examen </w:t>
      </w:r>
      <w:r w:rsidR="00C548B6" w:rsidRPr="009B071E">
        <w:rPr>
          <w:lang w:val="fr-FR"/>
        </w:rPr>
        <w:t xml:space="preserve">par le </w:t>
      </w:r>
      <w:r w:rsidRPr="009B071E">
        <w:rPr>
          <w:lang w:val="fr-FR"/>
        </w:rPr>
        <w:t>Comité ;</w:t>
      </w:r>
    </w:p>
    <w:p w14:paraId="0E4934F1" w14:textId="748F2139" w:rsidR="00891D2C" w:rsidRPr="009B071E" w:rsidRDefault="00891D2C" w:rsidP="00891D2C">
      <w:pPr>
        <w:pStyle w:val="COMPara"/>
        <w:numPr>
          <w:ilvl w:val="0"/>
          <w:numId w:val="8"/>
        </w:numPr>
        <w:ind w:left="1134" w:hanging="504"/>
        <w:jc w:val="both"/>
        <w:rPr>
          <w:lang w:val="fr-FR"/>
        </w:rPr>
      </w:pPr>
      <w:r w:rsidRPr="009B071E">
        <w:rPr>
          <w:lang w:val="fr-FR"/>
        </w:rPr>
        <w:t xml:space="preserve">Le document </w:t>
      </w:r>
      <w:hyperlink r:id="rId13" w:history="1">
        <w:r w:rsidRPr="009B071E">
          <w:rPr>
            <w:rStyle w:val="Lienhypertexte"/>
            <w:lang w:val="fr-FR"/>
          </w:rPr>
          <w:t>LHE/23/18.COM/</w:t>
        </w:r>
        <w:proofErr w:type="gramStart"/>
        <w:r w:rsidRPr="009B071E">
          <w:rPr>
            <w:rStyle w:val="Lienhypertexte"/>
            <w:lang w:val="fr-FR"/>
          </w:rPr>
          <w:t>8.a</w:t>
        </w:r>
        <w:proofErr w:type="gramEnd"/>
      </w:hyperlink>
      <w:r w:rsidRPr="009B071E">
        <w:rPr>
          <w:lang w:val="fr-FR"/>
        </w:rPr>
        <w:t xml:space="preserve"> </w:t>
      </w:r>
      <w:proofErr w:type="spellStart"/>
      <w:r w:rsidRPr="009B071E">
        <w:rPr>
          <w:lang w:val="fr-FR"/>
        </w:rPr>
        <w:t>concerne</w:t>
      </w:r>
      <w:proofErr w:type="spellEnd"/>
      <w:r w:rsidRPr="009B071E">
        <w:rPr>
          <w:lang w:val="fr-FR"/>
        </w:rPr>
        <w:t xml:space="preserve"> les </w:t>
      </w:r>
      <w:r w:rsidR="000D2014" w:rsidRPr="009B071E">
        <w:rPr>
          <w:lang w:val="fr-FR"/>
        </w:rPr>
        <w:t xml:space="preserve">candidatures pour </w:t>
      </w:r>
      <w:r w:rsidRPr="009B071E">
        <w:rPr>
          <w:lang w:val="fr-FR"/>
        </w:rPr>
        <w:t xml:space="preserve">inscription sur la Liste de sauvegarde urgente ainsi que les </w:t>
      </w:r>
      <w:r w:rsidR="00694A8E" w:rsidRPr="009B071E">
        <w:rPr>
          <w:lang w:val="fr-FR"/>
        </w:rPr>
        <w:t>candidatures d’inscription combinées sur cette Liste</w:t>
      </w:r>
      <w:r w:rsidRPr="009B071E">
        <w:rPr>
          <w:lang w:val="fr-FR"/>
        </w:rPr>
        <w:t>, accompagnées de demandes d</w:t>
      </w:r>
      <w:r w:rsidR="00521B04" w:rsidRPr="009B071E">
        <w:rPr>
          <w:lang w:val="fr-FR"/>
        </w:rPr>
        <w:t>’</w:t>
      </w:r>
      <w:r w:rsidRPr="009B071E">
        <w:rPr>
          <w:lang w:val="fr-FR"/>
        </w:rPr>
        <w:t>assistance internationale pour soutenir la mise en œuvre du plan de sauvegarde proposé ;</w:t>
      </w:r>
    </w:p>
    <w:p w14:paraId="2980BFF8" w14:textId="22D9A288" w:rsidR="00891D2C" w:rsidRPr="009B071E" w:rsidRDefault="00891D2C" w:rsidP="00891D2C">
      <w:pPr>
        <w:pStyle w:val="COMPara"/>
        <w:numPr>
          <w:ilvl w:val="0"/>
          <w:numId w:val="8"/>
        </w:numPr>
        <w:ind w:left="1134" w:hanging="504"/>
        <w:jc w:val="both"/>
        <w:rPr>
          <w:lang w:val="fr-FR"/>
        </w:rPr>
      </w:pPr>
      <w:r w:rsidRPr="009B071E">
        <w:rPr>
          <w:lang w:val="fr-FR"/>
        </w:rPr>
        <w:t xml:space="preserve">Le document </w:t>
      </w:r>
      <w:hyperlink r:id="rId14" w:history="1">
        <w:r w:rsidRPr="009B071E">
          <w:rPr>
            <w:rStyle w:val="Lienhypertexte"/>
            <w:lang w:val="fr-FR"/>
          </w:rPr>
          <w:t>LHE/23/18.COM/</w:t>
        </w:r>
        <w:proofErr w:type="gramStart"/>
        <w:r w:rsidRPr="009B071E">
          <w:rPr>
            <w:rStyle w:val="Lienhypertexte"/>
            <w:lang w:val="fr-FR"/>
          </w:rPr>
          <w:t>8.b</w:t>
        </w:r>
        <w:proofErr w:type="gramEnd"/>
      </w:hyperlink>
      <w:r w:rsidRPr="009B071E">
        <w:rPr>
          <w:lang w:val="fr-FR"/>
        </w:rPr>
        <w:t xml:space="preserve"> concerne les candidatures </w:t>
      </w:r>
      <w:r w:rsidR="000D2014" w:rsidRPr="009B071E">
        <w:rPr>
          <w:lang w:val="fr-FR"/>
        </w:rPr>
        <w:t>pour</w:t>
      </w:r>
      <w:r w:rsidRPr="009B071E">
        <w:rPr>
          <w:lang w:val="fr-FR"/>
        </w:rPr>
        <w:t xml:space="preserve"> inscription sur la Liste représentative ;</w:t>
      </w:r>
    </w:p>
    <w:p w14:paraId="4B514C55" w14:textId="31FA84B0" w:rsidR="00891D2C" w:rsidRPr="009B071E" w:rsidRDefault="00891D2C" w:rsidP="00891D2C">
      <w:pPr>
        <w:pStyle w:val="COMPara"/>
        <w:numPr>
          <w:ilvl w:val="0"/>
          <w:numId w:val="8"/>
        </w:numPr>
        <w:ind w:left="1134" w:hanging="504"/>
        <w:jc w:val="both"/>
        <w:rPr>
          <w:lang w:val="fr-FR"/>
        </w:rPr>
      </w:pPr>
      <w:r w:rsidRPr="009B071E">
        <w:rPr>
          <w:lang w:val="fr-FR"/>
        </w:rPr>
        <w:t xml:space="preserve">Le document </w:t>
      </w:r>
      <w:hyperlink r:id="rId15" w:history="1">
        <w:r w:rsidRPr="009B071E">
          <w:rPr>
            <w:rStyle w:val="Lienhypertexte"/>
            <w:lang w:val="fr-FR"/>
          </w:rPr>
          <w:t>LHE/23/18.COM/8.c</w:t>
        </w:r>
      </w:hyperlink>
      <w:r w:rsidRPr="009B071E">
        <w:rPr>
          <w:lang w:val="fr-FR"/>
        </w:rPr>
        <w:t xml:space="preserve"> concerne les propositions pour le Registre de bonnes pratiques de sauvegarde ;</w:t>
      </w:r>
    </w:p>
    <w:p w14:paraId="08EA3E69" w14:textId="48AD6E5D" w:rsidR="00891D2C" w:rsidRPr="009B071E" w:rsidRDefault="00891D2C" w:rsidP="00891D2C">
      <w:pPr>
        <w:pStyle w:val="COMPara"/>
        <w:numPr>
          <w:ilvl w:val="0"/>
          <w:numId w:val="8"/>
        </w:numPr>
        <w:ind w:left="1134" w:hanging="504"/>
        <w:jc w:val="both"/>
        <w:rPr>
          <w:lang w:val="fr-FR"/>
        </w:rPr>
      </w:pPr>
      <w:r w:rsidRPr="009B071E">
        <w:rPr>
          <w:lang w:val="fr-FR"/>
        </w:rPr>
        <w:t xml:space="preserve">Le document </w:t>
      </w:r>
      <w:hyperlink r:id="rId16" w:history="1">
        <w:r w:rsidRPr="009B071E">
          <w:rPr>
            <w:rStyle w:val="Lienhypertexte"/>
            <w:lang w:val="fr-FR"/>
          </w:rPr>
          <w:t>LHE/23/1</w:t>
        </w:r>
        <w:r w:rsidR="00943602" w:rsidRPr="009B071E">
          <w:rPr>
            <w:rStyle w:val="Lienhypertexte"/>
            <w:lang w:val="fr-FR"/>
          </w:rPr>
          <w:t>8</w:t>
        </w:r>
        <w:r w:rsidRPr="009B071E">
          <w:rPr>
            <w:rStyle w:val="Lienhypertexte"/>
            <w:lang w:val="fr-FR"/>
          </w:rPr>
          <w:t>.COM/</w:t>
        </w:r>
        <w:proofErr w:type="gramStart"/>
        <w:r w:rsidRPr="009B071E">
          <w:rPr>
            <w:rStyle w:val="Lienhypertexte"/>
            <w:lang w:val="fr-FR"/>
          </w:rPr>
          <w:t>8.d</w:t>
        </w:r>
        <w:proofErr w:type="gramEnd"/>
      </w:hyperlink>
      <w:r w:rsidRPr="009B071E">
        <w:rPr>
          <w:lang w:val="fr-FR"/>
        </w:rPr>
        <w:t xml:space="preserve"> concerne les demandes d</w:t>
      </w:r>
      <w:r w:rsidR="00521B04" w:rsidRPr="009B071E">
        <w:rPr>
          <w:lang w:val="fr-FR"/>
        </w:rPr>
        <w:t>’</w:t>
      </w:r>
      <w:r w:rsidRPr="009B071E">
        <w:rPr>
          <w:lang w:val="fr-FR"/>
        </w:rPr>
        <w:t xml:space="preserve">assistance internationale supérieures à 100 000 dollars </w:t>
      </w:r>
      <w:r w:rsidR="000D2014" w:rsidRPr="009B071E">
        <w:rPr>
          <w:lang w:val="fr-FR"/>
        </w:rPr>
        <w:t xml:space="preserve">des </w:t>
      </w:r>
      <w:r w:rsidR="00592DB7" w:rsidRPr="009B071E">
        <w:rPr>
          <w:lang w:val="fr-FR"/>
        </w:rPr>
        <w:t>États-Unis</w:t>
      </w:r>
      <w:r w:rsidRPr="009B071E">
        <w:rPr>
          <w:lang w:val="fr-FR"/>
        </w:rPr>
        <w:t>.</w:t>
      </w:r>
    </w:p>
    <w:p w14:paraId="4A0EFEDE" w14:textId="72C12CE0" w:rsidR="00322322" w:rsidRPr="009B071E" w:rsidRDefault="00322322" w:rsidP="00A807F5">
      <w:pPr>
        <w:pStyle w:val="COMPara"/>
        <w:numPr>
          <w:ilvl w:val="0"/>
          <w:numId w:val="7"/>
        </w:numPr>
        <w:ind w:left="630" w:hanging="630"/>
        <w:jc w:val="both"/>
        <w:rPr>
          <w:lang w:val="fr-FR"/>
        </w:rPr>
      </w:pPr>
      <w:r w:rsidRPr="009B071E">
        <w:rPr>
          <w:lang w:val="fr-FR"/>
        </w:rPr>
        <w:t>Les dossiers évalués par l</w:t>
      </w:r>
      <w:r w:rsidR="00521B04" w:rsidRPr="009B071E">
        <w:rPr>
          <w:lang w:val="fr-FR"/>
        </w:rPr>
        <w:t>’</w:t>
      </w:r>
      <w:r w:rsidRPr="009B071E">
        <w:rPr>
          <w:lang w:val="fr-FR"/>
        </w:rPr>
        <w:t>Organe d</w:t>
      </w:r>
      <w:r w:rsidR="00521B04" w:rsidRPr="009B071E">
        <w:rPr>
          <w:lang w:val="fr-FR"/>
        </w:rPr>
        <w:t>’</w:t>
      </w:r>
      <w:r w:rsidRPr="009B071E">
        <w:rPr>
          <w:lang w:val="fr-FR"/>
        </w:rPr>
        <w:t>évaluation pour le cycle 2023 sont disponibles sur le site Internet de la Convention à l</w:t>
      </w:r>
      <w:r w:rsidR="00521B04" w:rsidRPr="009B071E">
        <w:rPr>
          <w:lang w:val="fr-FR"/>
        </w:rPr>
        <w:t>’</w:t>
      </w:r>
      <w:r w:rsidRPr="009B071E">
        <w:rPr>
          <w:lang w:val="fr-FR"/>
        </w:rPr>
        <w:t xml:space="preserve">adresse : </w:t>
      </w:r>
      <w:hyperlink r:id="rId17" w:history="1">
        <w:r w:rsidR="000D2014" w:rsidRPr="009B071E">
          <w:rPr>
            <w:color w:val="0000FF"/>
            <w:u w:val="single"/>
            <w:lang w:val="fr-FR"/>
          </w:rPr>
          <w:t>https://ich.unesco.org/fr/files-2023-under-process-01248</w:t>
        </w:r>
      </w:hyperlink>
      <w:r w:rsidRPr="009B071E">
        <w:rPr>
          <w:lang w:val="fr-FR"/>
        </w:rPr>
        <w:t>. Les candidatures, propositions et demandes sont présentées dans leurs rapports respectifs dans l</w:t>
      </w:r>
      <w:r w:rsidR="00521B04" w:rsidRPr="009B071E">
        <w:rPr>
          <w:lang w:val="fr-FR"/>
        </w:rPr>
        <w:t>’</w:t>
      </w:r>
      <w:r w:rsidRPr="009B071E">
        <w:rPr>
          <w:lang w:val="fr-FR"/>
        </w:rPr>
        <w:t xml:space="preserve">ordre alphabétique anglais, avec les dossiers des États dont le nom commence par la lettre N, </w:t>
      </w:r>
      <w:proofErr w:type="gramStart"/>
      <w:r w:rsidRPr="009B071E">
        <w:rPr>
          <w:lang w:val="fr-FR"/>
        </w:rPr>
        <w:t>suite à un</w:t>
      </w:r>
      <w:proofErr w:type="gramEnd"/>
      <w:r w:rsidRPr="009B071E">
        <w:rPr>
          <w:lang w:val="fr-FR"/>
        </w:rPr>
        <w:t xml:space="preserve"> tirage au sort effectué lors de la dix-septième session du Comité (Décision </w:t>
      </w:r>
      <w:hyperlink r:id="rId18" w:history="1">
        <w:r w:rsidRPr="009B071E">
          <w:rPr>
            <w:rStyle w:val="Lienhypertexte"/>
            <w:rFonts w:eastAsia="SimSun"/>
            <w:lang w:val="fr-FR"/>
          </w:rPr>
          <w:t>17.COM 14</w:t>
        </w:r>
      </w:hyperlink>
      <w:r w:rsidRPr="009B071E">
        <w:rPr>
          <w:lang w:val="fr-FR"/>
        </w:rPr>
        <w:t>).</w:t>
      </w:r>
    </w:p>
    <w:p w14:paraId="3C546A7B" w14:textId="3DFB671F" w:rsidR="00322322" w:rsidRPr="009B071E" w:rsidRDefault="009627B1" w:rsidP="00EB21B9">
      <w:pPr>
        <w:pStyle w:val="COMPara"/>
        <w:keepNext/>
        <w:spacing w:before="240"/>
        <w:ind w:left="567" w:hanging="567"/>
        <w:rPr>
          <w:b/>
          <w:bCs/>
          <w:lang w:val="fr-FR"/>
        </w:rPr>
      </w:pPr>
      <w:bookmarkStart w:id="3" w:name="_Hlk111544568"/>
      <w:r w:rsidRPr="009B071E">
        <w:rPr>
          <w:b/>
          <w:bCs/>
          <w:lang w:val="fr-FR"/>
        </w:rPr>
        <w:t>Vue d’ensemble</w:t>
      </w:r>
      <w:r w:rsidR="00322322" w:rsidRPr="009B071E">
        <w:rPr>
          <w:b/>
          <w:bCs/>
          <w:lang w:val="fr-FR"/>
        </w:rPr>
        <w:t xml:space="preserve"> du cycle 2023</w:t>
      </w:r>
    </w:p>
    <w:bookmarkEnd w:id="3"/>
    <w:p w14:paraId="0D85D6BD" w14:textId="5ADB5A76" w:rsidR="00322322" w:rsidRPr="009B071E" w:rsidRDefault="00322322" w:rsidP="00EF6ACC">
      <w:pPr>
        <w:pStyle w:val="COMPara"/>
        <w:keepLines/>
        <w:numPr>
          <w:ilvl w:val="0"/>
          <w:numId w:val="7"/>
        </w:numPr>
        <w:ind w:left="567" w:hanging="567"/>
        <w:jc w:val="both"/>
        <w:rPr>
          <w:lang w:val="fr-FR"/>
        </w:rPr>
      </w:pPr>
      <w:r w:rsidRPr="009B071E">
        <w:rPr>
          <w:lang w:val="fr-FR"/>
        </w:rPr>
        <w:t xml:space="preserve">Conformément au paragraphe 54 des Directives opérationnelles, la date limite de </w:t>
      </w:r>
      <w:r w:rsidR="00943602" w:rsidRPr="009B071E">
        <w:rPr>
          <w:snapToGrid/>
          <w:color w:val="000000" w:themeColor="text1"/>
          <w:lang w:val="fr-FR"/>
        </w:rPr>
        <w:t xml:space="preserve">soumission </w:t>
      </w:r>
      <w:r w:rsidRPr="009B071E">
        <w:rPr>
          <w:lang w:val="fr-FR"/>
        </w:rPr>
        <w:t xml:space="preserve">des dossiers pour le cycle 2023 était </w:t>
      </w:r>
      <w:r w:rsidR="00CF7AEC" w:rsidRPr="009B071E">
        <w:rPr>
          <w:lang w:val="fr-FR"/>
        </w:rPr>
        <w:t xml:space="preserve">fixée au </w:t>
      </w:r>
      <w:r w:rsidRPr="009B071E">
        <w:rPr>
          <w:lang w:val="fr-FR"/>
        </w:rPr>
        <w:t>31 mars 2022. Les Directives opérationnelles prévoient que « le Comité détermine deux ans à l</w:t>
      </w:r>
      <w:r w:rsidR="00521B04" w:rsidRPr="009B071E">
        <w:rPr>
          <w:lang w:val="fr-FR"/>
        </w:rPr>
        <w:t>’</w:t>
      </w:r>
      <w:r w:rsidRPr="009B071E">
        <w:rPr>
          <w:lang w:val="fr-FR"/>
        </w:rPr>
        <w:t xml:space="preserve">avance, </w:t>
      </w:r>
      <w:r w:rsidR="00CF7AEC" w:rsidRPr="009B071E">
        <w:rPr>
          <w:lang w:val="fr-FR"/>
        </w:rPr>
        <w:t>selon les</w:t>
      </w:r>
      <w:r w:rsidRPr="009B071E">
        <w:rPr>
          <w:lang w:val="fr-FR"/>
        </w:rPr>
        <w:t xml:space="preserve"> ressources disponibles et </w:t>
      </w:r>
      <w:r w:rsidR="00CF7AEC" w:rsidRPr="009B071E">
        <w:rPr>
          <w:lang w:val="fr-FR"/>
        </w:rPr>
        <w:t>ses</w:t>
      </w:r>
      <w:r w:rsidRPr="009B071E">
        <w:rPr>
          <w:lang w:val="fr-FR"/>
        </w:rPr>
        <w:t xml:space="preserve"> capacité</w:t>
      </w:r>
      <w:r w:rsidR="00CF7AEC" w:rsidRPr="009B071E">
        <w:rPr>
          <w:lang w:val="fr-FR"/>
        </w:rPr>
        <w:t>s</w:t>
      </w:r>
      <w:r w:rsidRPr="009B071E">
        <w:rPr>
          <w:lang w:val="fr-FR"/>
        </w:rPr>
        <w:t>, le nombre de dossiers qui pourront être traités au cours des deux cycles suivants » (paragraphe 33). Lors de sa quinzième session, le Comité a déterminé qu</w:t>
      </w:r>
      <w:r w:rsidR="00521B04" w:rsidRPr="009B071E">
        <w:rPr>
          <w:lang w:val="fr-FR"/>
        </w:rPr>
        <w:t>’</w:t>
      </w:r>
      <w:r w:rsidRPr="009B071E">
        <w:rPr>
          <w:lang w:val="fr-FR"/>
        </w:rPr>
        <w:t>au cours du cycle 2023, au moins 55 dossiers pourraient être traités pour la Liste de sauvegarde urgente, la Liste représentative, le Registre de bonnes pratiques de sauvegarde et l</w:t>
      </w:r>
      <w:r w:rsidR="00521B04" w:rsidRPr="009B071E">
        <w:rPr>
          <w:lang w:val="fr-FR"/>
        </w:rPr>
        <w:t>’</w:t>
      </w:r>
      <w:r w:rsidRPr="009B071E">
        <w:rPr>
          <w:lang w:val="fr-FR"/>
        </w:rPr>
        <w:t>Assistance internationale supérieure à 100 000 dollars</w:t>
      </w:r>
      <w:r w:rsidR="00F15E59" w:rsidRPr="009B071E">
        <w:rPr>
          <w:lang w:val="fr-FR"/>
        </w:rPr>
        <w:t xml:space="preserve"> des </w:t>
      </w:r>
      <w:r w:rsidR="00F5362E" w:rsidRPr="009B071E">
        <w:rPr>
          <w:lang w:val="fr-FR"/>
        </w:rPr>
        <w:t xml:space="preserve">États-Unis </w:t>
      </w:r>
      <w:r w:rsidRPr="009B071E">
        <w:rPr>
          <w:lang w:val="fr-FR"/>
        </w:rPr>
        <w:t>(</w:t>
      </w:r>
      <w:hyperlink r:id="rId19" w:history="1">
        <w:r w:rsidRPr="009B071E">
          <w:rPr>
            <w:rStyle w:val="Lienhypertexte"/>
            <w:color w:val="auto"/>
            <w:u w:val="none"/>
            <w:lang w:val="fr-FR"/>
          </w:rPr>
          <w:t xml:space="preserve">Décision </w:t>
        </w:r>
        <w:r w:rsidRPr="009B071E">
          <w:rPr>
            <w:rStyle w:val="Lienhypertexte"/>
            <w:lang w:val="fr-FR"/>
          </w:rPr>
          <w:t>15.COM 9</w:t>
        </w:r>
      </w:hyperlink>
      <w:r w:rsidRPr="009B071E">
        <w:rPr>
          <w:lang w:val="fr-FR"/>
        </w:rPr>
        <w:t>).</w:t>
      </w:r>
    </w:p>
    <w:p w14:paraId="2934EA44" w14:textId="2C2A4187" w:rsidR="00322322" w:rsidRPr="009B071E" w:rsidRDefault="00322322" w:rsidP="00A5789C">
      <w:pPr>
        <w:pStyle w:val="COMPara"/>
        <w:numPr>
          <w:ilvl w:val="0"/>
          <w:numId w:val="7"/>
        </w:numPr>
        <w:ind w:left="567" w:hanging="567"/>
        <w:jc w:val="both"/>
        <w:rPr>
          <w:lang w:val="fr-FR"/>
        </w:rPr>
      </w:pPr>
      <w:proofErr w:type="gramStart"/>
      <w:r w:rsidRPr="009B071E">
        <w:rPr>
          <w:lang w:val="fr-FR"/>
        </w:rPr>
        <w:t>Suite à</w:t>
      </w:r>
      <w:proofErr w:type="gramEnd"/>
      <w:r w:rsidRPr="009B071E">
        <w:rPr>
          <w:lang w:val="fr-FR"/>
        </w:rPr>
        <w:t xml:space="preserve"> la décision susmentionnée de traiter au moins un dossier par État </w:t>
      </w:r>
      <w:r w:rsidRPr="009B071E">
        <w:rPr>
          <w:snapToGrid/>
          <w:color w:val="000000" w:themeColor="text1"/>
          <w:lang w:val="fr-FR"/>
        </w:rPr>
        <w:t>soumissionnaire</w:t>
      </w:r>
      <w:r w:rsidRPr="009B071E">
        <w:rPr>
          <w:lang w:val="fr-FR"/>
        </w:rPr>
        <w:t xml:space="preserve"> au cours de la période de deux ans </w:t>
      </w:r>
      <w:r w:rsidR="00CF7AEC" w:rsidRPr="009B071E">
        <w:rPr>
          <w:lang w:val="fr-FR"/>
        </w:rPr>
        <w:t xml:space="preserve">courant de </w:t>
      </w:r>
      <w:r w:rsidRPr="009B071E">
        <w:rPr>
          <w:lang w:val="fr-FR"/>
        </w:rPr>
        <w:t>2023</w:t>
      </w:r>
      <w:r w:rsidR="00CF7AEC" w:rsidRPr="009B071E">
        <w:rPr>
          <w:lang w:val="fr-FR"/>
        </w:rPr>
        <w:t xml:space="preserve"> à </w:t>
      </w:r>
      <w:r w:rsidRPr="009B071E">
        <w:rPr>
          <w:lang w:val="fr-FR"/>
        </w:rPr>
        <w:t>2024</w:t>
      </w:r>
      <w:r w:rsidR="00CF7AEC" w:rsidRPr="009B071E">
        <w:rPr>
          <w:lang w:val="fr-FR"/>
        </w:rPr>
        <w:t>,</w:t>
      </w:r>
      <w:r w:rsidRPr="009B071E">
        <w:rPr>
          <w:lang w:val="fr-FR"/>
        </w:rPr>
        <w:t xml:space="preserve"> et en appliquant les priorités énoncées au paragraphe 34 des Directives opérationnelles, l</w:t>
      </w:r>
      <w:r w:rsidR="00521B04" w:rsidRPr="009B071E">
        <w:rPr>
          <w:lang w:val="fr-FR"/>
        </w:rPr>
        <w:t>’</w:t>
      </w:r>
      <w:r w:rsidRPr="009B071E">
        <w:rPr>
          <w:lang w:val="fr-FR"/>
        </w:rPr>
        <w:t>Organe d</w:t>
      </w:r>
      <w:r w:rsidR="00521B04" w:rsidRPr="009B071E">
        <w:rPr>
          <w:lang w:val="fr-FR"/>
        </w:rPr>
        <w:t>’</w:t>
      </w:r>
      <w:r w:rsidRPr="009B071E">
        <w:rPr>
          <w:lang w:val="fr-FR"/>
        </w:rPr>
        <w:t>évaluation a été informé que le Secrétariat avait traité un total de soixante dossiers (comme indiqué dans la Décision </w:t>
      </w:r>
      <w:hyperlink r:id="rId20" w:history="1">
        <w:r w:rsidRPr="009B071E">
          <w:rPr>
            <w:rStyle w:val="Lienhypertexte"/>
            <w:lang w:val="fr-FR"/>
          </w:rPr>
          <w:t>17.COM</w:t>
        </w:r>
        <w:r w:rsidR="00943602" w:rsidRPr="009B071E">
          <w:rPr>
            <w:rStyle w:val="Lienhypertexte"/>
            <w:lang w:val="fr-FR"/>
          </w:rPr>
          <w:t> </w:t>
        </w:r>
        <w:r w:rsidRPr="009B071E">
          <w:rPr>
            <w:rStyle w:val="Lienhypertexte"/>
            <w:lang w:val="fr-FR"/>
          </w:rPr>
          <w:t>15</w:t>
        </w:r>
      </w:hyperlink>
      <w:r w:rsidRPr="009B071E">
        <w:rPr>
          <w:lang w:val="fr-FR"/>
        </w:rPr>
        <w:t>, par niveau de priorité, comme suit :</w:t>
      </w:r>
    </w:p>
    <w:tbl>
      <w:tblPr>
        <w:tblStyle w:val="Grilledutableau"/>
        <w:tblW w:w="0" w:type="auto"/>
        <w:tblInd w:w="562" w:type="dxa"/>
        <w:tblLook w:val="04A0" w:firstRow="1" w:lastRow="0" w:firstColumn="1" w:lastColumn="0" w:noHBand="0" w:noVBand="1"/>
      </w:tblPr>
      <w:tblGrid>
        <w:gridCol w:w="2517"/>
        <w:gridCol w:w="5286"/>
        <w:gridCol w:w="1263"/>
      </w:tblGrid>
      <w:tr w:rsidR="00322322" w:rsidRPr="009B071E" w14:paraId="104AC841" w14:textId="77777777" w:rsidTr="00700E7C">
        <w:trPr>
          <w:cantSplit/>
        </w:trPr>
        <w:tc>
          <w:tcPr>
            <w:tcW w:w="2517" w:type="dxa"/>
            <w:shd w:val="clear" w:color="auto" w:fill="D9D9D9" w:themeFill="background1" w:themeFillShade="D9"/>
          </w:tcPr>
          <w:p w14:paraId="6E0BF144" w14:textId="77777777" w:rsidR="00322322" w:rsidRPr="009B071E" w:rsidRDefault="00322322" w:rsidP="00700E7C">
            <w:pPr>
              <w:pStyle w:val="COMPara"/>
              <w:numPr>
                <w:ilvl w:val="0"/>
                <w:numId w:val="0"/>
              </w:numPr>
              <w:ind w:left="360" w:hanging="360"/>
              <w:rPr>
                <w:b/>
                <w:sz w:val="20"/>
                <w:szCs w:val="20"/>
                <w:lang w:val="fr-FR"/>
              </w:rPr>
            </w:pPr>
            <w:r w:rsidRPr="009B071E">
              <w:rPr>
                <w:b/>
                <w:bCs/>
                <w:sz w:val="20"/>
                <w:szCs w:val="20"/>
                <w:lang w:val="fr-FR"/>
              </w:rPr>
              <w:t>Référence</w:t>
            </w:r>
          </w:p>
        </w:tc>
        <w:tc>
          <w:tcPr>
            <w:tcW w:w="5286" w:type="dxa"/>
            <w:shd w:val="clear" w:color="auto" w:fill="D9D9D9" w:themeFill="background1" w:themeFillShade="D9"/>
          </w:tcPr>
          <w:p w14:paraId="5B33B13E" w14:textId="77777777" w:rsidR="00322322" w:rsidRPr="009B071E" w:rsidRDefault="00322322" w:rsidP="00700E7C">
            <w:pPr>
              <w:pStyle w:val="COMPara"/>
              <w:numPr>
                <w:ilvl w:val="0"/>
                <w:numId w:val="0"/>
              </w:numPr>
              <w:rPr>
                <w:b/>
                <w:sz w:val="20"/>
                <w:szCs w:val="20"/>
                <w:lang w:val="fr-FR"/>
              </w:rPr>
            </w:pPr>
            <w:r w:rsidRPr="009B071E">
              <w:rPr>
                <w:b/>
                <w:bCs/>
                <w:sz w:val="20"/>
                <w:szCs w:val="20"/>
                <w:lang w:val="fr-FR"/>
              </w:rPr>
              <w:t>Type de dossier</w:t>
            </w:r>
          </w:p>
        </w:tc>
        <w:tc>
          <w:tcPr>
            <w:tcW w:w="1263" w:type="dxa"/>
            <w:shd w:val="clear" w:color="auto" w:fill="D9D9D9" w:themeFill="background1" w:themeFillShade="D9"/>
          </w:tcPr>
          <w:p w14:paraId="692374F5" w14:textId="0137BBB3" w:rsidR="00322322" w:rsidRPr="009B071E" w:rsidRDefault="00943602" w:rsidP="00700E7C">
            <w:pPr>
              <w:pStyle w:val="COMPara"/>
              <w:numPr>
                <w:ilvl w:val="0"/>
                <w:numId w:val="0"/>
              </w:numPr>
              <w:rPr>
                <w:b/>
                <w:sz w:val="20"/>
                <w:szCs w:val="20"/>
                <w:lang w:val="fr-FR"/>
              </w:rPr>
            </w:pPr>
            <w:r w:rsidRPr="009B071E">
              <w:rPr>
                <w:b/>
                <w:bCs/>
                <w:sz w:val="20"/>
                <w:szCs w:val="20"/>
                <w:lang w:val="fr-FR"/>
              </w:rPr>
              <w:t>Nombre</w:t>
            </w:r>
          </w:p>
        </w:tc>
      </w:tr>
      <w:tr w:rsidR="00322322" w:rsidRPr="009B071E" w14:paraId="77CEBFAF" w14:textId="77777777" w:rsidTr="00700E7C">
        <w:trPr>
          <w:cantSplit/>
        </w:trPr>
        <w:tc>
          <w:tcPr>
            <w:tcW w:w="2517" w:type="dxa"/>
          </w:tcPr>
          <w:p w14:paraId="1FF112A6" w14:textId="77777777" w:rsidR="00322322" w:rsidRPr="009B071E" w:rsidRDefault="00322322" w:rsidP="00700E7C">
            <w:pPr>
              <w:pStyle w:val="COMPara"/>
              <w:numPr>
                <w:ilvl w:val="0"/>
                <w:numId w:val="0"/>
              </w:numPr>
              <w:rPr>
                <w:sz w:val="20"/>
                <w:szCs w:val="20"/>
                <w:lang w:val="fr-FR"/>
              </w:rPr>
            </w:pPr>
            <w:r w:rsidRPr="009B071E">
              <w:rPr>
                <w:sz w:val="20"/>
                <w:szCs w:val="20"/>
                <w:lang w:val="fr-FR"/>
              </w:rPr>
              <w:t>Décision 15.COM 9 - priorité (0)</w:t>
            </w:r>
          </w:p>
        </w:tc>
        <w:tc>
          <w:tcPr>
            <w:tcW w:w="5286" w:type="dxa"/>
            <w:shd w:val="clear" w:color="auto" w:fill="auto"/>
          </w:tcPr>
          <w:p w14:paraId="7E652425" w14:textId="79DCA5A3" w:rsidR="00322322" w:rsidRPr="009B071E" w:rsidRDefault="005063F0" w:rsidP="00700E7C">
            <w:pPr>
              <w:pStyle w:val="COMPara"/>
              <w:numPr>
                <w:ilvl w:val="0"/>
                <w:numId w:val="0"/>
              </w:numPr>
              <w:jc w:val="both"/>
              <w:rPr>
                <w:sz w:val="20"/>
                <w:szCs w:val="20"/>
                <w:lang w:val="fr-FR"/>
              </w:rPr>
            </w:pPr>
            <w:r w:rsidRPr="009B071E">
              <w:rPr>
                <w:sz w:val="20"/>
                <w:szCs w:val="20"/>
                <w:lang w:val="fr-FR"/>
              </w:rPr>
              <w:t>Dossiers provenant d’États n’ayant aucun dossier traité pour le cycle 2022</w:t>
            </w:r>
          </w:p>
        </w:tc>
        <w:tc>
          <w:tcPr>
            <w:tcW w:w="1263" w:type="dxa"/>
          </w:tcPr>
          <w:p w14:paraId="0928A857" w14:textId="69013AFB" w:rsidR="00322322" w:rsidRPr="009B071E" w:rsidRDefault="00E412CA" w:rsidP="00700E7C">
            <w:pPr>
              <w:pStyle w:val="COMPara"/>
              <w:numPr>
                <w:ilvl w:val="0"/>
                <w:numId w:val="0"/>
              </w:numPr>
              <w:jc w:val="right"/>
              <w:rPr>
                <w:sz w:val="20"/>
                <w:szCs w:val="20"/>
                <w:lang w:val="fr-FR"/>
              </w:rPr>
            </w:pPr>
            <w:r w:rsidRPr="009B071E">
              <w:rPr>
                <w:sz w:val="20"/>
                <w:szCs w:val="20"/>
                <w:lang w:val="fr-FR"/>
              </w:rPr>
              <w:t>44</w:t>
            </w:r>
          </w:p>
        </w:tc>
      </w:tr>
      <w:tr w:rsidR="00322322" w:rsidRPr="009B071E" w14:paraId="45DEE935" w14:textId="77777777" w:rsidTr="00700E7C">
        <w:trPr>
          <w:cantSplit/>
        </w:trPr>
        <w:tc>
          <w:tcPr>
            <w:tcW w:w="2517" w:type="dxa"/>
            <w:vMerge w:val="restart"/>
            <w:shd w:val="clear" w:color="auto" w:fill="auto"/>
          </w:tcPr>
          <w:p w14:paraId="519C919D" w14:textId="72C3C378" w:rsidR="00322322" w:rsidRPr="009B071E" w:rsidRDefault="00322322" w:rsidP="00700E7C">
            <w:pPr>
              <w:pStyle w:val="COMPara"/>
              <w:numPr>
                <w:ilvl w:val="0"/>
                <w:numId w:val="0"/>
              </w:numPr>
              <w:rPr>
                <w:sz w:val="20"/>
                <w:szCs w:val="20"/>
                <w:lang w:val="fr-FR"/>
              </w:rPr>
            </w:pPr>
            <w:r w:rsidRPr="009B071E">
              <w:rPr>
                <w:sz w:val="20"/>
                <w:szCs w:val="20"/>
                <w:lang w:val="fr-FR"/>
              </w:rPr>
              <w:t xml:space="preserve">Paragraphe 34 des Directives opérationnelles </w:t>
            </w:r>
            <w:r w:rsidR="00943602" w:rsidRPr="009B071E">
              <w:rPr>
                <w:sz w:val="20"/>
                <w:szCs w:val="20"/>
                <w:lang w:val="fr-FR"/>
              </w:rPr>
              <w:t>–</w:t>
            </w:r>
            <w:r w:rsidRPr="009B071E">
              <w:rPr>
                <w:sz w:val="20"/>
                <w:szCs w:val="20"/>
                <w:lang w:val="fr-FR"/>
              </w:rPr>
              <w:t xml:space="preserve"> priorité</w:t>
            </w:r>
            <w:r w:rsidR="00943602" w:rsidRPr="009B071E">
              <w:rPr>
                <w:sz w:val="20"/>
                <w:szCs w:val="20"/>
                <w:lang w:val="fr-FR"/>
              </w:rPr>
              <w:t> </w:t>
            </w:r>
            <w:r w:rsidRPr="009B071E">
              <w:rPr>
                <w:sz w:val="20"/>
                <w:szCs w:val="20"/>
                <w:lang w:val="fr-FR"/>
              </w:rPr>
              <w:t>(i)</w:t>
            </w:r>
          </w:p>
        </w:tc>
        <w:tc>
          <w:tcPr>
            <w:tcW w:w="5286" w:type="dxa"/>
            <w:shd w:val="clear" w:color="auto" w:fill="auto"/>
          </w:tcPr>
          <w:p w14:paraId="7E8B0361" w14:textId="1D7B9B1A" w:rsidR="00322322" w:rsidRPr="009B071E" w:rsidRDefault="005063F0" w:rsidP="00700E7C">
            <w:pPr>
              <w:pStyle w:val="COMPara"/>
              <w:numPr>
                <w:ilvl w:val="0"/>
                <w:numId w:val="0"/>
              </w:numPr>
              <w:jc w:val="both"/>
              <w:rPr>
                <w:sz w:val="20"/>
                <w:szCs w:val="20"/>
                <w:lang w:val="fr-FR"/>
              </w:rPr>
            </w:pPr>
            <w:r w:rsidRPr="009B071E">
              <w:rPr>
                <w:sz w:val="20"/>
                <w:szCs w:val="20"/>
                <w:lang w:val="fr-FR"/>
              </w:rPr>
              <w:t>Dossiers provenant d’États n’ayant pas d’éléments inscrits, de bonnes pratiques de sauvegarde sélectionnées ou de demandes d’assistance internationale supérieures à 100 000 dollars des États-Unis approuvées</w:t>
            </w:r>
          </w:p>
        </w:tc>
        <w:tc>
          <w:tcPr>
            <w:tcW w:w="1263" w:type="dxa"/>
            <w:shd w:val="clear" w:color="auto" w:fill="auto"/>
          </w:tcPr>
          <w:p w14:paraId="360DAE27" w14:textId="7FEF776E" w:rsidR="00322322" w:rsidRPr="009B071E" w:rsidRDefault="008565EA" w:rsidP="00700E7C">
            <w:pPr>
              <w:pStyle w:val="COMPara"/>
              <w:numPr>
                <w:ilvl w:val="0"/>
                <w:numId w:val="0"/>
              </w:numPr>
              <w:jc w:val="right"/>
              <w:rPr>
                <w:sz w:val="20"/>
                <w:szCs w:val="20"/>
                <w:lang w:val="fr-FR"/>
              </w:rPr>
            </w:pPr>
            <w:r w:rsidRPr="009B071E">
              <w:rPr>
                <w:sz w:val="20"/>
                <w:szCs w:val="20"/>
                <w:lang w:val="fr-FR"/>
              </w:rPr>
              <w:t>3</w:t>
            </w:r>
          </w:p>
        </w:tc>
      </w:tr>
      <w:tr w:rsidR="00322322" w:rsidRPr="009B071E" w14:paraId="75F5FC3B" w14:textId="77777777" w:rsidTr="00700E7C">
        <w:trPr>
          <w:cantSplit/>
        </w:trPr>
        <w:tc>
          <w:tcPr>
            <w:tcW w:w="2517" w:type="dxa"/>
            <w:vMerge/>
          </w:tcPr>
          <w:p w14:paraId="13A56455" w14:textId="77777777" w:rsidR="00322322" w:rsidRPr="009B071E" w:rsidRDefault="00322322" w:rsidP="00700E7C">
            <w:pPr>
              <w:pStyle w:val="COMPara"/>
              <w:rPr>
                <w:sz w:val="20"/>
                <w:szCs w:val="20"/>
                <w:lang w:val="fr-FR"/>
              </w:rPr>
            </w:pPr>
          </w:p>
        </w:tc>
        <w:tc>
          <w:tcPr>
            <w:tcW w:w="5286" w:type="dxa"/>
          </w:tcPr>
          <w:p w14:paraId="4B06CEB2" w14:textId="2B6B6FB0" w:rsidR="00322322" w:rsidRPr="009B071E" w:rsidRDefault="00943602" w:rsidP="00700E7C">
            <w:pPr>
              <w:pStyle w:val="COMPara"/>
              <w:numPr>
                <w:ilvl w:val="0"/>
                <w:numId w:val="0"/>
              </w:numPr>
              <w:jc w:val="both"/>
              <w:rPr>
                <w:sz w:val="20"/>
                <w:szCs w:val="20"/>
                <w:lang w:val="fr-FR"/>
              </w:rPr>
            </w:pPr>
            <w:r w:rsidRPr="009B071E">
              <w:rPr>
                <w:sz w:val="20"/>
                <w:szCs w:val="20"/>
                <w:lang w:val="fr-FR"/>
              </w:rPr>
              <w:t>Dossiers pour</w:t>
            </w:r>
            <w:r w:rsidR="00826036" w:rsidRPr="009B071E">
              <w:rPr>
                <w:sz w:val="20"/>
                <w:szCs w:val="20"/>
                <w:lang w:val="fr-FR"/>
              </w:rPr>
              <w:t xml:space="preserve"> la Liste de sauvegarde urgente</w:t>
            </w:r>
          </w:p>
        </w:tc>
        <w:tc>
          <w:tcPr>
            <w:tcW w:w="1263" w:type="dxa"/>
          </w:tcPr>
          <w:p w14:paraId="5F3456E2" w14:textId="403F3370" w:rsidR="00322322" w:rsidRPr="009B071E" w:rsidRDefault="008565EA" w:rsidP="00700E7C">
            <w:pPr>
              <w:pStyle w:val="COMPara"/>
              <w:numPr>
                <w:ilvl w:val="0"/>
                <w:numId w:val="0"/>
              </w:numPr>
              <w:jc w:val="right"/>
              <w:rPr>
                <w:sz w:val="20"/>
                <w:szCs w:val="20"/>
                <w:lang w:val="fr-FR"/>
              </w:rPr>
            </w:pPr>
            <w:r w:rsidRPr="009B071E">
              <w:rPr>
                <w:sz w:val="20"/>
                <w:szCs w:val="20"/>
                <w:lang w:val="fr-FR"/>
              </w:rPr>
              <w:t>2</w:t>
            </w:r>
          </w:p>
        </w:tc>
      </w:tr>
      <w:tr w:rsidR="00322322" w:rsidRPr="009B071E" w14:paraId="3C0C6E2D" w14:textId="77777777" w:rsidTr="00700E7C">
        <w:trPr>
          <w:cantSplit/>
        </w:trPr>
        <w:tc>
          <w:tcPr>
            <w:tcW w:w="2517" w:type="dxa"/>
          </w:tcPr>
          <w:p w14:paraId="78DA655B" w14:textId="00A9C873" w:rsidR="00322322" w:rsidRPr="009B071E" w:rsidRDefault="00322322" w:rsidP="00700E7C">
            <w:pPr>
              <w:pStyle w:val="COMPara"/>
              <w:numPr>
                <w:ilvl w:val="0"/>
                <w:numId w:val="0"/>
              </w:numPr>
              <w:rPr>
                <w:sz w:val="20"/>
                <w:szCs w:val="20"/>
                <w:lang w:val="fr-FR"/>
              </w:rPr>
            </w:pPr>
            <w:r w:rsidRPr="009B071E">
              <w:rPr>
                <w:sz w:val="20"/>
                <w:szCs w:val="20"/>
                <w:lang w:val="fr-FR"/>
              </w:rPr>
              <w:lastRenderedPageBreak/>
              <w:t xml:space="preserve">Paragraphe 34 des Directives opérationnelles </w:t>
            </w:r>
            <w:r w:rsidR="00943602" w:rsidRPr="009B071E">
              <w:rPr>
                <w:sz w:val="20"/>
                <w:szCs w:val="20"/>
                <w:lang w:val="fr-FR"/>
              </w:rPr>
              <w:t>–</w:t>
            </w:r>
            <w:r w:rsidRPr="009B071E">
              <w:rPr>
                <w:sz w:val="20"/>
                <w:szCs w:val="20"/>
                <w:lang w:val="fr-FR"/>
              </w:rPr>
              <w:t xml:space="preserve"> priorité</w:t>
            </w:r>
            <w:r w:rsidR="00943602" w:rsidRPr="009B071E">
              <w:rPr>
                <w:sz w:val="20"/>
                <w:szCs w:val="20"/>
                <w:lang w:val="fr-FR"/>
              </w:rPr>
              <w:t> </w:t>
            </w:r>
            <w:r w:rsidRPr="009B071E">
              <w:rPr>
                <w:sz w:val="20"/>
                <w:szCs w:val="20"/>
                <w:lang w:val="fr-FR"/>
              </w:rPr>
              <w:t>(ii)</w:t>
            </w:r>
          </w:p>
        </w:tc>
        <w:tc>
          <w:tcPr>
            <w:tcW w:w="5286" w:type="dxa"/>
          </w:tcPr>
          <w:p w14:paraId="6D6F530F" w14:textId="77777777" w:rsidR="00322322" w:rsidRPr="009B071E" w:rsidRDefault="00322322" w:rsidP="00700E7C">
            <w:pPr>
              <w:pStyle w:val="COMPara"/>
              <w:numPr>
                <w:ilvl w:val="0"/>
                <w:numId w:val="0"/>
              </w:numPr>
              <w:jc w:val="both"/>
              <w:rPr>
                <w:sz w:val="20"/>
                <w:szCs w:val="20"/>
                <w:lang w:val="fr-FR"/>
              </w:rPr>
            </w:pPr>
            <w:r w:rsidRPr="009B071E">
              <w:rPr>
                <w:sz w:val="20"/>
                <w:szCs w:val="20"/>
                <w:lang w:val="fr-FR"/>
              </w:rPr>
              <w:t>Dossiers multinationaux</w:t>
            </w:r>
          </w:p>
        </w:tc>
        <w:tc>
          <w:tcPr>
            <w:tcW w:w="1263" w:type="dxa"/>
          </w:tcPr>
          <w:p w14:paraId="62D26227" w14:textId="49B79342" w:rsidR="00322322" w:rsidRPr="009B071E" w:rsidRDefault="00E412CA" w:rsidP="00700E7C">
            <w:pPr>
              <w:pStyle w:val="COMPara"/>
              <w:numPr>
                <w:ilvl w:val="0"/>
                <w:numId w:val="0"/>
              </w:numPr>
              <w:jc w:val="right"/>
              <w:rPr>
                <w:sz w:val="20"/>
                <w:szCs w:val="20"/>
                <w:lang w:val="fr-FR"/>
              </w:rPr>
            </w:pPr>
            <w:r w:rsidRPr="009B071E">
              <w:rPr>
                <w:sz w:val="20"/>
                <w:szCs w:val="20"/>
                <w:lang w:val="fr-FR"/>
              </w:rPr>
              <w:t>11</w:t>
            </w:r>
          </w:p>
        </w:tc>
      </w:tr>
      <w:tr w:rsidR="00322322" w:rsidRPr="009B071E" w14:paraId="18B2CA98" w14:textId="77777777" w:rsidTr="00700E7C">
        <w:trPr>
          <w:cantSplit/>
        </w:trPr>
        <w:tc>
          <w:tcPr>
            <w:tcW w:w="2517" w:type="dxa"/>
          </w:tcPr>
          <w:p w14:paraId="43EB7F6D" w14:textId="7A2A6405" w:rsidR="00322322" w:rsidRPr="009B071E" w:rsidRDefault="00322322" w:rsidP="00700E7C">
            <w:pPr>
              <w:pStyle w:val="COMPara"/>
              <w:numPr>
                <w:ilvl w:val="0"/>
                <w:numId w:val="0"/>
              </w:numPr>
              <w:rPr>
                <w:sz w:val="20"/>
                <w:szCs w:val="20"/>
                <w:lang w:val="fr-FR"/>
              </w:rPr>
            </w:pPr>
            <w:r w:rsidRPr="009B071E">
              <w:rPr>
                <w:sz w:val="20"/>
                <w:szCs w:val="20"/>
                <w:lang w:val="fr-FR"/>
              </w:rPr>
              <w:t xml:space="preserve">Paragraphe 34 des Directives opérationnelles </w:t>
            </w:r>
            <w:r w:rsidR="00943602" w:rsidRPr="009B071E">
              <w:rPr>
                <w:sz w:val="20"/>
                <w:szCs w:val="20"/>
                <w:lang w:val="fr-FR"/>
              </w:rPr>
              <w:t>–</w:t>
            </w:r>
            <w:r w:rsidRPr="009B071E">
              <w:rPr>
                <w:sz w:val="20"/>
                <w:szCs w:val="20"/>
                <w:lang w:val="fr-FR"/>
              </w:rPr>
              <w:t xml:space="preserve"> priorité</w:t>
            </w:r>
            <w:r w:rsidR="00943602" w:rsidRPr="009B071E">
              <w:rPr>
                <w:sz w:val="20"/>
                <w:szCs w:val="20"/>
                <w:lang w:val="fr-FR"/>
              </w:rPr>
              <w:t> </w:t>
            </w:r>
            <w:r w:rsidRPr="009B071E">
              <w:rPr>
                <w:sz w:val="20"/>
                <w:szCs w:val="20"/>
                <w:lang w:val="fr-FR"/>
              </w:rPr>
              <w:t>(iii)</w:t>
            </w:r>
          </w:p>
        </w:tc>
        <w:tc>
          <w:tcPr>
            <w:tcW w:w="5286" w:type="dxa"/>
          </w:tcPr>
          <w:p w14:paraId="3C845296" w14:textId="7599084F" w:rsidR="00322322" w:rsidRPr="009B071E" w:rsidRDefault="005063F0" w:rsidP="00700E7C">
            <w:pPr>
              <w:pStyle w:val="COMPara"/>
              <w:numPr>
                <w:ilvl w:val="0"/>
                <w:numId w:val="0"/>
              </w:numPr>
              <w:jc w:val="both"/>
              <w:rPr>
                <w:sz w:val="20"/>
                <w:szCs w:val="20"/>
                <w:lang w:val="fr-FR"/>
              </w:rPr>
            </w:pPr>
            <w:r w:rsidRPr="009B071E">
              <w:rPr>
                <w:sz w:val="20"/>
                <w:szCs w:val="20"/>
                <w:lang w:val="fr-FR"/>
              </w:rPr>
              <w:t>Dossiers provenant d’États ayant le moins d’éléments inscrits, de bonnes pratiques de sauvegarde sélectionnées ou de demandes d’assistance internationale supérieures à 100 000 dollars des États-Unis approuvées</w:t>
            </w:r>
          </w:p>
        </w:tc>
        <w:tc>
          <w:tcPr>
            <w:tcW w:w="1263" w:type="dxa"/>
          </w:tcPr>
          <w:p w14:paraId="3B61241A" w14:textId="77777777" w:rsidR="00322322" w:rsidRPr="009B071E" w:rsidRDefault="00322322" w:rsidP="00700E7C">
            <w:pPr>
              <w:pStyle w:val="COMPara"/>
              <w:numPr>
                <w:ilvl w:val="0"/>
                <w:numId w:val="0"/>
              </w:numPr>
              <w:jc w:val="right"/>
              <w:rPr>
                <w:sz w:val="20"/>
                <w:szCs w:val="20"/>
                <w:lang w:val="fr-FR"/>
              </w:rPr>
            </w:pPr>
            <w:r w:rsidRPr="009B071E">
              <w:rPr>
                <w:sz w:val="20"/>
                <w:szCs w:val="20"/>
                <w:lang w:val="fr-FR"/>
              </w:rPr>
              <w:t>0</w:t>
            </w:r>
          </w:p>
        </w:tc>
      </w:tr>
      <w:tr w:rsidR="00322322" w:rsidRPr="009B071E" w14:paraId="2213957E" w14:textId="77777777" w:rsidTr="00700E7C">
        <w:trPr>
          <w:cantSplit/>
        </w:trPr>
        <w:tc>
          <w:tcPr>
            <w:tcW w:w="2517" w:type="dxa"/>
          </w:tcPr>
          <w:p w14:paraId="1E12F832" w14:textId="77777777" w:rsidR="00322322" w:rsidRPr="009B071E" w:rsidRDefault="00322322" w:rsidP="00700E7C">
            <w:pPr>
              <w:pStyle w:val="COMPara"/>
              <w:numPr>
                <w:ilvl w:val="0"/>
                <w:numId w:val="0"/>
              </w:numPr>
              <w:rPr>
                <w:b/>
                <w:sz w:val="20"/>
                <w:szCs w:val="20"/>
                <w:lang w:val="fr-FR"/>
              </w:rPr>
            </w:pPr>
            <w:r w:rsidRPr="009B071E">
              <w:rPr>
                <w:b/>
                <w:bCs/>
                <w:sz w:val="20"/>
                <w:szCs w:val="20"/>
                <w:lang w:val="fr-FR"/>
              </w:rPr>
              <w:t>Total</w:t>
            </w:r>
          </w:p>
        </w:tc>
        <w:tc>
          <w:tcPr>
            <w:tcW w:w="5286" w:type="dxa"/>
          </w:tcPr>
          <w:p w14:paraId="58C85ADF" w14:textId="77777777" w:rsidR="00322322" w:rsidRPr="009B071E" w:rsidRDefault="00322322" w:rsidP="00700E7C">
            <w:pPr>
              <w:pStyle w:val="COMPara"/>
              <w:numPr>
                <w:ilvl w:val="0"/>
                <w:numId w:val="0"/>
              </w:numPr>
              <w:jc w:val="both"/>
              <w:rPr>
                <w:b/>
                <w:sz w:val="20"/>
                <w:szCs w:val="20"/>
                <w:lang w:val="fr-FR"/>
              </w:rPr>
            </w:pPr>
          </w:p>
        </w:tc>
        <w:tc>
          <w:tcPr>
            <w:tcW w:w="1263" w:type="dxa"/>
          </w:tcPr>
          <w:p w14:paraId="19530C82" w14:textId="23AA6904" w:rsidR="00322322" w:rsidRPr="009B071E" w:rsidRDefault="00641F32" w:rsidP="00700E7C">
            <w:pPr>
              <w:pStyle w:val="COMPara"/>
              <w:numPr>
                <w:ilvl w:val="0"/>
                <w:numId w:val="0"/>
              </w:numPr>
              <w:jc w:val="right"/>
              <w:rPr>
                <w:b/>
                <w:sz w:val="20"/>
                <w:szCs w:val="20"/>
                <w:lang w:val="fr-FR"/>
              </w:rPr>
            </w:pPr>
            <w:r w:rsidRPr="009B071E">
              <w:rPr>
                <w:b/>
                <w:bCs/>
                <w:sz w:val="20"/>
                <w:szCs w:val="20"/>
                <w:lang w:val="fr-FR"/>
              </w:rPr>
              <w:t>60</w:t>
            </w:r>
          </w:p>
        </w:tc>
      </w:tr>
    </w:tbl>
    <w:p w14:paraId="0C7AE876" w14:textId="7D78484F" w:rsidR="00322322" w:rsidRPr="009B071E" w:rsidRDefault="00322322" w:rsidP="00753421">
      <w:pPr>
        <w:pStyle w:val="COMPara"/>
        <w:numPr>
          <w:ilvl w:val="0"/>
          <w:numId w:val="7"/>
        </w:numPr>
        <w:spacing w:before="120"/>
        <w:ind w:left="567" w:hanging="567"/>
        <w:jc w:val="both"/>
        <w:rPr>
          <w:lang w:val="fr-FR"/>
        </w:rPr>
      </w:pPr>
      <w:r w:rsidRPr="009B071E">
        <w:rPr>
          <w:lang w:val="fr-FR"/>
        </w:rPr>
        <w:t xml:space="preserve">Le Secrétariat a traité chacun des soixante dossiers et a contacté les États soumissionnaires entre juin et août 2022 au sujet de toute information supplémentaire requise pour que les dossiers soient considérés comme techniquement complets. </w:t>
      </w:r>
      <w:r w:rsidR="007A7614" w:rsidRPr="009B071E">
        <w:rPr>
          <w:lang w:val="fr-FR"/>
        </w:rPr>
        <w:t xml:space="preserve">À la suite de </w:t>
      </w:r>
      <w:r w:rsidRPr="009B071E">
        <w:rPr>
          <w:lang w:val="fr-FR"/>
        </w:rPr>
        <w:t xml:space="preserve">cette vérification de </w:t>
      </w:r>
      <w:r w:rsidR="007A7614" w:rsidRPr="009B071E">
        <w:rPr>
          <w:lang w:val="fr-FR"/>
        </w:rPr>
        <w:t xml:space="preserve">complétude technique effectuée </w:t>
      </w:r>
      <w:r w:rsidRPr="009B071E">
        <w:rPr>
          <w:lang w:val="fr-FR"/>
        </w:rPr>
        <w:t>par le Secrétariat, cinquante-neuf dossiers ont été considérés comme techniquement complets, et un dossier multinational dans la catégorie prioritaire (ii) a été considéré comme techniquement incomplet et a été par la suite retiré par les États parties soumissionnaires.</w:t>
      </w:r>
      <w:r w:rsidR="00872252" w:rsidRPr="009B071E">
        <w:rPr>
          <w:lang w:val="fr-FR"/>
        </w:rPr>
        <w:t xml:space="preserve"> </w:t>
      </w:r>
      <w:r w:rsidR="008637E8" w:rsidRPr="0050051F">
        <w:rPr>
          <w:lang w:val="fr-FR"/>
        </w:rPr>
        <w:t>Trois</w:t>
      </w:r>
      <w:r w:rsidR="00816FAD" w:rsidRPr="0050051F">
        <w:rPr>
          <w:lang w:val="fr-FR"/>
        </w:rPr>
        <w:t xml:space="preserve"> </w:t>
      </w:r>
      <w:r w:rsidR="00872252" w:rsidRPr="0050051F">
        <w:rPr>
          <w:lang w:val="fr-FR"/>
        </w:rPr>
        <w:t>dossier</w:t>
      </w:r>
      <w:r w:rsidR="00816FAD" w:rsidRPr="0050051F">
        <w:rPr>
          <w:lang w:val="fr-FR"/>
        </w:rPr>
        <w:t>s</w:t>
      </w:r>
      <w:r w:rsidR="00872252" w:rsidRPr="0050051F">
        <w:rPr>
          <w:lang w:val="fr-FR"/>
        </w:rPr>
        <w:t xml:space="preserve"> supplémentaire</w:t>
      </w:r>
      <w:r w:rsidR="00816FAD" w:rsidRPr="0050051F">
        <w:rPr>
          <w:lang w:val="fr-FR"/>
        </w:rPr>
        <w:t>s</w:t>
      </w:r>
      <w:r w:rsidR="00872252" w:rsidRPr="0050051F">
        <w:rPr>
          <w:lang w:val="fr-FR"/>
        </w:rPr>
        <w:t xml:space="preserve"> </w:t>
      </w:r>
      <w:r w:rsidR="00816FAD" w:rsidRPr="0050051F">
        <w:rPr>
          <w:lang w:val="fr-FR"/>
        </w:rPr>
        <w:t>ont</w:t>
      </w:r>
      <w:r w:rsidR="00872252" w:rsidRPr="009B071E">
        <w:rPr>
          <w:lang w:val="fr-FR"/>
        </w:rPr>
        <w:t xml:space="preserve"> été retiré</w:t>
      </w:r>
      <w:r w:rsidR="00816FAD">
        <w:rPr>
          <w:lang w:val="fr-FR"/>
        </w:rPr>
        <w:t>s</w:t>
      </w:r>
      <w:r w:rsidR="00872252" w:rsidRPr="009B071E">
        <w:rPr>
          <w:lang w:val="fr-FR"/>
        </w:rPr>
        <w:t xml:space="preserve"> </w:t>
      </w:r>
      <w:r w:rsidR="00985B05" w:rsidRPr="009B071E">
        <w:rPr>
          <w:lang w:val="fr-FR"/>
        </w:rPr>
        <w:t>par l</w:t>
      </w:r>
      <w:r w:rsidR="00BA3A7C">
        <w:rPr>
          <w:lang w:val="fr-FR"/>
        </w:rPr>
        <w:t xml:space="preserve">es </w:t>
      </w:r>
      <w:r w:rsidR="00985B05" w:rsidRPr="009B071E">
        <w:rPr>
          <w:lang w:val="fr-FR"/>
        </w:rPr>
        <w:t>État</w:t>
      </w:r>
      <w:r w:rsidR="00BA3A7C">
        <w:rPr>
          <w:lang w:val="fr-FR"/>
        </w:rPr>
        <w:t>s</w:t>
      </w:r>
      <w:r w:rsidR="00985B05" w:rsidRPr="009B071E">
        <w:rPr>
          <w:lang w:val="fr-FR"/>
        </w:rPr>
        <w:t xml:space="preserve"> soumissionnaire</w:t>
      </w:r>
      <w:r w:rsidR="00BA3A7C">
        <w:rPr>
          <w:lang w:val="fr-FR"/>
        </w:rPr>
        <w:t>s</w:t>
      </w:r>
      <w:r w:rsidR="00985B05" w:rsidRPr="009B071E">
        <w:rPr>
          <w:lang w:val="fr-FR"/>
        </w:rPr>
        <w:t xml:space="preserve"> </w:t>
      </w:r>
      <w:r w:rsidR="00872252" w:rsidRPr="009B071E">
        <w:rPr>
          <w:lang w:val="fr-FR"/>
        </w:rPr>
        <w:t>après la vérification de complétude technique effectué</w:t>
      </w:r>
      <w:r w:rsidR="00985B05" w:rsidRPr="009B071E">
        <w:rPr>
          <w:lang w:val="fr-FR"/>
        </w:rPr>
        <w:t>e</w:t>
      </w:r>
      <w:r w:rsidR="00872252" w:rsidRPr="009B071E">
        <w:rPr>
          <w:lang w:val="fr-FR"/>
        </w:rPr>
        <w:t xml:space="preserve"> par le Secrétariat et avant la publication du présent rapport.</w:t>
      </w:r>
    </w:p>
    <w:p w14:paraId="6234AE50" w14:textId="2A8C215C" w:rsidR="00322322" w:rsidRPr="0050051F" w:rsidRDefault="00322322" w:rsidP="00EF6ACC">
      <w:pPr>
        <w:pStyle w:val="COMPara"/>
        <w:keepLines/>
        <w:numPr>
          <w:ilvl w:val="0"/>
          <w:numId w:val="7"/>
        </w:numPr>
        <w:ind w:left="567" w:hanging="567"/>
        <w:jc w:val="both"/>
        <w:rPr>
          <w:lang w:val="fr-FR"/>
        </w:rPr>
      </w:pPr>
      <w:r w:rsidRPr="0050051F">
        <w:rPr>
          <w:lang w:val="fr-FR"/>
        </w:rPr>
        <w:t>Au total, cinquante-</w:t>
      </w:r>
      <w:r w:rsidR="008637E8" w:rsidRPr="0050051F">
        <w:rPr>
          <w:lang w:val="fr-FR"/>
        </w:rPr>
        <w:t>six</w:t>
      </w:r>
      <w:r w:rsidR="00BA3A7C" w:rsidRPr="0050051F">
        <w:rPr>
          <w:lang w:val="fr-FR"/>
        </w:rPr>
        <w:t xml:space="preserve"> </w:t>
      </w:r>
      <w:r w:rsidRPr="0050051F">
        <w:rPr>
          <w:lang w:val="fr-FR"/>
        </w:rPr>
        <w:t>dossiers ont été complétés par les États soumissionnaires à temps pour leur évaluation par l</w:t>
      </w:r>
      <w:r w:rsidR="00521B04" w:rsidRPr="0050051F">
        <w:rPr>
          <w:lang w:val="fr-FR"/>
        </w:rPr>
        <w:t>’</w:t>
      </w:r>
      <w:r w:rsidRPr="0050051F">
        <w:rPr>
          <w:lang w:val="fr-FR"/>
        </w:rPr>
        <w:t>Organe d</w:t>
      </w:r>
      <w:r w:rsidR="00521B04" w:rsidRPr="0050051F">
        <w:rPr>
          <w:lang w:val="fr-FR"/>
        </w:rPr>
        <w:t>’</w:t>
      </w:r>
      <w:r w:rsidRPr="0050051F">
        <w:rPr>
          <w:lang w:val="fr-FR"/>
        </w:rPr>
        <w:t>évaluation</w:t>
      </w:r>
      <w:r w:rsidR="00802394" w:rsidRPr="0050051F">
        <w:rPr>
          <w:lang w:val="fr-FR"/>
        </w:rPr>
        <w:t xml:space="preserve"> et présentés au Comité</w:t>
      </w:r>
      <w:r w:rsidRPr="0050051F">
        <w:rPr>
          <w:lang w:val="fr-FR"/>
        </w:rPr>
        <w:t>. La répartition de ces dossiers par mécanisme est la suivante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7"/>
        <w:gridCol w:w="635"/>
      </w:tblGrid>
      <w:tr w:rsidR="00322322" w:rsidRPr="009B071E" w14:paraId="1B9DEA11" w14:textId="77777777" w:rsidTr="00700E7C">
        <w:trPr>
          <w:cantSplit/>
          <w:jc w:val="center"/>
        </w:trPr>
        <w:tc>
          <w:tcPr>
            <w:tcW w:w="4677" w:type="dxa"/>
          </w:tcPr>
          <w:p w14:paraId="1A101CCA" w14:textId="77777777" w:rsidR="00322322" w:rsidRPr="009B071E" w:rsidRDefault="00322322" w:rsidP="00700E7C">
            <w:pPr>
              <w:pStyle w:val="COMPara"/>
              <w:keepNext/>
              <w:numPr>
                <w:ilvl w:val="0"/>
                <w:numId w:val="0"/>
              </w:numPr>
              <w:spacing w:before="120"/>
              <w:rPr>
                <w:color w:val="000000" w:themeColor="text1"/>
                <w:lang w:val="fr-FR"/>
              </w:rPr>
            </w:pPr>
            <w:r w:rsidRPr="009B071E">
              <w:rPr>
                <w:color w:val="000000" w:themeColor="text1"/>
                <w:lang w:val="fr-FR"/>
              </w:rPr>
              <w:t>Liste de sauvegarde urgente</w:t>
            </w:r>
          </w:p>
        </w:tc>
        <w:tc>
          <w:tcPr>
            <w:tcW w:w="635" w:type="dxa"/>
          </w:tcPr>
          <w:p w14:paraId="772D302B" w14:textId="0AEAB45C" w:rsidR="00322322" w:rsidRPr="009B071E" w:rsidRDefault="00BA3705" w:rsidP="00700E7C">
            <w:pPr>
              <w:pStyle w:val="COMPara"/>
              <w:keepNext/>
              <w:numPr>
                <w:ilvl w:val="0"/>
                <w:numId w:val="0"/>
              </w:numPr>
              <w:spacing w:before="120"/>
              <w:jc w:val="right"/>
              <w:rPr>
                <w:color w:val="000000" w:themeColor="text1"/>
                <w:lang w:val="fr-FR"/>
              </w:rPr>
            </w:pPr>
            <w:r w:rsidRPr="009B071E">
              <w:rPr>
                <w:color w:val="000000" w:themeColor="text1"/>
                <w:lang w:val="fr-FR"/>
              </w:rPr>
              <w:t>6</w:t>
            </w:r>
          </w:p>
        </w:tc>
      </w:tr>
      <w:tr w:rsidR="00322322" w:rsidRPr="009B071E" w14:paraId="16A95CEB" w14:textId="77777777" w:rsidTr="00700E7C">
        <w:trPr>
          <w:cantSplit/>
          <w:jc w:val="center"/>
        </w:trPr>
        <w:tc>
          <w:tcPr>
            <w:tcW w:w="4677" w:type="dxa"/>
          </w:tcPr>
          <w:p w14:paraId="14295F2D" w14:textId="77777777" w:rsidR="00322322" w:rsidRPr="009B071E" w:rsidRDefault="00322322" w:rsidP="00700E7C">
            <w:pPr>
              <w:pStyle w:val="COMPara"/>
              <w:keepNext/>
              <w:numPr>
                <w:ilvl w:val="0"/>
                <w:numId w:val="0"/>
              </w:numPr>
              <w:spacing w:before="120"/>
              <w:jc w:val="both"/>
              <w:rPr>
                <w:color w:val="000000" w:themeColor="text1"/>
                <w:lang w:val="fr-FR"/>
              </w:rPr>
            </w:pPr>
            <w:r w:rsidRPr="009B071E">
              <w:rPr>
                <w:color w:val="000000" w:themeColor="text1"/>
                <w:lang w:val="fr-FR"/>
              </w:rPr>
              <w:t>Liste représentative</w:t>
            </w:r>
          </w:p>
        </w:tc>
        <w:tc>
          <w:tcPr>
            <w:tcW w:w="635" w:type="dxa"/>
          </w:tcPr>
          <w:p w14:paraId="12350263" w14:textId="3966EA0A" w:rsidR="00322322" w:rsidRPr="009B071E" w:rsidRDefault="00802394" w:rsidP="00700E7C">
            <w:pPr>
              <w:pStyle w:val="COMPara"/>
              <w:keepNext/>
              <w:numPr>
                <w:ilvl w:val="0"/>
                <w:numId w:val="0"/>
              </w:numPr>
              <w:spacing w:before="120"/>
              <w:jc w:val="right"/>
              <w:rPr>
                <w:color w:val="000000" w:themeColor="text1"/>
                <w:lang w:val="fr-FR"/>
              </w:rPr>
            </w:pPr>
            <w:r w:rsidRPr="009B071E">
              <w:rPr>
                <w:color w:val="000000" w:themeColor="text1"/>
                <w:lang w:val="fr-FR"/>
              </w:rPr>
              <w:t>45</w:t>
            </w:r>
          </w:p>
        </w:tc>
      </w:tr>
      <w:tr w:rsidR="00322322" w:rsidRPr="009B071E" w14:paraId="47A959D3" w14:textId="77777777" w:rsidTr="00700E7C">
        <w:trPr>
          <w:cantSplit/>
          <w:jc w:val="center"/>
        </w:trPr>
        <w:tc>
          <w:tcPr>
            <w:tcW w:w="4677" w:type="dxa"/>
          </w:tcPr>
          <w:p w14:paraId="7A5E6BC0" w14:textId="77777777" w:rsidR="00322322" w:rsidRPr="009B071E" w:rsidRDefault="00322322" w:rsidP="00700E7C">
            <w:pPr>
              <w:pStyle w:val="COMPara"/>
              <w:keepNext/>
              <w:numPr>
                <w:ilvl w:val="0"/>
                <w:numId w:val="0"/>
              </w:numPr>
              <w:spacing w:before="120"/>
              <w:jc w:val="both"/>
              <w:rPr>
                <w:color w:val="000000" w:themeColor="text1"/>
                <w:lang w:val="fr-FR"/>
              </w:rPr>
            </w:pPr>
            <w:r w:rsidRPr="009B071E">
              <w:rPr>
                <w:color w:val="000000" w:themeColor="text1"/>
                <w:lang w:val="fr-FR"/>
              </w:rPr>
              <w:t>Registre des bonnes pratiques de sauvegarde</w:t>
            </w:r>
          </w:p>
        </w:tc>
        <w:tc>
          <w:tcPr>
            <w:tcW w:w="635" w:type="dxa"/>
          </w:tcPr>
          <w:p w14:paraId="1358906D" w14:textId="5CE89731" w:rsidR="00322322" w:rsidRPr="0050051F" w:rsidRDefault="00816FAD" w:rsidP="00700E7C">
            <w:pPr>
              <w:pStyle w:val="COMPara"/>
              <w:keepNext/>
              <w:numPr>
                <w:ilvl w:val="0"/>
                <w:numId w:val="0"/>
              </w:numPr>
              <w:spacing w:before="120"/>
              <w:jc w:val="right"/>
              <w:rPr>
                <w:color w:val="000000" w:themeColor="text1"/>
                <w:lang w:val="fr-FR"/>
              </w:rPr>
            </w:pPr>
            <w:r w:rsidRPr="0050051F">
              <w:rPr>
                <w:color w:val="000000" w:themeColor="text1"/>
                <w:lang w:val="fr-FR"/>
              </w:rPr>
              <w:t>4</w:t>
            </w:r>
          </w:p>
        </w:tc>
      </w:tr>
      <w:tr w:rsidR="00322322" w:rsidRPr="009B071E" w14:paraId="79B6F2FF" w14:textId="77777777" w:rsidTr="00700E7C">
        <w:trPr>
          <w:cantSplit/>
          <w:jc w:val="center"/>
        </w:trPr>
        <w:tc>
          <w:tcPr>
            <w:tcW w:w="4677" w:type="dxa"/>
          </w:tcPr>
          <w:p w14:paraId="46E7BE48" w14:textId="77777777" w:rsidR="00322322" w:rsidRPr="009B071E" w:rsidRDefault="00322322" w:rsidP="00700E7C">
            <w:pPr>
              <w:pStyle w:val="COMPara"/>
              <w:keepNext/>
              <w:numPr>
                <w:ilvl w:val="0"/>
                <w:numId w:val="0"/>
              </w:numPr>
              <w:spacing w:before="120"/>
              <w:jc w:val="both"/>
              <w:rPr>
                <w:color w:val="000000" w:themeColor="text1"/>
                <w:lang w:val="fr-FR"/>
              </w:rPr>
            </w:pPr>
            <w:r w:rsidRPr="009B071E">
              <w:rPr>
                <w:color w:val="000000" w:themeColor="text1"/>
                <w:lang w:val="fr-FR"/>
              </w:rPr>
              <w:t>Assistance internationale</w:t>
            </w:r>
          </w:p>
        </w:tc>
        <w:tc>
          <w:tcPr>
            <w:tcW w:w="635" w:type="dxa"/>
          </w:tcPr>
          <w:p w14:paraId="437BA6B3" w14:textId="61FD2BA9" w:rsidR="00322322" w:rsidRPr="0050051F" w:rsidRDefault="008637E8" w:rsidP="00700E7C">
            <w:pPr>
              <w:pStyle w:val="COMPara"/>
              <w:keepNext/>
              <w:numPr>
                <w:ilvl w:val="0"/>
                <w:numId w:val="0"/>
              </w:numPr>
              <w:spacing w:before="120"/>
              <w:jc w:val="right"/>
              <w:rPr>
                <w:color w:val="000000" w:themeColor="text1"/>
                <w:lang w:val="fr-FR"/>
              </w:rPr>
            </w:pPr>
            <w:r w:rsidRPr="0050051F">
              <w:rPr>
                <w:color w:val="000000" w:themeColor="text1"/>
                <w:lang w:val="fr-FR"/>
              </w:rPr>
              <w:t>1</w:t>
            </w:r>
          </w:p>
        </w:tc>
      </w:tr>
      <w:tr w:rsidR="00322322" w:rsidRPr="009B071E" w14:paraId="7D6D8C96" w14:textId="77777777" w:rsidTr="00700E7C">
        <w:trPr>
          <w:cantSplit/>
          <w:jc w:val="center"/>
        </w:trPr>
        <w:tc>
          <w:tcPr>
            <w:tcW w:w="4677" w:type="dxa"/>
          </w:tcPr>
          <w:p w14:paraId="7A9515E5" w14:textId="77777777" w:rsidR="00322322" w:rsidRPr="009B071E" w:rsidRDefault="00322322" w:rsidP="00700E7C">
            <w:pPr>
              <w:pStyle w:val="COMPara"/>
              <w:numPr>
                <w:ilvl w:val="0"/>
                <w:numId w:val="0"/>
              </w:numPr>
              <w:spacing w:before="120"/>
              <w:jc w:val="both"/>
              <w:rPr>
                <w:b/>
                <w:color w:val="000000" w:themeColor="text1"/>
                <w:lang w:val="fr-FR"/>
              </w:rPr>
            </w:pPr>
            <w:r w:rsidRPr="009B071E">
              <w:rPr>
                <w:b/>
                <w:bCs/>
                <w:color w:val="000000" w:themeColor="text1"/>
                <w:lang w:val="fr-FR"/>
              </w:rPr>
              <w:t>Total</w:t>
            </w:r>
          </w:p>
        </w:tc>
        <w:tc>
          <w:tcPr>
            <w:tcW w:w="635" w:type="dxa"/>
          </w:tcPr>
          <w:p w14:paraId="4475FCBC" w14:textId="4880CBB5" w:rsidR="00322322" w:rsidRPr="0050051F" w:rsidRDefault="00816FAD" w:rsidP="00700E7C">
            <w:pPr>
              <w:pStyle w:val="COMPara"/>
              <w:numPr>
                <w:ilvl w:val="0"/>
                <w:numId w:val="0"/>
              </w:numPr>
              <w:spacing w:before="120"/>
              <w:jc w:val="right"/>
              <w:rPr>
                <w:b/>
                <w:color w:val="000000" w:themeColor="text1"/>
                <w:lang w:val="fr-FR"/>
              </w:rPr>
            </w:pPr>
            <w:r w:rsidRPr="0050051F">
              <w:rPr>
                <w:b/>
                <w:bCs/>
                <w:color w:val="000000" w:themeColor="text1"/>
                <w:lang w:val="fr-FR"/>
              </w:rPr>
              <w:t>5</w:t>
            </w:r>
            <w:r w:rsidR="008637E8" w:rsidRPr="0050051F">
              <w:rPr>
                <w:b/>
                <w:bCs/>
                <w:color w:val="000000" w:themeColor="text1"/>
                <w:lang w:val="fr-FR"/>
              </w:rPr>
              <w:t>6</w:t>
            </w:r>
          </w:p>
        </w:tc>
      </w:tr>
    </w:tbl>
    <w:p w14:paraId="6EB763F4" w14:textId="2B54EDB3" w:rsidR="00322322" w:rsidRPr="009B071E" w:rsidRDefault="00902289" w:rsidP="00EF1D9C">
      <w:pPr>
        <w:pStyle w:val="COMPara"/>
        <w:numPr>
          <w:ilvl w:val="0"/>
          <w:numId w:val="0"/>
        </w:numPr>
        <w:spacing w:before="120"/>
        <w:ind w:left="357" w:firstLine="210"/>
        <w:jc w:val="both"/>
        <w:rPr>
          <w:lang w:val="fr-FR"/>
        </w:rPr>
      </w:pPr>
      <w:r w:rsidRPr="009B071E">
        <w:rPr>
          <w:u w:val="single"/>
          <w:lang w:val="fr-FR"/>
        </w:rPr>
        <w:t>Réunions de l</w:t>
      </w:r>
      <w:r w:rsidR="00521B04" w:rsidRPr="009B071E">
        <w:rPr>
          <w:u w:val="single"/>
          <w:lang w:val="fr-FR"/>
        </w:rPr>
        <w:t>’</w:t>
      </w:r>
      <w:r w:rsidRPr="009B071E">
        <w:rPr>
          <w:u w:val="single"/>
          <w:lang w:val="fr-FR"/>
        </w:rPr>
        <w:t>Organe d</w:t>
      </w:r>
      <w:r w:rsidR="00521B04" w:rsidRPr="009B071E">
        <w:rPr>
          <w:u w:val="single"/>
          <w:lang w:val="fr-FR"/>
        </w:rPr>
        <w:t>’</w:t>
      </w:r>
      <w:r w:rsidRPr="009B071E">
        <w:rPr>
          <w:u w:val="single"/>
          <w:lang w:val="fr-FR"/>
        </w:rPr>
        <w:t>évaluation</w:t>
      </w:r>
    </w:p>
    <w:p w14:paraId="2B0770BA" w14:textId="480F21FA" w:rsidR="00B6322D" w:rsidRPr="009B071E" w:rsidRDefault="00B6322D" w:rsidP="005E7479">
      <w:pPr>
        <w:pStyle w:val="COMPara"/>
        <w:numPr>
          <w:ilvl w:val="0"/>
          <w:numId w:val="7"/>
        </w:numPr>
        <w:ind w:left="567" w:hanging="567"/>
        <w:jc w:val="both"/>
        <w:rPr>
          <w:lang w:val="fr-FR"/>
        </w:rPr>
      </w:pPr>
      <w:r w:rsidRPr="009B071E">
        <w:rPr>
          <w:lang w:val="fr-FR"/>
        </w:rPr>
        <w:t>Comme les années précédentes, l</w:t>
      </w:r>
      <w:r w:rsidR="00521B04" w:rsidRPr="009B071E">
        <w:rPr>
          <w:lang w:val="fr-FR"/>
        </w:rPr>
        <w:t>’</w:t>
      </w:r>
      <w:r w:rsidRPr="009B071E">
        <w:rPr>
          <w:lang w:val="fr-FR"/>
        </w:rPr>
        <w:t>Organe d</w:t>
      </w:r>
      <w:r w:rsidR="00521B04" w:rsidRPr="009B071E">
        <w:rPr>
          <w:lang w:val="fr-FR"/>
        </w:rPr>
        <w:t>’</w:t>
      </w:r>
      <w:r w:rsidRPr="009B071E">
        <w:rPr>
          <w:lang w:val="fr-FR"/>
        </w:rPr>
        <w:t>évaluation s</w:t>
      </w:r>
      <w:r w:rsidR="00521B04" w:rsidRPr="009B071E">
        <w:rPr>
          <w:lang w:val="fr-FR"/>
        </w:rPr>
        <w:t>’</w:t>
      </w:r>
      <w:r w:rsidRPr="009B071E">
        <w:rPr>
          <w:lang w:val="fr-FR"/>
        </w:rPr>
        <w:t>est réuni trois fois au cours du cycle 2023, comme indiqué dans le tableau ci-dessous. La première réunion a permis à l</w:t>
      </w:r>
      <w:r w:rsidR="00521B04" w:rsidRPr="009B071E">
        <w:rPr>
          <w:lang w:val="fr-FR"/>
        </w:rPr>
        <w:t>’</w:t>
      </w:r>
      <w:r w:rsidRPr="009B071E">
        <w:rPr>
          <w:lang w:val="fr-FR"/>
        </w:rPr>
        <w:t>Organe d</w:t>
      </w:r>
      <w:r w:rsidR="00521B04" w:rsidRPr="009B071E">
        <w:rPr>
          <w:lang w:val="fr-FR"/>
        </w:rPr>
        <w:t>’</w:t>
      </w:r>
      <w:r w:rsidRPr="009B071E">
        <w:rPr>
          <w:lang w:val="fr-FR"/>
        </w:rPr>
        <w:t xml:space="preserve">élire son Président, </w:t>
      </w:r>
      <w:r w:rsidR="00943602" w:rsidRPr="009B071E">
        <w:rPr>
          <w:lang w:val="fr-FR"/>
        </w:rPr>
        <w:t xml:space="preserve">sa </w:t>
      </w:r>
      <w:r w:rsidRPr="009B071E">
        <w:rPr>
          <w:lang w:val="fr-FR"/>
        </w:rPr>
        <w:t>Vice-Président</w:t>
      </w:r>
      <w:r w:rsidR="00943602" w:rsidRPr="009B071E">
        <w:rPr>
          <w:lang w:val="fr-FR"/>
        </w:rPr>
        <w:t>e</w:t>
      </w:r>
      <w:r w:rsidRPr="009B071E">
        <w:rPr>
          <w:lang w:val="fr-FR"/>
        </w:rPr>
        <w:t xml:space="preserve"> et </w:t>
      </w:r>
      <w:r w:rsidR="00943602" w:rsidRPr="009B071E">
        <w:rPr>
          <w:lang w:val="fr-FR"/>
        </w:rPr>
        <w:t>s</w:t>
      </w:r>
      <w:r w:rsidR="00AE6DF4" w:rsidRPr="009B071E">
        <w:rPr>
          <w:lang w:val="fr-FR"/>
        </w:rPr>
        <w:t>a</w:t>
      </w:r>
      <w:r w:rsidR="005833F6" w:rsidRPr="009B071E">
        <w:rPr>
          <w:lang w:val="fr-FR"/>
        </w:rPr>
        <w:t xml:space="preserve"> rapporteur</w:t>
      </w:r>
      <w:r w:rsidR="00AE6DF4" w:rsidRPr="009B071E">
        <w:rPr>
          <w:lang w:val="fr-FR"/>
        </w:rPr>
        <w:t>e</w:t>
      </w:r>
      <w:r w:rsidRPr="009B071E">
        <w:rPr>
          <w:lang w:val="fr-FR"/>
        </w:rPr>
        <w:t xml:space="preserve"> et de se familiariser avec ses tâches. Les deuxième et </w:t>
      </w:r>
      <w:r w:rsidR="005833F6" w:rsidRPr="009B071E">
        <w:rPr>
          <w:lang w:val="fr-FR"/>
        </w:rPr>
        <w:t>troisième réunion</w:t>
      </w:r>
      <w:r w:rsidRPr="009B071E">
        <w:rPr>
          <w:lang w:val="fr-FR"/>
        </w:rPr>
        <w:t xml:space="preserve"> ont permis à l</w:t>
      </w:r>
      <w:r w:rsidR="00521B04" w:rsidRPr="009B071E">
        <w:rPr>
          <w:lang w:val="fr-FR"/>
        </w:rPr>
        <w:t>’</w:t>
      </w:r>
      <w:r w:rsidRPr="009B071E">
        <w:rPr>
          <w:lang w:val="fr-FR"/>
        </w:rPr>
        <w:t>Organe de mener ses travaux d</w:t>
      </w:r>
      <w:r w:rsidR="00521B04" w:rsidRPr="009B071E">
        <w:rPr>
          <w:lang w:val="fr-FR"/>
        </w:rPr>
        <w:t>’</w:t>
      </w:r>
      <w:r w:rsidRPr="009B071E">
        <w:rPr>
          <w:lang w:val="fr-FR"/>
        </w:rPr>
        <w:t>évaluation et de parvenir à un consensus sur tous les dossiers.</w:t>
      </w:r>
    </w:p>
    <w:tbl>
      <w:tblPr>
        <w:tblStyle w:val="Grilledutableau"/>
        <w:tblpPr w:leftFromText="180" w:rightFromText="180" w:vertAnchor="text" w:tblpX="562" w:tblpY="1"/>
        <w:tblOverlap w:val="never"/>
        <w:tblW w:w="0" w:type="auto"/>
        <w:tblLook w:val="04A0" w:firstRow="1" w:lastRow="0" w:firstColumn="1" w:lastColumn="0" w:noHBand="0" w:noVBand="1"/>
      </w:tblPr>
      <w:tblGrid>
        <w:gridCol w:w="2517"/>
        <w:gridCol w:w="3306"/>
        <w:gridCol w:w="3243"/>
      </w:tblGrid>
      <w:tr w:rsidR="005174FE" w:rsidRPr="009B071E" w14:paraId="30913DC8" w14:textId="77777777" w:rsidTr="00264C90">
        <w:trPr>
          <w:cantSplit/>
        </w:trPr>
        <w:tc>
          <w:tcPr>
            <w:tcW w:w="2517" w:type="dxa"/>
            <w:shd w:val="clear" w:color="auto" w:fill="D9D9D9" w:themeFill="background1" w:themeFillShade="D9"/>
          </w:tcPr>
          <w:p w14:paraId="54C6D0D8" w14:textId="568A6693" w:rsidR="005174FE" w:rsidRPr="009B071E" w:rsidRDefault="005174FE" w:rsidP="00264C90">
            <w:pPr>
              <w:pStyle w:val="COMPara"/>
              <w:numPr>
                <w:ilvl w:val="0"/>
                <w:numId w:val="0"/>
              </w:numPr>
              <w:ind w:left="360" w:hanging="360"/>
              <w:jc w:val="both"/>
              <w:rPr>
                <w:b/>
                <w:sz w:val="20"/>
                <w:szCs w:val="20"/>
                <w:lang w:val="fr-FR"/>
              </w:rPr>
            </w:pPr>
            <w:r w:rsidRPr="009B071E">
              <w:rPr>
                <w:b/>
                <w:bCs/>
                <w:sz w:val="20"/>
                <w:szCs w:val="20"/>
                <w:lang w:val="fr-FR"/>
              </w:rPr>
              <w:t>Réunion, date et lieu</w:t>
            </w:r>
          </w:p>
        </w:tc>
        <w:tc>
          <w:tcPr>
            <w:tcW w:w="3306" w:type="dxa"/>
            <w:shd w:val="clear" w:color="auto" w:fill="D9D9D9" w:themeFill="background1" w:themeFillShade="D9"/>
          </w:tcPr>
          <w:p w14:paraId="6A46BEF1" w14:textId="166BD371" w:rsidR="005174FE" w:rsidRPr="009B071E" w:rsidRDefault="00B6322D" w:rsidP="00264C90">
            <w:pPr>
              <w:pStyle w:val="COMPara"/>
              <w:numPr>
                <w:ilvl w:val="0"/>
                <w:numId w:val="0"/>
              </w:numPr>
              <w:rPr>
                <w:b/>
                <w:sz w:val="20"/>
                <w:szCs w:val="20"/>
                <w:lang w:val="fr-FR"/>
              </w:rPr>
            </w:pPr>
            <w:r w:rsidRPr="009B071E">
              <w:rPr>
                <w:b/>
                <w:bCs/>
                <w:sz w:val="20"/>
                <w:szCs w:val="20"/>
                <w:lang w:val="fr-FR"/>
              </w:rPr>
              <w:t>Tâches</w:t>
            </w:r>
          </w:p>
        </w:tc>
        <w:tc>
          <w:tcPr>
            <w:tcW w:w="3243" w:type="dxa"/>
            <w:shd w:val="clear" w:color="auto" w:fill="D9D9D9" w:themeFill="background1" w:themeFillShade="D9"/>
          </w:tcPr>
          <w:p w14:paraId="37180C00" w14:textId="7454FECB" w:rsidR="005174FE" w:rsidRPr="009B071E" w:rsidRDefault="00D94DD5" w:rsidP="00264C90">
            <w:pPr>
              <w:pStyle w:val="COMPara"/>
              <w:numPr>
                <w:ilvl w:val="0"/>
                <w:numId w:val="0"/>
              </w:numPr>
              <w:rPr>
                <w:b/>
                <w:sz w:val="20"/>
                <w:szCs w:val="20"/>
                <w:lang w:val="fr-FR"/>
              </w:rPr>
            </w:pPr>
            <w:r w:rsidRPr="009B071E">
              <w:rPr>
                <w:b/>
                <w:bCs/>
                <w:sz w:val="20"/>
                <w:szCs w:val="20"/>
                <w:lang w:val="fr-FR"/>
              </w:rPr>
              <w:t>Remarques</w:t>
            </w:r>
          </w:p>
        </w:tc>
      </w:tr>
      <w:tr w:rsidR="005174FE" w:rsidRPr="00620E80" w14:paraId="4083F157" w14:textId="77777777" w:rsidTr="00264C90">
        <w:trPr>
          <w:cantSplit/>
        </w:trPr>
        <w:tc>
          <w:tcPr>
            <w:tcW w:w="2517" w:type="dxa"/>
          </w:tcPr>
          <w:p w14:paraId="4EFBFD11" w14:textId="4DA04032" w:rsidR="00B6322D" w:rsidRPr="009B071E" w:rsidRDefault="005174FE" w:rsidP="00264C90">
            <w:pPr>
              <w:pStyle w:val="COMPara"/>
              <w:numPr>
                <w:ilvl w:val="0"/>
                <w:numId w:val="0"/>
              </w:numPr>
              <w:rPr>
                <w:sz w:val="20"/>
                <w:szCs w:val="20"/>
                <w:lang w:val="fr-FR"/>
              </w:rPr>
            </w:pPr>
            <w:r w:rsidRPr="009B071E">
              <w:rPr>
                <w:b/>
                <w:bCs/>
                <w:sz w:val="20"/>
                <w:szCs w:val="20"/>
                <w:lang w:val="fr-FR"/>
              </w:rPr>
              <w:t>Première réunion</w:t>
            </w:r>
            <w:r w:rsidRPr="009B071E">
              <w:rPr>
                <w:sz w:val="20"/>
                <w:szCs w:val="20"/>
                <w:lang w:val="fr-FR"/>
              </w:rPr>
              <w:br/>
              <w:t xml:space="preserve">15 </w:t>
            </w:r>
            <w:r w:rsidR="00B85944" w:rsidRPr="009B071E">
              <w:rPr>
                <w:sz w:val="20"/>
                <w:szCs w:val="20"/>
                <w:lang w:val="fr-FR"/>
              </w:rPr>
              <w:t xml:space="preserve">au </w:t>
            </w:r>
            <w:r w:rsidRPr="009B071E">
              <w:rPr>
                <w:sz w:val="20"/>
                <w:szCs w:val="20"/>
                <w:lang w:val="fr-FR"/>
              </w:rPr>
              <w:t>16 février 2023</w:t>
            </w:r>
            <w:r w:rsidRPr="009B071E">
              <w:rPr>
                <w:sz w:val="20"/>
                <w:szCs w:val="20"/>
                <w:lang w:val="fr-FR"/>
              </w:rPr>
              <w:br/>
              <w:t>En ligne</w:t>
            </w:r>
          </w:p>
        </w:tc>
        <w:tc>
          <w:tcPr>
            <w:tcW w:w="3306" w:type="dxa"/>
            <w:shd w:val="clear" w:color="auto" w:fill="auto"/>
          </w:tcPr>
          <w:p w14:paraId="331F0CAF" w14:textId="4D1F3C0E" w:rsidR="005174FE" w:rsidRPr="009B071E" w:rsidRDefault="00B6322D" w:rsidP="00264C90">
            <w:pPr>
              <w:pStyle w:val="COMPara"/>
              <w:numPr>
                <w:ilvl w:val="0"/>
                <w:numId w:val="92"/>
              </w:numPr>
              <w:ind w:left="407"/>
              <w:rPr>
                <w:sz w:val="20"/>
                <w:szCs w:val="20"/>
                <w:lang w:val="fr-FR"/>
              </w:rPr>
            </w:pPr>
            <w:r w:rsidRPr="009B071E">
              <w:rPr>
                <w:sz w:val="20"/>
                <w:szCs w:val="20"/>
                <w:lang w:val="fr-FR"/>
              </w:rPr>
              <w:t>Passer en revue les tâches et méthodes de travail de l</w:t>
            </w:r>
            <w:r w:rsidR="00521B04" w:rsidRPr="009B071E">
              <w:rPr>
                <w:sz w:val="20"/>
                <w:szCs w:val="20"/>
                <w:lang w:val="fr-FR"/>
              </w:rPr>
              <w:t>’</w:t>
            </w:r>
            <w:r w:rsidRPr="009B071E">
              <w:rPr>
                <w:sz w:val="20"/>
                <w:szCs w:val="20"/>
                <w:lang w:val="fr-FR"/>
              </w:rPr>
              <w:t>Organe d</w:t>
            </w:r>
            <w:r w:rsidR="00521B04" w:rsidRPr="009B071E">
              <w:rPr>
                <w:sz w:val="20"/>
                <w:szCs w:val="20"/>
                <w:lang w:val="fr-FR"/>
              </w:rPr>
              <w:t>’</w:t>
            </w:r>
            <w:r w:rsidRPr="009B071E">
              <w:rPr>
                <w:sz w:val="20"/>
                <w:szCs w:val="20"/>
                <w:lang w:val="fr-FR"/>
              </w:rPr>
              <w:t>évaluation ;</w:t>
            </w:r>
          </w:p>
          <w:p w14:paraId="6BC12B42" w14:textId="07975142" w:rsidR="00B6322D" w:rsidRPr="009B071E" w:rsidRDefault="005833F6" w:rsidP="00264C90">
            <w:pPr>
              <w:pStyle w:val="COMPara"/>
              <w:numPr>
                <w:ilvl w:val="0"/>
                <w:numId w:val="92"/>
              </w:numPr>
              <w:ind w:left="407"/>
              <w:rPr>
                <w:sz w:val="20"/>
                <w:szCs w:val="20"/>
                <w:lang w:val="fr-FR"/>
              </w:rPr>
            </w:pPr>
            <w:r w:rsidRPr="009B071E">
              <w:rPr>
                <w:sz w:val="20"/>
                <w:szCs w:val="20"/>
                <w:lang w:val="fr-FR"/>
              </w:rPr>
              <w:t xml:space="preserve">Mener </w:t>
            </w:r>
            <w:r w:rsidR="00B6322D" w:rsidRPr="009B071E">
              <w:rPr>
                <w:sz w:val="20"/>
                <w:szCs w:val="20"/>
                <w:lang w:val="fr-FR"/>
              </w:rPr>
              <w:t>un exercice de candidature ficti</w:t>
            </w:r>
            <w:r w:rsidR="00943602" w:rsidRPr="009B071E">
              <w:rPr>
                <w:sz w:val="20"/>
                <w:szCs w:val="20"/>
                <w:lang w:val="fr-FR"/>
              </w:rPr>
              <w:t>ve</w:t>
            </w:r>
            <w:r w:rsidR="00B6322D" w:rsidRPr="009B071E">
              <w:rPr>
                <w:sz w:val="20"/>
                <w:szCs w:val="20"/>
                <w:lang w:val="fr-FR"/>
              </w:rPr>
              <w:t xml:space="preserve"> visant à familiariser les membres avec le processus d</w:t>
            </w:r>
            <w:r w:rsidR="00521B04" w:rsidRPr="009B071E">
              <w:rPr>
                <w:sz w:val="20"/>
                <w:szCs w:val="20"/>
                <w:lang w:val="fr-FR"/>
              </w:rPr>
              <w:t>’</w:t>
            </w:r>
            <w:r w:rsidR="00B6322D" w:rsidRPr="009B071E">
              <w:rPr>
                <w:sz w:val="20"/>
                <w:szCs w:val="20"/>
                <w:lang w:val="fr-FR"/>
              </w:rPr>
              <w:t>évaluation ;</w:t>
            </w:r>
          </w:p>
          <w:p w14:paraId="34286618" w14:textId="383E2873" w:rsidR="00B6322D" w:rsidRPr="009B071E" w:rsidRDefault="00B6322D" w:rsidP="00264C90">
            <w:pPr>
              <w:pStyle w:val="COMPara"/>
              <w:numPr>
                <w:ilvl w:val="0"/>
                <w:numId w:val="92"/>
              </w:numPr>
              <w:ind w:left="407"/>
              <w:rPr>
                <w:sz w:val="20"/>
                <w:szCs w:val="20"/>
                <w:lang w:val="fr-FR"/>
              </w:rPr>
            </w:pPr>
            <w:r w:rsidRPr="009B071E">
              <w:rPr>
                <w:sz w:val="20"/>
                <w:szCs w:val="20"/>
                <w:lang w:val="fr-FR"/>
              </w:rPr>
              <w:t>Élire le Président, le Vice-Président et le Rapporteur de l</w:t>
            </w:r>
            <w:r w:rsidR="00521B04" w:rsidRPr="009B071E">
              <w:rPr>
                <w:sz w:val="20"/>
                <w:szCs w:val="20"/>
                <w:lang w:val="fr-FR"/>
              </w:rPr>
              <w:t>’</w:t>
            </w:r>
            <w:r w:rsidRPr="009B071E">
              <w:rPr>
                <w:sz w:val="20"/>
                <w:szCs w:val="20"/>
                <w:lang w:val="fr-FR"/>
              </w:rPr>
              <w:t>Organe d</w:t>
            </w:r>
            <w:r w:rsidR="00521B04" w:rsidRPr="009B071E">
              <w:rPr>
                <w:sz w:val="20"/>
                <w:szCs w:val="20"/>
                <w:lang w:val="fr-FR"/>
              </w:rPr>
              <w:t>’</w:t>
            </w:r>
            <w:r w:rsidRPr="009B071E">
              <w:rPr>
                <w:sz w:val="20"/>
                <w:szCs w:val="20"/>
                <w:lang w:val="fr-FR"/>
              </w:rPr>
              <w:t>évaluation.</w:t>
            </w:r>
          </w:p>
        </w:tc>
        <w:tc>
          <w:tcPr>
            <w:tcW w:w="3243" w:type="dxa"/>
          </w:tcPr>
          <w:p w14:paraId="7D7C89DA" w14:textId="7AFE07BD" w:rsidR="005E7479" w:rsidRPr="009B071E" w:rsidRDefault="005E7479" w:rsidP="00264C90">
            <w:pPr>
              <w:pStyle w:val="COMPara"/>
              <w:numPr>
                <w:ilvl w:val="0"/>
                <w:numId w:val="0"/>
              </w:numPr>
              <w:rPr>
                <w:sz w:val="20"/>
                <w:szCs w:val="20"/>
                <w:lang w:val="fr-FR"/>
              </w:rPr>
            </w:pPr>
            <w:r w:rsidRPr="009B071E">
              <w:rPr>
                <w:sz w:val="20"/>
                <w:szCs w:val="20"/>
                <w:lang w:val="fr-FR"/>
              </w:rPr>
              <w:t>L</w:t>
            </w:r>
            <w:r w:rsidR="00521B04" w:rsidRPr="009B071E">
              <w:rPr>
                <w:sz w:val="20"/>
                <w:szCs w:val="20"/>
                <w:lang w:val="fr-FR"/>
              </w:rPr>
              <w:t>’</w:t>
            </w:r>
            <w:r w:rsidRPr="009B071E">
              <w:rPr>
                <w:sz w:val="20"/>
                <w:szCs w:val="20"/>
                <w:lang w:val="fr-FR"/>
              </w:rPr>
              <w:t>Organe d</w:t>
            </w:r>
            <w:r w:rsidR="00521B04" w:rsidRPr="009B071E">
              <w:rPr>
                <w:sz w:val="20"/>
                <w:szCs w:val="20"/>
                <w:lang w:val="fr-FR"/>
              </w:rPr>
              <w:t>’</w:t>
            </w:r>
            <w:r w:rsidRPr="009B071E">
              <w:rPr>
                <w:sz w:val="20"/>
                <w:szCs w:val="20"/>
                <w:lang w:val="fr-FR"/>
              </w:rPr>
              <w:t>évaluation a élu :</w:t>
            </w:r>
          </w:p>
          <w:p w14:paraId="311A9E40" w14:textId="69AC4A1F" w:rsidR="005E7479" w:rsidRPr="009B071E" w:rsidRDefault="00B6322D" w:rsidP="00264C90">
            <w:pPr>
              <w:pStyle w:val="COMPara"/>
              <w:numPr>
                <w:ilvl w:val="0"/>
                <w:numId w:val="95"/>
              </w:numPr>
              <w:ind w:left="438"/>
              <w:rPr>
                <w:sz w:val="20"/>
                <w:szCs w:val="20"/>
                <w:lang w:val="fr-FR"/>
              </w:rPr>
            </w:pPr>
            <w:r w:rsidRPr="009B071E">
              <w:rPr>
                <w:sz w:val="20"/>
                <w:szCs w:val="20"/>
                <w:lang w:val="fr-FR"/>
              </w:rPr>
              <w:t>M. Nigel Encalada (Belize) en tant que Président ;</w:t>
            </w:r>
          </w:p>
          <w:p w14:paraId="5A61A35E" w14:textId="7BBFB278" w:rsidR="005E7479" w:rsidRPr="009B071E" w:rsidRDefault="00B6322D" w:rsidP="00264C90">
            <w:pPr>
              <w:pStyle w:val="COMPara"/>
              <w:numPr>
                <w:ilvl w:val="0"/>
                <w:numId w:val="95"/>
              </w:numPr>
              <w:ind w:left="438"/>
              <w:rPr>
                <w:sz w:val="20"/>
                <w:szCs w:val="20"/>
                <w:lang w:val="fr-FR"/>
              </w:rPr>
            </w:pPr>
            <w:r w:rsidRPr="009B071E">
              <w:rPr>
                <w:sz w:val="20"/>
                <w:szCs w:val="20"/>
                <w:lang w:val="fr-FR"/>
              </w:rPr>
              <w:t xml:space="preserve">Mme </w:t>
            </w:r>
            <w:proofErr w:type="spellStart"/>
            <w:r w:rsidRPr="009B071E">
              <w:rPr>
                <w:sz w:val="20"/>
                <w:szCs w:val="20"/>
                <w:lang w:val="fr-FR"/>
              </w:rPr>
              <w:t>Gulnara</w:t>
            </w:r>
            <w:proofErr w:type="spellEnd"/>
            <w:r w:rsidRPr="009B071E">
              <w:rPr>
                <w:sz w:val="20"/>
                <w:szCs w:val="20"/>
                <w:lang w:val="fr-FR"/>
              </w:rPr>
              <w:t xml:space="preserve"> </w:t>
            </w:r>
            <w:proofErr w:type="spellStart"/>
            <w:r w:rsidRPr="009B071E">
              <w:rPr>
                <w:sz w:val="20"/>
                <w:szCs w:val="20"/>
                <w:lang w:val="fr-FR"/>
              </w:rPr>
              <w:t>Aitpaeva</w:t>
            </w:r>
            <w:proofErr w:type="spellEnd"/>
            <w:r w:rsidRPr="009B071E">
              <w:rPr>
                <w:sz w:val="20"/>
                <w:szCs w:val="20"/>
                <w:lang w:val="fr-FR"/>
              </w:rPr>
              <w:t xml:space="preserve"> (</w:t>
            </w:r>
            <w:proofErr w:type="spellStart"/>
            <w:r w:rsidRPr="009B071E">
              <w:rPr>
                <w:sz w:val="20"/>
                <w:szCs w:val="20"/>
                <w:lang w:val="fr-FR"/>
              </w:rPr>
              <w:t>Aigine</w:t>
            </w:r>
            <w:proofErr w:type="spellEnd"/>
            <w:r w:rsidRPr="009B071E">
              <w:rPr>
                <w:sz w:val="20"/>
                <w:szCs w:val="20"/>
                <w:lang w:val="fr-FR"/>
              </w:rPr>
              <w:t xml:space="preserve"> CRC) en tant que Vice-Présidente ;</w:t>
            </w:r>
          </w:p>
          <w:p w14:paraId="0CE1764C" w14:textId="3D848A19" w:rsidR="005174FE" w:rsidRPr="009B071E" w:rsidRDefault="00B6322D" w:rsidP="004C6C15">
            <w:pPr>
              <w:pStyle w:val="COMPara"/>
              <w:numPr>
                <w:ilvl w:val="0"/>
                <w:numId w:val="95"/>
              </w:numPr>
              <w:ind w:left="438"/>
              <w:rPr>
                <w:sz w:val="20"/>
                <w:szCs w:val="20"/>
                <w:lang w:val="fr-FR"/>
              </w:rPr>
            </w:pPr>
            <w:r w:rsidRPr="009B071E">
              <w:rPr>
                <w:sz w:val="20"/>
                <w:szCs w:val="20"/>
                <w:lang w:val="fr-FR"/>
              </w:rPr>
              <w:t xml:space="preserve">Mme </w:t>
            </w:r>
            <w:proofErr w:type="spellStart"/>
            <w:r w:rsidRPr="009B071E">
              <w:rPr>
                <w:sz w:val="20"/>
                <w:szCs w:val="20"/>
                <w:lang w:val="fr-FR"/>
              </w:rPr>
              <w:t>Evdokia</w:t>
            </w:r>
            <w:proofErr w:type="spellEnd"/>
            <w:r w:rsidRPr="009B071E">
              <w:rPr>
                <w:sz w:val="20"/>
                <w:szCs w:val="20"/>
                <w:lang w:val="fr-FR"/>
              </w:rPr>
              <w:t xml:space="preserve"> </w:t>
            </w:r>
            <w:proofErr w:type="spellStart"/>
            <w:r w:rsidRPr="009B071E">
              <w:rPr>
                <w:sz w:val="20"/>
                <w:szCs w:val="20"/>
                <w:lang w:val="fr-FR"/>
              </w:rPr>
              <w:t>Tsakiridis</w:t>
            </w:r>
            <w:proofErr w:type="spellEnd"/>
            <w:r w:rsidRPr="009B071E">
              <w:rPr>
                <w:sz w:val="20"/>
                <w:szCs w:val="20"/>
                <w:lang w:val="fr-FR"/>
              </w:rPr>
              <w:t xml:space="preserve"> (</w:t>
            </w:r>
            <w:r w:rsidR="00B85944" w:rsidRPr="009B071E">
              <w:rPr>
                <w:sz w:val="20"/>
                <w:szCs w:val="20"/>
                <w:lang w:val="fr-FR"/>
              </w:rPr>
              <w:t xml:space="preserve">Workshop intangible </w:t>
            </w:r>
            <w:proofErr w:type="spellStart"/>
            <w:r w:rsidR="00B85944" w:rsidRPr="009B071E">
              <w:rPr>
                <w:sz w:val="20"/>
                <w:szCs w:val="20"/>
                <w:lang w:val="fr-FR"/>
              </w:rPr>
              <w:t>heritage</w:t>
            </w:r>
            <w:proofErr w:type="spellEnd"/>
            <w:r w:rsidR="00B85944" w:rsidRPr="009B071E">
              <w:rPr>
                <w:sz w:val="20"/>
                <w:szCs w:val="20"/>
                <w:lang w:val="fr-FR"/>
              </w:rPr>
              <w:t xml:space="preserve"> </w:t>
            </w:r>
            <w:proofErr w:type="spellStart"/>
            <w:r w:rsidR="00B85944" w:rsidRPr="009B071E">
              <w:rPr>
                <w:sz w:val="20"/>
                <w:szCs w:val="20"/>
                <w:lang w:val="fr-FR"/>
              </w:rPr>
              <w:t>Flanders</w:t>
            </w:r>
            <w:proofErr w:type="spellEnd"/>
            <w:r w:rsidRPr="009B071E">
              <w:rPr>
                <w:sz w:val="20"/>
                <w:szCs w:val="20"/>
                <w:lang w:val="fr-FR"/>
              </w:rPr>
              <w:t>) en tant que Rapporteu</w:t>
            </w:r>
            <w:r w:rsidR="00F36FEB" w:rsidRPr="009B071E">
              <w:rPr>
                <w:sz w:val="20"/>
                <w:szCs w:val="20"/>
                <w:lang w:val="fr-FR"/>
              </w:rPr>
              <w:t>r</w:t>
            </w:r>
            <w:r w:rsidR="008A0C71" w:rsidRPr="009B071E">
              <w:rPr>
                <w:sz w:val="20"/>
                <w:szCs w:val="20"/>
                <w:lang w:val="fr-FR"/>
              </w:rPr>
              <w:t>e</w:t>
            </w:r>
            <w:r w:rsidRPr="009B071E">
              <w:rPr>
                <w:sz w:val="20"/>
                <w:szCs w:val="20"/>
                <w:lang w:val="fr-FR"/>
              </w:rPr>
              <w:t>.</w:t>
            </w:r>
          </w:p>
        </w:tc>
      </w:tr>
      <w:tr w:rsidR="00B6322D" w:rsidRPr="00620E80" w14:paraId="56012F35" w14:textId="77777777" w:rsidTr="00621A3A">
        <w:trPr>
          <w:cantSplit/>
          <w:trHeight w:val="530"/>
        </w:trPr>
        <w:tc>
          <w:tcPr>
            <w:tcW w:w="2517" w:type="dxa"/>
            <w:shd w:val="clear" w:color="auto" w:fill="auto"/>
          </w:tcPr>
          <w:p w14:paraId="20CE6522" w14:textId="6F5A6BDB" w:rsidR="00B6322D" w:rsidRPr="009B071E" w:rsidRDefault="00B6322D" w:rsidP="00264C90">
            <w:pPr>
              <w:pStyle w:val="COMPara"/>
              <w:numPr>
                <w:ilvl w:val="0"/>
                <w:numId w:val="0"/>
              </w:numPr>
              <w:rPr>
                <w:sz w:val="20"/>
                <w:szCs w:val="20"/>
                <w:lang w:val="fr-FR"/>
              </w:rPr>
            </w:pPr>
            <w:r w:rsidRPr="009B071E">
              <w:rPr>
                <w:b/>
                <w:bCs/>
                <w:sz w:val="20"/>
                <w:szCs w:val="20"/>
                <w:lang w:val="fr-FR"/>
              </w:rPr>
              <w:lastRenderedPageBreak/>
              <w:t>Deuxième réunion</w:t>
            </w:r>
            <w:r w:rsidRPr="009B071E">
              <w:rPr>
                <w:sz w:val="20"/>
                <w:szCs w:val="20"/>
                <w:lang w:val="fr-FR"/>
              </w:rPr>
              <w:br/>
              <w:t>12 au 16 juin 2023</w:t>
            </w:r>
            <w:r w:rsidRPr="009B071E">
              <w:rPr>
                <w:sz w:val="20"/>
                <w:szCs w:val="20"/>
                <w:lang w:val="fr-FR"/>
              </w:rPr>
              <w:br/>
              <w:t>Siège de l</w:t>
            </w:r>
            <w:r w:rsidR="00521B04" w:rsidRPr="009B071E">
              <w:rPr>
                <w:sz w:val="20"/>
                <w:szCs w:val="20"/>
                <w:lang w:val="fr-FR"/>
              </w:rPr>
              <w:t>’</w:t>
            </w:r>
            <w:r w:rsidRPr="009B071E">
              <w:rPr>
                <w:sz w:val="20"/>
                <w:szCs w:val="20"/>
                <w:lang w:val="fr-FR"/>
              </w:rPr>
              <w:t>UNESCO</w:t>
            </w:r>
          </w:p>
        </w:tc>
        <w:tc>
          <w:tcPr>
            <w:tcW w:w="3306" w:type="dxa"/>
            <w:shd w:val="clear" w:color="auto" w:fill="auto"/>
          </w:tcPr>
          <w:p w14:paraId="438D084F" w14:textId="4B6A7F3E" w:rsidR="00B6322D" w:rsidRPr="009B071E" w:rsidRDefault="00B6322D" w:rsidP="00264C90">
            <w:pPr>
              <w:pStyle w:val="COMPara"/>
              <w:numPr>
                <w:ilvl w:val="0"/>
                <w:numId w:val="92"/>
              </w:numPr>
              <w:ind w:left="407"/>
              <w:rPr>
                <w:sz w:val="20"/>
                <w:szCs w:val="20"/>
                <w:lang w:val="fr-FR"/>
              </w:rPr>
            </w:pPr>
            <w:r w:rsidRPr="009B071E">
              <w:rPr>
                <w:sz w:val="20"/>
                <w:szCs w:val="20"/>
                <w:lang w:val="fr-FR"/>
              </w:rPr>
              <w:t>Utiliser une interface en ligne dédiée, mise en place par le Secrétariat, pour procéder à l</w:t>
            </w:r>
            <w:r w:rsidR="00521B04" w:rsidRPr="009B071E">
              <w:rPr>
                <w:sz w:val="20"/>
                <w:szCs w:val="20"/>
                <w:lang w:val="fr-FR"/>
              </w:rPr>
              <w:t>’</w:t>
            </w:r>
            <w:r w:rsidRPr="009B071E">
              <w:rPr>
                <w:sz w:val="20"/>
                <w:szCs w:val="20"/>
                <w:lang w:val="fr-FR"/>
              </w:rPr>
              <w:t>évaluation individuelle de chaque dossier avant la réunion ;</w:t>
            </w:r>
          </w:p>
          <w:p w14:paraId="5A7A4999" w14:textId="42C1C2B5" w:rsidR="00B6322D" w:rsidRPr="009B071E" w:rsidRDefault="00B6322D" w:rsidP="00264C90">
            <w:pPr>
              <w:pStyle w:val="COMPara"/>
              <w:numPr>
                <w:ilvl w:val="0"/>
                <w:numId w:val="92"/>
              </w:numPr>
              <w:ind w:left="407"/>
              <w:rPr>
                <w:sz w:val="20"/>
                <w:szCs w:val="20"/>
                <w:lang w:val="fr-FR"/>
              </w:rPr>
            </w:pPr>
            <w:r w:rsidRPr="009B071E">
              <w:rPr>
                <w:sz w:val="20"/>
                <w:szCs w:val="20"/>
                <w:lang w:val="fr-FR"/>
              </w:rPr>
              <w:t xml:space="preserve">Discuter et parvenir à un consensus sur les recommandations pour tous les dossiers </w:t>
            </w:r>
            <w:r w:rsidRPr="009B071E">
              <w:rPr>
                <w:i/>
                <w:iCs/>
                <w:sz w:val="20"/>
                <w:szCs w:val="20"/>
                <w:lang w:val="fr-FR"/>
              </w:rPr>
              <w:t>in praesentia </w:t>
            </w:r>
            <w:r w:rsidRPr="009B071E">
              <w:rPr>
                <w:sz w:val="20"/>
                <w:szCs w:val="20"/>
                <w:lang w:val="fr-FR"/>
              </w:rPr>
              <w:t>;</w:t>
            </w:r>
          </w:p>
          <w:p w14:paraId="290A8A9E" w14:textId="23DBDCB8" w:rsidR="00B6322D" w:rsidRPr="009B071E" w:rsidRDefault="00B6322D" w:rsidP="00264C90">
            <w:pPr>
              <w:pStyle w:val="COMPara"/>
              <w:numPr>
                <w:ilvl w:val="0"/>
                <w:numId w:val="92"/>
              </w:numPr>
              <w:ind w:left="407"/>
              <w:rPr>
                <w:sz w:val="20"/>
                <w:szCs w:val="20"/>
                <w:lang w:val="fr-FR"/>
              </w:rPr>
            </w:pPr>
            <w:r w:rsidRPr="009B071E">
              <w:rPr>
                <w:sz w:val="20"/>
                <w:szCs w:val="20"/>
                <w:lang w:val="fr-FR"/>
              </w:rPr>
              <w:t>Discuter et préparer des questions à soumettre aux États concernés par le processus de dialogue.</w:t>
            </w:r>
          </w:p>
        </w:tc>
        <w:tc>
          <w:tcPr>
            <w:tcW w:w="3243" w:type="dxa"/>
            <w:shd w:val="clear" w:color="auto" w:fill="auto"/>
          </w:tcPr>
          <w:p w14:paraId="39A3955F" w14:textId="6E9DE75A" w:rsidR="00B6322D" w:rsidRPr="009B071E" w:rsidRDefault="00B6322D" w:rsidP="00264C90">
            <w:pPr>
              <w:pStyle w:val="COMPara"/>
              <w:numPr>
                <w:ilvl w:val="0"/>
                <w:numId w:val="92"/>
              </w:numPr>
              <w:ind w:left="407"/>
              <w:rPr>
                <w:sz w:val="20"/>
                <w:szCs w:val="20"/>
                <w:lang w:val="fr-FR"/>
              </w:rPr>
            </w:pPr>
            <w:r w:rsidRPr="009B071E">
              <w:rPr>
                <w:sz w:val="20"/>
                <w:szCs w:val="20"/>
                <w:lang w:val="fr-FR"/>
              </w:rPr>
              <w:t xml:space="preserve">Un consensus a été atteint sur </w:t>
            </w:r>
            <w:r w:rsidR="00816FAD">
              <w:rPr>
                <w:sz w:val="20"/>
                <w:szCs w:val="20"/>
                <w:lang w:val="fr-FR"/>
              </w:rPr>
              <w:t>4</w:t>
            </w:r>
            <w:r w:rsidR="008637E8">
              <w:rPr>
                <w:sz w:val="20"/>
                <w:szCs w:val="20"/>
                <w:lang w:val="fr-FR"/>
              </w:rPr>
              <w:t>7</w:t>
            </w:r>
            <w:r w:rsidR="00816FAD" w:rsidRPr="009B071E">
              <w:rPr>
                <w:sz w:val="20"/>
                <w:szCs w:val="20"/>
                <w:lang w:val="fr-FR"/>
              </w:rPr>
              <w:t xml:space="preserve"> </w:t>
            </w:r>
            <w:r w:rsidRPr="009B071E">
              <w:rPr>
                <w:sz w:val="20"/>
                <w:szCs w:val="20"/>
                <w:lang w:val="fr-FR"/>
              </w:rPr>
              <w:t xml:space="preserve">dossiers (le processus de dialogue a été </w:t>
            </w:r>
            <w:r w:rsidR="00F36FEB" w:rsidRPr="009B071E">
              <w:rPr>
                <w:sz w:val="20"/>
                <w:szCs w:val="20"/>
                <w:lang w:val="fr-FR"/>
              </w:rPr>
              <w:t>initié</w:t>
            </w:r>
            <w:r w:rsidRPr="009B071E">
              <w:rPr>
                <w:sz w:val="20"/>
                <w:szCs w:val="20"/>
                <w:lang w:val="fr-FR"/>
              </w:rPr>
              <w:t xml:space="preserve"> pour 12 dossiers) ;</w:t>
            </w:r>
          </w:p>
          <w:p w14:paraId="1CF02409" w14:textId="0F598C3C" w:rsidR="005E7479" w:rsidRPr="009B071E" w:rsidRDefault="00BE498A" w:rsidP="00264C90">
            <w:pPr>
              <w:pStyle w:val="COMPara"/>
              <w:numPr>
                <w:ilvl w:val="0"/>
                <w:numId w:val="92"/>
              </w:numPr>
              <w:ind w:left="407"/>
              <w:rPr>
                <w:sz w:val="20"/>
                <w:szCs w:val="20"/>
                <w:lang w:val="fr-FR"/>
              </w:rPr>
            </w:pPr>
            <w:proofErr w:type="gramStart"/>
            <w:r w:rsidRPr="009B071E">
              <w:rPr>
                <w:sz w:val="20"/>
                <w:szCs w:val="20"/>
                <w:lang w:val="fr-FR"/>
              </w:rPr>
              <w:t>Suite à</w:t>
            </w:r>
            <w:proofErr w:type="gramEnd"/>
            <w:r w:rsidRPr="009B071E">
              <w:rPr>
                <w:sz w:val="20"/>
                <w:szCs w:val="20"/>
                <w:lang w:val="fr-FR"/>
              </w:rPr>
              <w:t xml:space="preserve"> la réunion, le Secrétariat a envoyé les questions soulevées par l</w:t>
            </w:r>
            <w:r w:rsidR="00521B04" w:rsidRPr="009B071E">
              <w:rPr>
                <w:sz w:val="20"/>
                <w:szCs w:val="20"/>
                <w:lang w:val="fr-FR"/>
              </w:rPr>
              <w:t>’</w:t>
            </w:r>
            <w:r w:rsidRPr="009B071E">
              <w:rPr>
                <w:sz w:val="20"/>
                <w:szCs w:val="20"/>
                <w:lang w:val="fr-FR"/>
              </w:rPr>
              <w:t>Organe d</w:t>
            </w:r>
            <w:r w:rsidR="00521B04" w:rsidRPr="009B071E">
              <w:rPr>
                <w:sz w:val="20"/>
                <w:szCs w:val="20"/>
                <w:lang w:val="fr-FR"/>
              </w:rPr>
              <w:t>’</w:t>
            </w:r>
            <w:r w:rsidRPr="009B071E">
              <w:rPr>
                <w:sz w:val="20"/>
                <w:szCs w:val="20"/>
                <w:lang w:val="fr-FR"/>
              </w:rPr>
              <w:t>évaluation à tous les États concernés par le processus de dialogue ;</w:t>
            </w:r>
          </w:p>
          <w:p w14:paraId="14748AE5" w14:textId="421C9885" w:rsidR="00BE498A" w:rsidRPr="009B071E" w:rsidRDefault="00BE498A" w:rsidP="00264C90">
            <w:pPr>
              <w:pStyle w:val="COMPara"/>
              <w:numPr>
                <w:ilvl w:val="0"/>
                <w:numId w:val="92"/>
              </w:numPr>
              <w:ind w:left="407"/>
              <w:rPr>
                <w:sz w:val="20"/>
                <w:szCs w:val="20"/>
                <w:lang w:val="fr-FR"/>
              </w:rPr>
            </w:pPr>
            <w:r w:rsidRPr="009B071E">
              <w:rPr>
                <w:sz w:val="20"/>
                <w:szCs w:val="20"/>
                <w:lang w:val="fr-FR"/>
              </w:rPr>
              <w:t>Après la réunion, l</w:t>
            </w:r>
            <w:r w:rsidR="00C0768F" w:rsidRPr="009B071E">
              <w:rPr>
                <w:sz w:val="20"/>
                <w:szCs w:val="20"/>
                <w:lang w:val="fr-FR"/>
              </w:rPr>
              <w:t>a</w:t>
            </w:r>
            <w:r w:rsidRPr="009B071E">
              <w:rPr>
                <w:sz w:val="20"/>
                <w:szCs w:val="20"/>
                <w:lang w:val="fr-FR"/>
              </w:rPr>
              <w:t xml:space="preserve"> Rapporteu</w:t>
            </w:r>
            <w:r w:rsidR="00F36FEB" w:rsidRPr="009B071E">
              <w:rPr>
                <w:sz w:val="20"/>
                <w:szCs w:val="20"/>
                <w:lang w:val="fr-FR"/>
              </w:rPr>
              <w:t>r</w:t>
            </w:r>
            <w:r w:rsidR="00C0768F" w:rsidRPr="009B071E">
              <w:rPr>
                <w:sz w:val="20"/>
                <w:szCs w:val="20"/>
                <w:lang w:val="fr-FR"/>
              </w:rPr>
              <w:t xml:space="preserve">e </w:t>
            </w:r>
            <w:r w:rsidRPr="009B071E">
              <w:rPr>
                <w:sz w:val="20"/>
                <w:szCs w:val="20"/>
                <w:lang w:val="fr-FR"/>
              </w:rPr>
              <w:t>(et la Vice-Présidente dans quelques cas) a préparé un projet de décision pour chaque dossier ; le Président a rédigé les observations et les recommandations de l</w:t>
            </w:r>
            <w:r w:rsidR="00F36FEB" w:rsidRPr="009B071E">
              <w:rPr>
                <w:sz w:val="20"/>
                <w:szCs w:val="20"/>
                <w:lang w:val="fr-FR"/>
              </w:rPr>
              <w:t>’O</w:t>
            </w:r>
            <w:r w:rsidRPr="009B071E">
              <w:rPr>
                <w:sz w:val="20"/>
                <w:szCs w:val="20"/>
                <w:lang w:val="fr-FR"/>
              </w:rPr>
              <w:t>rgane.</w:t>
            </w:r>
          </w:p>
        </w:tc>
      </w:tr>
      <w:tr w:rsidR="00B6322D" w:rsidRPr="00620E80" w14:paraId="60004B0F" w14:textId="77777777" w:rsidTr="00264C90">
        <w:trPr>
          <w:cantSplit/>
        </w:trPr>
        <w:tc>
          <w:tcPr>
            <w:tcW w:w="2517" w:type="dxa"/>
          </w:tcPr>
          <w:p w14:paraId="459637A7" w14:textId="35BFD13A" w:rsidR="00B6322D" w:rsidRPr="009B071E" w:rsidRDefault="00B6322D" w:rsidP="00264C90">
            <w:pPr>
              <w:pStyle w:val="COMPara"/>
              <w:numPr>
                <w:ilvl w:val="0"/>
                <w:numId w:val="0"/>
              </w:numPr>
              <w:rPr>
                <w:sz w:val="20"/>
                <w:szCs w:val="20"/>
                <w:lang w:val="fr-FR"/>
              </w:rPr>
            </w:pPr>
            <w:r w:rsidRPr="009B071E">
              <w:rPr>
                <w:b/>
                <w:bCs/>
                <w:sz w:val="20"/>
                <w:szCs w:val="20"/>
                <w:lang w:val="fr-FR"/>
              </w:rPr>
              <w:t>Troisième réunion</w:t>
            </w:r>
            <w:r w:rsidRPr="009B071E">
              <w:rPr>
                <w:sz w:val="20"/>
                <w:szCs w:val="20"/>
                <w:lang w:val="fr-FR"/>
              </w:rPr>
              <w:br/>
              <w:t>Du 19 au 22 septembre 2023</w:t>
            </w:r>
            <w:r w:rsidRPr="009B071E">
              <w:rPr>
                <w:sz w:val="20"/>
                <w:szCs w:val="20"/>
                <w:lang w:val="fr-FR"/>
              </w:rPr>
              <w:br/>
              <w:t>En ligne (avec le Président, la Vice-Présidente et l</w:t>
            </w:r>
            <w:r w:rsidR="00F307BE" w:rsidRPr="009B071E">
              <w:rPr>
                <w:sz w:val="20"/>
                <w:szCs w:val="20"/>
                <w:lang w:val="fr-FR"/>
              </w:rPr>
              <w:t>a</w:t>
            </w:r>
            <w:r w:rsidRPr="009B071E">
              <w:rPr>
                <w:sz w:val="20"/>
                <w:szCs w:val="20"/>
                <w:lang w:val="fr-FR"/>
              </w:rPr>
              <w:t xml:space="preserve"> Rapporteu</w:t>
            </w:r>
            <w:r w:rsidR="00F36FEB" w:rsidRPr="009B071E">
              <w:rPr>
                <w:sz w:val="20"/>
                <w:szCs w:val="20"/>
                <w:lang w:val="fr-FR"/>
              </w:rPr>
              <w:t>r</w:t>
            </w:r>
            <w:r w:rsidR="00F307BE" w:rsidRPr="009B071E">
              <w:rPr>
                <w:sz w:val="20"/>
                <w:szCs w:val="20"/>
                <w:lang w:val="fr-FR"/>
              </w:rPr>
              <w:t>e</w:t>
            </w:r>
            <w:r w:rsidRPr="009B071E">
              <w:rPr>
                <w:sz w:val="20"/>
                <w:szCs w:val="20"/>
                <w:lang w:val="fr-FR"/>
              </w:rPr>
              <w:t xml:space="preserve"> </w:t>
            </w:r>
            <w:r w:rsidRPr="009B071E">
              <w:rPr>
                <w:i/>
                <w:iCs/>
                <w:sz w:val="20"/>
                <w:szCs w:val="20"/>
                <w:lang w:val="fr-FR"/>
              </w:rPr>
              <w:t>in praesentia</w:t>
            </w:r>
            <w:r w:rsidRPr="009B071E">
              <w:rPr>
                <w:sz w:val="20"/>
                <w:szCs w:val="20"/>
                <w:lang w:val="fr-FR"/>
              </w:rPr>
              <w:t>)</w:t>
            </w:r>
          </w:p>
        </w:tc>
        <w:tc>
          <w:tcPr>
            <w:tcW w:w="3306" w:type="dxa"/>
          </w:tcPr>
          <w:p w14:paraId="3A9FADE7" w14:textId="6EC151F1" w:rsidR="00B6322D" w:rsidRPr="009B071E" w:rsidRDefault="005E7479" w:rsidP="00264C90">
            <w:pPr>
              <w:pStyle w:val="COMPara"/>
              <w:numPr>
                <w:ilvl w:val="0"/>
                <w:numId w:val="92"/>
              </w:numPr>
              <w:ind w:left="407"/>
              <w:rPr>
                <w:sz w:val="20"/>
                <w:szCs w:val="20"/>
                <w:lang w:val="fr-FR"/>
              </w:rPr>
            </w:pPr>
            <w:r w:rsidRPr="009B071E">
              <w:rPr>
                <w:sz w:val="20"/>
                <w:szCs w:val="20"/>
                <w:lang w:val="fr-FR"/>
              </w:rPr>
              <w:t>Discuter, ajuster et valider les projets de décision pour chaque dossier ;</w:t>
            </w:r>
          </w:p>
          <w:p w14:paraId="45CDAD17" w14:textId="002539B8" w:rsidR="005E7479" w:rsidRPr="009B071E" w:rsidRDefault="005E7479" w:rsidP="00264C90">
            <w:pPr>
              <w:pStyle w:val="COMPara"/>
              <w:numPr>
                <w:ilvl w:val="0"/>
                <w:numId w:val="92"/>
              </w:numPr>
              <w:ind w:left="407"/>
              <w:rPr>
                <w:sz w:val="20"/>
                <w:szCs w:val="20"/>
                <w:lang w:val="fr-FR"/>
              </w:rPr>
            </w:pPr>
            <w:r w:rsidRPr="009B071E">
              <w:rPr>
                <w:sz w:val="20"/>
                <w:szCs w:val="20"/>
                <w:lang w:val="fr-FR"/>
              </w:rPr>
              <w:t>Finaliser les recommandations pour tous les dossiers concernés par le processus de dialogue ;</w:t>
            </w:r>
          </w:p>
          <w:p w14:paraId="2EE1C8ED" w14:textId="72AC996A" w:rsidR="00B6322D" w:rsidRPr="009B071E" w:rsidRDefault="00E6788F" w:rsidP="00EB21B9">
            <w:pPr>
              <w:pStyle w:val="COMPara"/>
              <w:numPr>
                <w:ilvl w:val="0"/>
                <w:numId w:val="92"/>
              </w:numPr>
              <w:ind w:left="407"/>
              <w:rPr>
                <w:sz w:val="20"/>
                <w:szCs w:val="20"/>
                <w:lang w:val="fr-FR"/>
              </w:rPr>
            </w:pPr>
            <w:r w:rsidRPr="009B071E">
              <w:rPr>
                <w:sz w:val="20"/>
                <w:szCs w:val="20"/>
                <w:lang w:val="fr-FR"/>
              </w:rPr>
              <w:t>Discuter et finaliser les questions transversales</w:t>
            </w:r>
            <w:r w:rsidR="004F41E8" w:rsidRPr="009B071E">
              <w:rPr>
                <w:sz w:val="20"/>
                <w:szCs w:val="20"/>
                <w:lang w:val="fr-FR"/>
              </w:rPr>
              <w:t>.</w:t>
            </w:r>
          </w:p>
        </w:tc>
        <w:tc>
          <w:tcPr>
            <w:tcW w:w="3243" w:type="dxa"/>
          </w:tcPr>
          <w:p w14:paraId="3B6B6333" w14:textId="67D9BB5B" w:rsidR="005E7479" w:rsidRPr="009B071E" w:rsidRDefault="005E7479" w:rsidP="00264C90">
            <w:pPr>
              <w:pStyle w:val="COMPara"/>
              <w:numPr>
                <w:ilvl w:val="0"/>
                <w:numId w:val="92"/>
              </w:numPr>
              <w:ind w:left="407"/>
              <w:rPr>
                <w:sz w:val="20"/>
                <w:szCs w:val="20"/>
                <w:lang w:val="fr-FR"/>
              </w:rPr>
            </w:pPr>
            <w:r w:rsidRPr="009B071E">
              <w:rPr>
                <w:sz w:val="20"/>
                <w:szCs w:val="20"/>
                <w:lang w:val="fr-FR"/>
              </w:rPr>
              <w:t>L</w:t>
            </w:r>
            <w:r w:rsidR="00521B04" w:rsidRPr="009B071E">
              <w:rPr>
                <w:sz w:val="20"/>
                <w:szCs w:val="20"/>
                <w:lang w:val="fr-FR"/>
              </w:rPr>
              <w:t>’</w:t>
            </w:r>
            <w:r w:rsidRPr="009B071E">
              <w:rPr>
                <w:sz w:val="20"/>
                <w:szCs w:val="20"/>
                <w:lang w:val="fr-FR"/>
              </w:rPr>
              <w:t>Organe d</w:t>
            </w:r>
            <w:r w:rsidR="00521B04" w:rsidRPr="009B071E">
              <w:rPr>
                <w:sz w:val="20"/>
                <w:szCs w:val="20"/>
                <w:lang w:val="fr-FR"/>
              </w:rPr>
              <w:t>’</w:t>
            </w:r>
            <w:r w:rsidRPr="009B071E">
              <w:rPr>
                <w:sz w:val="20"/>
                <w:szCs w:val="20"/>
                <w:lang w:val="fr-FR"/>
              </w:rPr>
              <w:t>évaluation a finalisé ses recommandations pour tous les dossiers concernés par le processus de dialogue ;</w:t>
            </w:r>
          </w:p>
          <w:p w14:paraId="26E5FBF9" w14:textId="375651A3" w:rsidR="00B6322D" w:rsidRPr="009B071E" w:rsidRDefault="00902289" w:rsidP="00264C90">
            <w:pPr>
              <w:pStyle w:val="COMPara"/>
              <w:numPr>
                <w:ilvl w:val="0"/>
                <w:numId w:val="92"/>
              </w:numPr>
              <w:ind w:left="407"/>
              <w:rPr>
                <w:sz w:val="20"/>
                <w:szCs w:val="20"/>
                <w:lang w:val="fr-FR"/>
              </w:rPr>
            </w:pPr>
            <w:r w:rsidRPr="009B071E">
              <w:rPr>
                <w:sz w:val="20"/>
                <w:szCs w:val="20"/>
                <w:lang w:val="fr-FR"/>
              </w:rPr>
              <w:t>L</w:t>
            </w:r>
            <w:r w:rsidR="00521B04" w:rsidRPr="009B071E">
              <w:rPr>
                <w:sz w:val="20"/>
                <w:szCs w:val="20"/>
                <w:lang w:val="fr-FR"/>
              </w:rPr>
              <w:t>’</w:t>
            </w:r>
            <w:r w:rsidRPr="009B071E">
              <w:rPr>
                <w:sz w:val="20"/>
                <w:szCs w:val="20"/>
                <w:lang w:val="fr-FR"/>
              </w:rPr>
              <w:t>Organe d</w:t>
            </w:r>
            <w:r w:rsidR="00521B04" w:rsidRPr="009B071E">
              <w:rPr>
                <w:sz w:val="20"/>
                <w:szCs w:val="20"/>
                <w:lang w:val="fr-FR"/>
              </w:rPr>
              <w:t>’</w:t>
            </w:r>
            <w:r w:rsidRPr="009B071E">
              <w:rPr>
                <w:sz w:val="20"/>
                <w:szCs w:val="20"/>
                <w:lang w:val="fr-FR"/>
              </w:rPr>
              <w:t>évaluation a adopté ses rapports pour le Comité.</w:t>
            </w:r>
          </w:p>
        </w:tc>
      </w:tr>
    </w:tbl>
    <w:p w14:paraId="63C6678A" w14:textId="2A92104B" w:rsidR="00AF063E" w:rsidRPr="009B071E" w:rsidRDefault="00AF063E" w:rsidP="00902289">
      <w:pPr>
        <w:pStyle w:val="COMPara"/>
        <w:numPr>
          <w:ilvl w:val="0"/>
          <w:numId w:val="7"/>
        </w:numPr>
        <w:spacing w:before="120"/>
        <w:ind w:left="567" w:hanging="567"/>
        <w:jc w:val="both"/>
        <w:rPr>
          <w:lang w:val="fr-FR"/>
        </w:rPr>
      </w:pPr>
      <w:r w:rsidRPr="009B071E">
        <w:rPr>
          <w:b/>
          <w:bCs/>
          <w:lang w:val="fr-FR"/>
        </w:rPr>
        <w:t>Processus de dialogue</w:t>
      </w:r>
      <w:r w:rsidR="00620E80">
        <w:rPr>
          <w:b/>
          <w:bCs/>
          <w:lang w:val="fr-FR"/>
        </w:rPr>
        <w:t> </w:t>
      </w:r>
      <w:r w:rsidR="00620E80">
        <w:rPr>
          <w:lang w:val="fr-FR"/>
        </w:rPr>
        <w:t>:</w:t>
      </w:r>
      <w:r w:rsidRPr="009B071E">
        <w:rPr>
          <w:lang w:val="fr-FR"/>
        </w:rPr>
        <w:t xml:space="preserve"> Le cycle 2023 est le quatrième cycle dans lequel le processus de dialogue a été pleinement mis en œuvre. Au cours de ce cycle, le processus de dialogue a concerné douze dossiers, dont une candidature pour la Liste de sauvegarde urgente et les autres pour la Liste représentative. Dans deux cas, l</w:t>
      </w:r>
      <w:r w:rsidR="00521B04" w:rsidRPr="009B071E">
        <w:rPr>
          <w:lang w:val="fr-FR"/>
        </w:rPr>
        <w:t>’</w:t>
      </w:r>
      <w:r w:rsidRPr="009B071E">
        <w:rPr>
          <w:lang w:val="fr-FR"/>
        </w:rPr>
        <w:t>Organe a posé des questions sur plus d</w:t>
      </w:r>
      <w:r w:rsidR="00521B04" w:rsidRPr="009B071E">
        <w:rPr>
          <w:lang w:val="fr-FR"/>
        </w:rPr>
        <w:t>’</w:t>
      </w:r>
      <w:r w:rsidRPr="009B071E">
        <w:rPr>
          <w:lang w:val="fr-FR"/>
        </w:rPr>
        <w:t>un critère, pour un total de vingt-deux questions. Dans certains dossiers multinationaux, des questions ont été posées à des États spécifiques au sein du groupe d</w:t>
      </w:r>
      <w:r w:rsidR="00521B04" w:rsidRPr="009B071E">
        <w:rPr>
          <w:lang w:val="fr-FR"/>
        </w:rPr>
        <w:t>’</w:t>
      </w:r>
      <w:r w:rsidRPr="009B071E">
        <w:rPr>
          <w:lang w:val="fr-FR"/>
        </w:rPr>
        <w:t>États soumissionnaires, afin d</w:t>
      </w:r>
      <w:r w:rsidR="00521B04" w:rsidRPr="009B071E">
        <w:rPr>
          <w:lang w:val="fr-FR"/>
        </w:rPr>
        <w:t>’</w:t>
      </w:r>
      <w:r w:rsidRPr="009B071E">
        <w:rPr>
          <w:lang w:val="fr-FR"/>
        </w:rPr>
        <w:t>obtenir des éclaircissements de la part de ces États spécifiques uniquement, étant donné que les autres États soumissionnaires avaient fourni suffisamment d</w:t>
      </w:r>
      <w:r w:rsidR="00521B04" w:rsidRPr="009B071E">
        <w:rPr>
          <w:lang w:val="fr-FR"/>
        </w:rPr>
        <w:t>’</w:t>
      </w:r>
      <w:r w:rsidRPr="009B071E">
        <w:rPr>
          <w:lang w:val="fr-FR"/>
        </w:rPr>
        <w:t>informations dans le dossier pour le processus d</w:t>
      </w:r>
      <w:r w:rsidR="00521B04" w:rsidRPr="009B071E">
        <w:rPr>
          <w:lang w:val="fr-FR"/>
        </w:rPr>
        <w:t>’</w:t>
      </w:r>
      <w:r w:rsidRPr="009B071E">
        <w:rPr>
          <w:lang w:val="fr-FR"/>
        </w:rPr>
        <w:t>évaluation. Les questions de l</w:t>
      </w:r>
      <w:r w:rsidR="00521B04" w:rsidRPr="009B071E">
        <w:rPr>
          <w:lang w:val="fr-FR"/>
        </w:rPr>
        <w:t>’</w:t>
      </w:r>
      <w:r w:rsidRPr="009B071E">
        <w:rPr>
          <w:lang w:val="fr-FR"/>
        </w:rPr>
        <w:t>Organe d</w:t>
      </w:r>
      <w:r w:rsidR="00521B04" w:rsidRPr="009B071E">
        <w:rPr>
          <w:lang w:val="fr-FR"/>
        </w:rPr>
        <w:t>’</w:t>
      </w:r>
      <w:r w:rsidRPr="009B071E">
        <w:rPr>
          <w:lang w:val="fr-FR"/>
        </w:rPr>
        <w:t>évaluation ont été envoyées aux États soumissionnaires concernés le 26 juin 2023 avec la date limite du 4 août 2023 pour fournir les informations demandées dans les deux langues de travail de la Convention. Les questions de l</w:t>
      </w:r>
      <w:r w:rsidR="00521B04" w:rsidRPr="009B071E">
        <w:rPr>
          <w:lang w:val="fr-FR"/>
        </w:rPr>
        <w:t>’</w:t>
      </w:r>
      <w:r w:rsidRPr="009B071E">
        <w:rPr>
          <w:lang w:val="fr-FR"/>
        </w:rPr>
        <w:t>Organe d</w:t>
      </w:r>
      <w:r w:rsidR="00521B04" w:rsidRPr="009B071E">
        <w:rPr>
          <w:lang w:val="fr-FR"/>
        </w:rPr>
        <w:t>’</w:t>
      </w:r>
      <w:r w:rsidRPr="009B071E">
        <w:rPr>
          <w:lang w:val="fr-FR"/>
        </w:rPr>
        <w:t xml:space="preserve">évaluation et les réponses des États soumissionnaires sont jointes à leurs dossiers de candidature respectifs sur </w:t>
      </w:r>
      <w:hyperlink r:id="rId21" w:history="1">
        <w:r w:rsidRPr="009B071E">
          <w:rPr>
            <w:rStyle w:val="Lienhypertexte"/>
            <w:lang w:val="fr-FR"/>
          </w:rPr>
          <w:t xml:space="preserve">la page </w:t>
        </w:r>
        <w:r w:rsidR="00F36FEB" w:rsidRPr="009B071E">
          <w:rPr>
            <w:rStyle w:val="Lienhypertexte"/>
            <w:lang w:val="fr-FR"/>
          </w:rPr>
          <w:t xml:space="preserve">Internet du </w:t>
        </w:r>
        <w:r w:rsidRPr="009B071E">
          <w:rPr>
            <w:rStyle w:val="Lienhypertexte"/>
            <w:lang w:val="fr-FR"/>
          </w:rPr>
          <w:t>18.COM</w:t>
        </w:r>
      </w:hyperlink>
      <w:r w:rsidRPr="009B071E">
        <w:rPr>
          <w:lang w:val="fr-FR"/>
        </w:rPr>
        <w:t>. Sur les douze dossiers ayant fait l</w:t>
      </w:r>
      <w:r w:rsidR="00521B04" w:rsidRPr="009B071E">
        <w:rPr>
          <w:lang w:val="fr-FR"/>
        </w:rPr>
        <w:t>’</w:t>
      </w:r>
      <w:r w:rsidRPr="009B071E">
        <w:rPr>
          <w:lang w:val="fr-FR"/>
        </w:rPr>
        <w:t xml:space="preserve">objet du processus de dialogue, </w:t>
      </w:r>
      <w:r w:rsidR="00BF1F1A" w:rsidRPr="009B071E">
        <w:rPr>
          <w:lang w:val="fr-FR"/>
        </w:rPr>
        <w:t>tous les</w:t>
      </w:r>
      <w:r w:rsidRPr="009B071E">
        <w:rPr>
          <w:lang w:val="fr-FR"/>
        </w:rPr>
        <w:t xml:space="preserve"> dossiers ont été recommandés pour inscription. </w:t>
      </w:r>
    </w:p>
    <w:p w14:paraId="3968571E" w14:textId="19E367A7" w:rsidR="00322322" w:rsidRPr="009B071E" w:rsidRDefault="00322322" w:rsidP="002D5E38">
      <w:pPr>
        <w:pStyle w:val="COMPara"/>
        <w:keepNext/>
        <w:numPr>
          <w:ilvl w:val="0"/>
          <w:numId w:val="0"/>
        </w:numPr>
        <w:ind w:left="567"/>
        <w:jc w:val="both"/>
        <w:rPr>
          <w:u w:val="single"/>
          <w:lang w:val="fr-FR"/>
        </w:rPr>
      </w:pPr>
      <w:r w:rsidRPr="009B071E">
        <w:rPr>
          <w:u w:val="single"/>
          <w:lang w:val="fr-FR"/>
        </w:rPr>
        <w:t>Recommandations de l</w:t>
      </w:r>
      <w:r w:rsidR="00521B04" w:rsidRPr="009B071E">
        <w:rPr>
          <w:u w:val="single"/>
          <w:lang w:val="fr-FR"/>
        </w:rPr>
        <w:t>’</w:t>
      </w:r>
      <w:r w:rsidRPr="009B071E">
        <w:rPr>
          <w:u w:val="single"/>
          <w:lang w:val="fr-FR"/>
        </w:rPr>
        <w:t>Organe d</w:t>
      </w:r>
      <w:r w:rsidR="00521B04" w:rsidRPr="009B071E">
        <w:rPr>
          <w:u w:val="single"/>
          <w:lang w:val="fr-FR"/>
        </w:rPr>
        <w:t>’</w:t>
      </w:r>
      <w:r w:rsidRPr="009B071E">
        <w:rPr>
          <w:u w:val="single"/>
          <w:lang w:val="fr-FR"/>
        </w:rPr>
        <w:t>évaluation</w:t>
      </w:r>
    </w:p>
    <w:p w14:paraId="54D9A841" w14:textId="4C2399B7" w:rsidR="00733122" w:rsidRPr="0050051F" w:rsidRDefault="00733122" w:rsidP="0033136C">
      <w:pPr>
        <w:pStyle w:val="COMPara"/>
        <w:keepLines/>
        <w:numPr>
          <w:ilvl w:val="0"/>
          <w:numId w:val="7"/>
        </w:numPr>
        <w:ind w:left="567" w:hanging="567"/>
        <w:jc w:val="both"/>
        <w:rPr>
          <w:lang w:val="fr-FR"/>
        </w:rPr>
      </w:pPr>
      <w:proofErr w:type="gramStart"/>
      <w:r w:rsidRPr="0050051F">
        <w:rPr>
          <w:lang w:val="fr-FR"/>
        </w:rPr>
        <w:t>Suite aux</w:t>
      </w:r>
      <w:proofErr w:type="gramEnd"/>
      <w:r w:rsidRPr="0050051F">
        <w:rPr>
          <w:lang w:val="fr-FR"/>
        </w:rPr>
        <w:t xml:space="preserve"> travaux de l’Organe d’évaluation, la totalité des 56 dossiers présentés au Comité au cours de ce cycle sont recommandés pour inscription, sélection ou approbation. Par rapport au cycle précédent, en 2022, le nombre de dossiers recommandés pour renvoi a diminué de 27 à 0 %. Le nombre de dossiers recommandés pour inscription a quant à lui augmenté de 71 à 100 %. C'est la première fois dans la mise en œuvre des mécanismes d’inscription sur les listes de la Convention que la totalité des candidatures d’un cycle peut être considérée comme ayant satisfait aux critères d’inscription. Malgré ce résultat extrêmement positif, l’Organe d’évaluation invite les États soumissionnaires à prêter une attention particulière aux conseils de sauvegarde donnés pour chaque candidature ainsi qu’aux questions transversales soulevées dans ce rapport.</w:t>
      </w:r>
    </w:p>
    <w:p w14:paraId="23168ABD" w14:textId="4B164A20" w:rsidR="007125B6" w:rsidRPr="009B071E" w:rsidRDefault="002B5374" w:rsidP="007612F4">
      <w:pPr>
        <w:pStyle w:val="COMPara"/>
        <w:keepNext/>
        <w:spacing w:before="240"/>
        <w:ind w:left="567" w:hanging="567"/>
        <w:rPr>
          <w:b/>
          <w:bCs/>
          <w:lang w:val="fr-FR"/>
        </w:rPr>
      </w:pPr>
      <w:r w:rsidRPr="009B071E">
        <w:rPr>
          <w:b/>
          <w:bCs/>
          <w:lang w:val="fr-FR"/>
        </w:rPr>
        <w:lastRenderedPageBreak/>
        <w:t>Observations et recommandations</w:t>
      </w:r>
    </w:p>
    <w:p w14:paraId="28F6F1C6" w14:textId="272809C0" w:rsidR="007125B6" w:rsidRPr="009B071E" w:rsidRDefault="00322322" w:rsidP="007612F4">
      <w:pPr>
        <w:pStyle w:val="COMPara"/>
        <w:keepNext/>
        <w:numPr>
          <w:ilvl w:val="0"/>
          <w:numId w:val="7"/>
        </w:numPr>
        <w:ind w:left="567" w:hanging="567"/>
        <w:jc w:val="both"/>
        <w:rPr>
          <w:lang w:val="fr-FR"/>
        </w:rPr>
      </w:pPr>
      <w:r w:rsidRPr="009B071E">
        <w:rPr>
          <w:lang w:val="fr-FR"/>
        </w:rPr>
        <w:t>Cette partie du rapport explique les méthodes de travail de l</w:t>
      </w:r>
      <w:r w:rsidR="00521B04" w:rsidRPr="009B071E">
        <w:rPr>
          <w:lang w:val="fr-FR"/>
        </w:rPr>
        <w:t>’</w:t>
      </w:r>
      <w:r w:rsidRPr="009B071E">
        <w:rPr>
          <w:lang w:val="fr-FR"/>
        </w:rPr>
        <w:t>Organe d</w:t>
      </w:r>
      <w:r w:rsidR="00521B04" w:rsidRPr="009B071E">
        <w:rPr>
          <w:lang w:val="fr-FR"/>
        </w:rPr>
        <w:t>’</w:t>
      </w:r>
      <w:r w:rsidRPr="009B071E">
        <w:rPr>
          <w:lang w:val="fr-FR"/>
        </w:rPr>
        <w:t xml:space="preserve">évaluation et présente les principaux problèmes, observations et conclusions qui ont surgi au cours de son travail dans le cadre de ce cycle. </w:t>
      </w:r>
    </w:p>
    <w:p w14:paraId="6070542E" w14:textId="1FEB6FA9" w:rsidR="00BF2E7F" w:rsidRPr="009B071E" w:rsidRDefault="00BF2E7F" w:rsidP="00BF2E7F">
      <w:pPr>
        <w:pStyle w:val="COMPara"/>
        <w:numPr>
          <w:ilvl w:val="0"/>
          <w:numId w:val="0"/>
        </w:numPr>
        <w:spacing w:before="240"/>
        <w:rPr>
          <w:rFonts w:eastAsiaTheme="minorEastAsia"/>
          <w:b/>
          <w:i/>
          <w:lang w:val="fr-FR"/>
        </w:rPr>
      </w:pPr>
      <w:r w:rsidRPr="009B071E">
        <w:rPr>
          <w:rFonts w:eastAsiaTheme="minorEastAsia"/>
          <w:b/>
          <w:bCs/>
          <w:i/>
          <w:iCs/>
          <w:lang w:val="fr-FR"/>
        </w:rPr>
        <w:t>Méthodes de travail</w:t>
      </w:r>
    </w:p>
    <w:p w14:paraId="5E95F1C7" w14:textId="1B91333F" w:rsidR="00A25376" w:rsidRPr="009B071E" w:rsidRDefault="00A25376" w:rsidP="002B5374">
      <w:pPr>
        <w:pStyle w:val="COMPara"/>
        <w:numPr>
          <w:ilvl w:val="0"/>
          <w:numId w:val="7"/>
        </w:numPr>
        <w:ind w:left="567" w:hanging="567"/>
        <w:jc w:val="both"/>
        <w:rPr>
          <w:lang w:val="fr-FR"/>
        </w:rPr>
      </w:pPr>
      <w:r w:rsidRPr="009B071E">
        <w:rPr>
          <w:b/>
          <w:bCs/>
          <w:lang w:val="fr-FR"/>
        </w:rPr>
        <w:t>Méthodologie générale</w:t>
      </w:r>
      <w:r w:rsidRPr="009B071E">
        <w:rPr>
          <w:lang w:val="fr-FR"/>
        </w:rPr>
        <w:t>. Comme les années précédentes, les douze membres de l</w:t>
      </w:r>
      <w:r w:rsidR="00521B04" w:rsidRPr="009B071E">
        <w:rPr>
          <w:lang w:val="fr-FR"/>
        </w:rPr>
        <w:t>’</w:t>
      </w:r>
      <w:r w:rsidRPr="009B071E">
        <w:rPr>
          <w:lang w:val="fr-FR"/>
        </w:rPr>
        <w:t>Organe d</w:t>
      </w:r>
      <w:r w:rsidR="00521B04" w:rsidRPr="009B071E">
        <w:rPr>
          <w:lang w:val="fr-FR"/>
        </w:rPr>
        <w:t>’</w:t>
      </w:r>
      <w:r w:rsidRPr="009B071E">
        <w:rPr>
          <w:lang w:val="fr-FR"/>
        </w:rPr>
        <w:t>évaluation ont évalué chaque dossier dans le cadre d</w:t>
      </w:r>
      <w:r w:rsidR="00521B04" w:rsidRPr="009B071E">
        <w:rPr>
          <w:lang w:val="fr-FR"/>
        </w:rPr>
        <w:t>’</w:t>
      </w:r>
      <w:r w:rsidRPr="009B071E">
        <w:rPr>
          <w:lang w:val="fr-FR"/>
        </w:rPr>
        <w:t>un processus décisionnel collectif et ont veillé à ce que leurs évaluations soient cohérentes au sein des dossiers du cycle et entre eux, ainsi qu</w:t>
      </w:r>
      <w:r w:rsidR="00521B04" w:rsidRPr="009B071E">
        <w:rPr>
          <w:lang w:val="fr-FR"/>
        </w:rPr>
        <w:t>’</w:t>
      </w:r>
      <w:r w:rsidRPr="009B071E">
        <w:rPr>
          <w:lang w:val="fr-FR"/>
        </w:rPr>
        <w:t xml:space="preserve">avec les </w:t>
      </w:r>
      <w:r w:rsidR="00F36FEB" w:rsidRPr="009B071E">
        <w:rPr>
          <w:lang w:val="fr-FR"/>
        </w:rPr>
        <w:t>o</w:t>
      </w:r>
      <w:r w:rsidRPr="009B071E">
        <w:rPr>
          <w:lang w:val="fr-FR"/>
        </w:rPr>
        <w:t>rganes d</w:t>
      </w:r>
      <w:r w:rsidR="00521B04" w:rsidRPr="009B071E">
        <w:rPr>
          <w:lang w:val="fr-FR"/>
        </w:rPr>
        <w:t>’</w:t>
      </w:r>
      <w:r w:rsidRPr="009B071E">
        <w:rPr>
          <w:lang w:val="fr-FR"/>
        </w:rPr>
        <w:t>évaluation précédents. Néanmoins, l</w:t>
      </w:r>
      <w:r w:rsidR="00521B04" w:rsidRPr="009B071E">
        <w:rPr>
          <w:lang w:val="fr-FR"/>
        </w:rPr>
        <w:t>’</w:t>
      </w:r>
      <w:r w:rsidRPr="009B071E">
        <w:rPr>
          <w:lang w:val="fr-FR"/>
        </w:rPr>
        <w:t>Organe d</w:t>
      </w:r>
      <w:r w:rsidR="00521B04" w:rsidRPr="009B071E">
        <w:rPr>
          <w:lang w:val="fr-FR"/>
        </w:rPr>
        <w:t>’</w:t>
      </w:r>
      <w:r w:rsidRPr="009B071E">
        <w:rPr>
          <w:lang w:val="fr-FR"/>
        </w:rPr>
        <w:t>évaluation a pris en considération les particularités de chaque dossier et les contextes spécifiques concernant chaque élément du patrimoine culturel immatériel. L</w:t>
      </w:r>
      <w:r w:rsidR="00521B04" w:rsidRPr="009B071E">
        <w:rPr>
          <w:lang w:val="fr-FR"/>
        </w:rPr>
        <w:t>’</w:t>
      </w:r>
      <w:r w:rsidRPr="009B071E">
        <w:rPr>
          <w:lang w:val="fr-FR"/>
        </w:rPr>
        <w:t>Organe d</w:t>
      </w:r>
      <w:r w:rsidR="00521B04" w:rsidRPr="009B071E">
        <w:rPr>
          <w:lang w:val="fr-FR"/>
        </w:rPr>
        <w:t>’</w:t>
      </w:r>
      <w:r w:rsidRPr="009B071E">
        <w:rPr>
          <w:lang w:val="fr-FR"/>
        </w:rPr>
        <w:t>évaluation a fondé ses évaluations sur les informations contenues dans les dossiers de candidature et n</w:t>
      </w:r>
      <w:r w:rsidR="00521B04" w:rsidRPr="009B071E">
        <w:rPr>
          <w:lang w:val="fr-FR"/>
        </w:rPr>
        <w:t>’</w:t>
      </w:r>
      <w:r w:rsidRPr="009B071E">
        <w:rPr>
          <w:lang w:val="fr-FR"/>
        </w:rPr>
        <w:t>a pas fait d</w:t>
      </w:r>
      <w:r w:rsidR="00521B04" w:rsidRPr="009B071E">
        <w:rPr>
          <w:lang w:val="fr-FR"/>
        </w:rPr>
        <w:t>’</w:t>
      </w:r>
      <w:r w:rsidRPr="009B071E">
        <w:rPr>
          <w:lang w:val="fr-FR"/>
        </w:rPr>
        <w:t>hypothèses sur les détails manquants.</w:t>
      </w:r>
      <w:r w:rsidR="00733122">
        <w:rPr>
          <w:lang w:val="fr-FR"/>
        </w:rPr>
        <w:t xml:space="preserve"> </w:t>
      </w:r>
      <w:r w:rsidR="00733122" w:rsidRPr="0050051F">
        <w:rPr>
          <w:lang w:val="fr-FR"/>
        </w:rPr>
        <w:t>En outre, l’Organe d’évaluation s’est efforcé de fournir à chaque candidatures des conseils sur diverses questions de sauvegarde.</w:t>
      </w:r>
    </w:p>
    <w:p w14:paraId="36D9BE6B" w14:textId="64DABE8E" w:rsidR="00703C1F" w:rsidRPr="009B071E" w:rsidRDefault="00322322" w:rsidP="001F34D9">
      <w:pPr>
        <w:pStyle w:val="COMPara"/>
        <w:numPr>
          <w:ilvl w:val="0"/>
          <w:numId w:val="7"/>
        </w:numPr>
        <w:ind w:left="567" w:hanging="567"/>
        <w:jc w:val="both"/>
        <w:rPr>
          <w:lang w:val="fr-FR"/>
        </w:rPr>
      </w:pPr>
      <w:r w:rsidRPr="009B071E">
        <w:rPr>
          <w:b/>
          <w:bCs/>
          <w:lang w:val="fr-FR"/>
        </w:rPr>
        <w:t>Neutralité des membres de l</w:t>
      </w:r>
      <w:r w:rsidR="00521B04" w:rsidRPr="009B071E">
        <w:rPr>
          <w:b/>
          <w:bCs/>
          <w:lang w:val="fr-FR"/>
        </w:rPr>
        <w:t>’</w:t>
      </w:r>
      <w:r w:rsidRPr="009B071E">
        <w:rPr>
          <w:b/>
          <w:bCs/>
          <w:lang w:val="fr-FR"/>
        </w:rPr>
        <w:t>Organe d</w:t>
      </w:r>
      <w:r w:rsidR="00521B04" w:rsidRPr="009B071E">
        <w:rPr>
          <w:b/>
          <w:bCs/>
          <w:lang w:val="fr-FR"/>
        </w:rPr>
        <w:t>’</w:t>
      </w:r>
      <w:r w:rsidRPr="009B071E">
        <w:rPr>
          <w:b/>
          <w:bCs/>
          <w:lang w:val="fr-FR"/>
        </w:rPr>
        <w:t>évaluation</w:t>
      </w:r>
      <w:r w:rsidRPr="009B071E">
        <w:rPr>
          <w:lang w:val="fr-FR"/>
        </w:rPr>
        <w:t>. Dans un souci de neutralité et d</w:t>
      </w:r>
      <w:r w:rsidR="00521B04" w:rsidRPr="009B071E">
        <w:rPr>
          <w:lang w:val="fr-FR"/>
        </w:rPr>
        <w:t>’</w:t>
      </w:r>
      <w:r w:rsidRPr="009B071E">
        <w:rPr>
          <w:lang w:val="fr-FR"/>
        </w:rPr>
        <w:t xml:space="preserve">équité, et comme </w:t>
      </w:r>
      <w:r w:rsidR="00E03269" w:rsidRPr="009B071E">
        <w:rPr>
          <w:lang w:val="fr-FR"/>
        </w:rPr>
        <w:t>le veut</w:t>
      </w:r>
      <w:r w:rsidRPr="009B071E">
        <w:rPr>
          <w:lang w:val="fr-FR"/>
        </w:rPr>
        <w:t xml:space="preserve"> la coutume, les membres de l</w:t>
      </w:r>
      <w:r w:rsidR="00521B04" w:rsidRPr="009B071E">
        <w:rPr>
          <w:lang w:val="fr-FR"/>
        </w:rPr>
        <w:t>’</w:t>
      </w:r>
      <w:r w:rsidRPr="009B071E">
        <w:rPr>
          <w:lang w:val="fr-FR"/>
        </w:rPr>
        <w:t>Organe d</w:t>
      </w:r>
      <w:r w:rsidR="00521B04" w:rsidRPr="009B071E">
        <w:rPr>
          <w:lang w:val="fr-FR"/>
        </w:rPr>
        <w:t>’</w:t>
      </w:r>
      <w:r w:rsidRPr="009B071E">
        <w:rPr>
          <w:lang w:val="fr-FR"/>
        </w:rPr>
        <w:t>évaluation n</w:t>
      </w:r>
      <w:r w:rsidR="00521B04" w:rsidRPr="009B071E">
        <w:rPr>
          <w:lang w:val="fr-FR"/>
        </w:rPr>
        <w:t>’</w:t>
      </w:r>
      <w:r w:rsidRPr="009B071E">
        <w:rPr>
          <w:lang w:val="fr-FR"/>
        </w:rPr>
        <w:t>ont pas évalué les dossiers soumis par leur pays de nationalité ou le pays dans lequel se trouve l</w:t>
      </w:r>
      <w:r w:rsidR="00521B04" w:rsidRPr="009B071E">
        <w:rPr>
          <w:lang w:val="fr-FR"/>
        </w:rPr>
        <w:t>’</w:t>
      </w:r>
      <w:r w:rsidRPr="009B071E">
        <w:rPr>
          <w:lang w:val="fr-FR"/>
        </w:rPr>
        <w:t>organisation non gouvernementale qu</w:t>
      </w:r>
      <w:r w:rsidR="00521B04" w:rsidRPr="009B071E">
        <w:rPr>
          <w:lang w:val="fr-FR"/>
        </w:rPr>
        <w:t>’</w:t>
      </w:r>
      <w:r w:rsidRPr="009B071E">
        <w:rPr>
          <w:lang w:val="fr-FR"/>
        </w:rPr>
        <w:t>ils représentent. Ces membres n</w:t>
      </w:r>
      <w:r w:rsidR="00521B04" w:rsidRPr="009B071E">
        <w:rPr>
          <w:lang w:val="fr-FR"/>
        </w:rPr>
        <w:t>’</w:t>
      </w:r>
      <w:r w:rsidRPr="009B071E">
        <w:rPr>
          <w:lang w:val="fr-FR"/>
        </w:rPr>
        <w:t>ont pas non plus pris part aux discussions sur le dossier, ou à la rédaction de la recommandation. Ce fut le cas pour quinze dossiers évalués dans le cadre de ce cycle.</w:t>
      </w:r>
    </w:p>
    <w:tbl>
      <w:tblPr>
        <w:tblStyle w:val="Grilledutableau"/>
        <w:tblW w:w="9072" w:type="dxa"/>
        <w:tblInd w:w="562" w:type="dxa"/>
        <w:tblLayout w:type="fixed"/>
        <w:tblLook w:val="04A0" w:firstRow="1" w:lastRow="0" w:firstColumn="1" w:lastColumn="0" w:noHBand="0" w:noVBand="1"/>
      </w:tblPr>
      <w:tblGrid>
        <w:gridCol w:w="1152"/>
        <w:gridCol w:w="2511"/>
        <w:gridCol w:w="3240"/>
        <w:gridCol w:w="2169"/>
      </w:tblGrid>
      <w:tr w:rsidR="006935CC" w:rsidRPr="00620E80" w14:paraId="4A51DD5B" w14:textId="77777777" w:rsidTr="005B7005">
        <w:tc>
          <w:tcPr>
            <w:tcW w:w="1152" w:type="dxa"/>
            <w:shd w:val="clear" w:color="auto" w:fill="FFFFFF" w:themeFill="background1"/>
          </w:tcPr>
          <w:p w14:paraId="47E74D5A" w14:textId="77777777" w:rsidR="00267F0B" w:rsidRPr="009B071E" w:rsidRDefault="00267F0B" w:rsidP="00DC5EB9">
            <w:pPr>
              <w:pStyle w:val="Texteduscnario"/>
              <w:spacing w:after="0" w:line="240" w:lineRule="auto"/>
              <w:jc w:val="left"/>
              <w:rPr>
                <w:b/>
                <w:bCs/>
                <w:sz w:val="18"/>
                <w:szCs w:val="18"/>
                <w:lang w:val="fr-FR"/>
              </w:rPr>
            </w:pPr>
            <w:bookmarkStart w:id="4" w:name="_Hlk114162727"/>
            <w:r w:rsidRPr="009B071E">
              <w:rPr>
                <w:b/>
                <w:bCs/>
                <w:sz w:val="18"/>
                <w:szCs w:val="18"/>
                <w:lang w:val="fr-FR"/>
              </w:rPr>
              <w:t>N</w:t>
            </w:r>
            <w:r w:rsidRPr="009B071E">
              <w:rPr>
                <w:b/>
                <w:bCs/>
                <w:sz w:val="18"/>
                <w:szCs w:val="18"/>
                <w:vertAlign w:val="superscript"/>
                <w:lang w:val="fr-FR"/>
              </w:rPr>
              <w:t>o</w:t>
            </w:r>
            <w:r w:rsidRPr="009B071E">
              <w:rPr>
                <w:sz w:val="18"/>
                <w:szCs w:val="18"/>
                <w:lang w:val="fr-FR"/>
              </w:rPr>
              <w:t> </w:t>
            </w:r>
            <w:r w:rsidRPr="009B071E">
              <w:rPr>
                <w:b/>
                <w:bCs/>
                <w:sz w:val="18"/>
                <w:szCs w:val="18"/>
                <w:lang w:val="fr-FR"/>
              </w:rPr>
              <w:t xml:space="preserve">de dossier </w:t>
            </w:r>
          </w:p>
          <w:p w14:paraId="5AEC889C" w14:textId="129C28CD" w:rsidR="00267F0B" w:rsidRPr="009B071E" w:rsidRDefault="00267F0B" w:rsidP="00DC5EB9">
            <w:pPr>
              <w:pStyle w:val="Texteduscnario"/>
              <w:spacing w:after="0" w:line="240" w:lineRule="auto"/>
              <w:jc w:val="left"/>
              <w:rPr>
                <w:b/>
                <w:bCs/>
                <w:sz w:val="18"/>
                <w:szCs w:val="18"/>
                <w:lang w:val="fr-FR"/>
              </w:rPr>
            </w:pPr>
            <w:r w:rsidRPr="009B071E">
              <w:rPr>
                <w:b/>
                <w:bCs/>
                <w:sz w:val="18"/>
                <w:szCs w:val="18"/>
                <w:lang w:val="fr-FR"/>
              </w:rPr>
              <w:t>(Projet de décision n°)</w:t>
            </w:r>
          </w:p>
        </w:tc>
        <w:tc>
          <w:tcPr>
            <w:tcW w:w="2511" w:type="dxa"/>
            <w:shd w:val="clear" w:color="auto" w:fill="FFFFFF" w:themeFill="background1"/>
          </w:tcPr>
          <w:p w14:paraId="3F41AD4D" w14:textId="7A0A498A" w:rsidR="00267F0B" w:rsidRPr="009B071E" w:rsidRDefault="00267F0B" w:rsidP="00DC5EB9">
            <w:pPr>
              <w:pStyle w:val="Texteduscnario"/>
              <w:spacing w:after="0" w:line="240" w:lineRule="auto"/>
              <w:jc w:val="left"/>
              <w:rPr>
                <w:b/>
                <w:bCs/>
                <w:sz w:val="18"/>
                <w:szCs w:val="18"/>
                <w:lang w:val="fr-FR"/>
              </w:rPr>
            </w:pPr>
            <w:r w:rsidRPr="009B071E">
              <w:rPr>
                <w:b/>
                <w:bCs/>
                <w:sz w:val="18"/>
                <w:szCs w:val="18"/>
                <w:lang w:val="fr-FR"/>
              </w:rPr>
              <w:t>États soumissionnaires</w:t>
            </w:r>
          </w:p>
        </w:tc>
        <w:tc>
          <w:tcPr>
            <w:tcW w:w="3240" w:type="dxa"/>
            <w:shd w:val="clear" w:color="auto" w:fill="FFFFFF" w:themeFill="background1"/>
          </w:tcPr>
          <w:p w14:paraId="55A23AA3" w14:textId="718CF013" w:rsidR="00267F0B" w:rsidRPr="009B071E" w:rsidRDefault="00267F0B" w:rsidP="00DC5EB9">
            <w:pPr>
              <w:pStyle w:val="Texteduscnario"/>
              <w:spacing w:after="0" w:line="240" w:lineRule="auto"/>
              <w:jc w:val="left"/>
              <w:rPr>
                <w:b/>
                <w:bCs/>
                <w:sz w:val="18"/>
                <w:szCs w:val="18"/>
                <w:lang w:val="fr-FR"/>
              </w:rPr>
            </w:pPr>
            <w:r w:rsidRPr="009B071E">
              <w:rPr>
                <w:b/>
                <w:bCs/>
                <w:sz w:val="18"/>
                <w:szCs w:val="18"/>
                <w:lang w:val="fr-FR"/>
              </w:rPr>
              <w:t>Titre de la candidature/proposition</w:t>
            </w:r>
          </w:p>
        </w:tc>
        <w:tc>
          <w:tcPr>
            <w:tcW w:w="2169" w:type="dxa"/>
            <w:shd w:val="clear" w:color="auto" w:fill="FFFFFF" w:themeFill="background1"/>
          </w:tcPr>
          <w:p w14:paraId="4BB06CFC" w14:textId="5A1EB329" w:rsidR="00267F0B" w:rsidRPr="009B071E" w:rsidRDefault="00267F0B" w:rsidP="00DC5EB9">
            <w:pPr>
              <w:pStyle w:val="Texteduscnario"/>
              <w:spacing w:after="0" w:line="240" w:lineRule="auto"/>
              <w:jc w:val="left"/>
              <w:rPr>
                <w:b/>
                <w:bCs/>
                <w:sz w:val="18"/>
                <w:szCs w:val="18"/>
                <w:lang w:val="fr-FR"/>
              </w:rPr>
            </w:pPr>
            <w:r w:rsidRPr="009B071E">
              <w:rPr>
                <w:b/>
                <w:bCs/>
                <w:sz w:val="18"/>
                <w:szCs w:val="18"/>
                <w:lang w:val="fr-FR"/>
              </w:rPr>
              <w:t>Membres de l</w:t>
            </w:r>
            <w:r w:rsidR="00521B04" w:rsidRPr="009B071E">
              <w:rPr>
                <w:b/>
                <w:bCs/>
                <w:sz w:val="18"/>
                <w:szCs w:val="18"/>
                <w:lang w:val="fr-FR"/>
              </w:rPr>
              <w:t>’</w:t>
            </w:r>
            <w:r w:rsidRPr="009B071E">
              <w:rPr>
                <w:b/>
                <w:bCs/>
                <w:sz w:val="18"/>
                <w:szCs w:val="18"/>
                <w:lang w:val="fr-FR"/>
              </w:rPr>
              <w:t>Organe d</w:t>
            </w:r>
            <w:r w:rsidR="00521B04" w:rsidRPr="009B071E">
              <w:rPr>
                <w:b/>
                <w:bCs/>
                <w:sz w:val="18"/>
                <w:szCs w:val="18"/>
                <w:lang w:val="fr-FR"/>
              </w:rPr>
              <w:t>’</w:t>
            </w:r>
            <w:r w:rsidRPr="009B071E">
              <w:rPr>
                <w:b/>
                <w:bCs/>
                <w:sz w:val="18"/>
                <w:szCs w:val="18"/>
                <w:lang w:val="fr-FR"/>
              </w:rPr>
              <w:t>évaluation qui n</w:t>
            </w:r>
            <w:r w:rsidR="00521B04" w:rsidRPr="009B071E">
              <w:rPr>
                <w:b/>
                <w:bCs/>
                <w:sz w:val="18"/>
                <w:szCs w:val="18"/>
                <w:lang w:val="fr-FR"/>
              </w:rPr>
              <w:t>’</w:t>
            </w:r>
            <w:r w:rsidRPr="009B071E">
              <w:rPr>
                <w:b/>
                <w:bCs/>
                <w:sz w:val="18"/>
                <w:szCs w:val="18"/>
                <w:lang w:val="fr-FR"/>
              </w:rPr>
              <w:t>ont pas participé à l</w:t>
            </w:r>
            <w:r w:rsidR="00521B04" w:rsidRPr="009B071E">
              <w:rPr>
                <w:b/>
                <w:bCs/>
                <w:sz w:val="18"/>
                <w:szCs w:val="18"/>
                <w:lang w:val="fr-FR"/>
              </w:rPr>
              <w:t>’</w:t>
            </w:r>
            <w:r w:rsidRPr="009B071E">
              <w:rPr>
                <w:b/>
                <w:bCs/>
                <w:sz w:val="18"/>
                <w:szCs w:val="18"/>
                <w:lang w:val="fr-FR"/>
              </w:rPr>
              <w:t>évaluation</w:t>
            </w:r>
          </w:p>
        </w:tc>
      </w:tr>
      <w:tr w:rsidR="00267F0B" w:rsidRPr="009B071E" w14:paraId="406138A5" w14:textId="77777777" w:rsidTr="009E009E">
        <w:tc>
          <w:tcPr>
            <w:tcW w:w="9072" w:type="dxa"/>
            <w:gridSpan w:val="4"/>
            <w:shd w:val="clear" w:color="auto" w:fill="D6E3BC" w:themeFill="accent3" w:themeFillTint="66"/>
          </w:tcPr>
          <w:p w14:paraId="5569369E" w14:textId="29BE4580" w:rsidR="00267F0B" w:rsidRPr="009B071E" w:rsidRDefault="00DA1BC2" w:rsidP="00DC5EB9">
            <w:pPr>
              <w:pStyle w:val="Texteduscnario"/>
              <w:spacing w:after="0" w:line="240" w:lineRule="auto"/>
              <w:jc w:val="left"/>
              <w:rPr>
                <w:b/>
                <w:bCs/>
                <w:sz w:val="18"/>
                <w:szCs w:val="18"/>
                <w:lang w:val="fr-FR"/>
              </w:rPr>
            </w:pPr>
            <w:r w:rsidRPr="009B071E">
              <w:rPr>
                <w:b/>
                <w:bCs/>
                <w:sz w:val="18"/>
                <w:szCs w:val="18"/>
                <w:lang w:val="fr-FR"/>
              </w:rPr>
              <w:t>Liste de sauvegarde urgente</w:t>
            </w:r>
          </w:p>
        </w:tc>
      </w:tr>
      <w:tr w:rsidR="006935CC" w:rsidRPr="009B071E" w14:paraId="569696F8" w14:textId="77777777" w:rsidTr="005B7005">
        <w:tc>
          <w:tcPr>
            <w:tcW w:w="1152" w:type="dxa"/>
          </w:tcPr>
          <w:p w14:paraId="29E583FC" w14:textId="7D980269" w:rsidR="00267F0B" w:rsidRPr="009B071E" w:rsidRDefault="001B0BC3" w:rsidP="00267F0B">
            <w:pPr>
              <w:pStyle w:val="Texteduscnario"/>
              <w:spacing w:after="0" w:line="240" w:lineRule="auto"/>
              <w:rPr>
                <w:color w:val="000000"/>
                <w:sz w:val="18"/>
                <w:szCs w:val="18"/>
                <w:lang w:val="fr-FR"/>
              </w:rPr>
            </w:pPr>
            <w:r w:rsidRPr="009B071E">
              <w:rPr>
                <w:color w:val="000000"/>
                <w:sz w:val="18"/>
                <w:szCs w:val="18"/>
                <w:lang w:val="fr-FR"/>
              </w:rPr>
              <w:t>01956</w:t>
            </w:r>
          </w:p>
          <w:p w14:paraId="12073ED0" w14:textId="74420954" w:rsidR="00267F0B" w:rsidRPr="009B071E" w:rsidRDefault="00267F0B">
            <w:pPr>
              <w:pStyle w:val="Texteduscnario"/>
              <w:spacing w:after="0" w:line="240" w:lineRule="auto"/>
              <w:rPr>
                <w:color w:val="000000"/>
                <w:sz w:val="18"/>
                <w:szCs w:val="18"/>
                <w:lang w:val="fr-FR"/>
              </w:rPr>
            </w:pPr>
            <w:r w:rsidRPr="009B071E">
              <w:rPr>
                <w:color w:val="000000"/>
                <w:sz w:val="18"/>
                <w:szCs w:val="18"/>
                <w:lang w:val="fr-FR"/>
              </w:rPr>
              <w:t>(18.COM 8.a.1)</w:t>
            </w:r>
          </w:p>
        </w:tc>
        <w:tc>
          <w:tcPr>
            <w:tcW w:w="2511" w:type="dxa"/>
          </w:tcPr>
          <w:p w14:paraId="3B016D48" w14:textId="060B39B6" w:rsidR="00267F0B" w:rsidRPr="009B071E" w:rsidRDefault="00FA0DC0" w:rsidP="002D5E38">
            <w:pPr>
              <w:pStyle w:val="Texteduscnario"/>
              <w:spacing w:after="0" w:line="240" w:lineRule="auto"/>
              <w:jc w:val="left"/>
              <w:rPr>
                <w:color w:val="000000"/>
                <w:sz w:val="18"/>
                <w:szCs w:val="18"/>
                <w:lang w:val="fr-FR"/>
              </w:rPr>
            </w:pPr>
            <w:r w:rsidRPr="009B071E">
              <w:rPr>
                <w:color w:val="000000"/>
                <w:sz w:val="18"/>
                <w:szCs w:val="18"/>
                <w:lang w:val="fr-FR"/>
              </w:rPr>
              <w:t>République arabe syrienne</w:t>
            </w:r>
          </w:p>
          <w:p w14:paraId="40CA3414" w14:textId="77777777" w:rsidR="00267F0B" w:rsidRPr="009B071E" w:rsidRDefault="00267F0B" w:rsidP="002D5E38">
            <w:pPr>
              <w:rPr>
                <w:rFonts w:cs="Arial"/>
                <w:sz w:val="18"/>
                <w:szCs w:val="18"/>
                <w:lang w:val="fr-FR"/>
              </w:rPr>
            </w:pPr>
          </w:p>
        </w:tc>
        <w:tc>
          <w:tcPr>
            <w:tcW w:w="3240" w:type="dxa"/>
          </w:tcPr>
          <w:p w14:paraId="283CC3B3" w14:textId="1BB34B07" w:rsidR="00267F0B" w:rsidRPr="009B071E" w:rsidRDefault="00673680" w:rsidP="002D5E38">
            <w:pPr>
              <w:pStyle w:val="Texteduscnario"/>
              <w:spacing w:after="0" w:line="240" w:lineRule="auto"/>
              <w:jc w:val="left"/>
              <w:rPr>
                <w:color w:val="000000"/>
                <w:sz w:val="18"/>
                <w:szCs w:val="18"/>
                <w:lang w:val="fr-FR"/>
              </w:rPr>
            </w:pPr>
            <w:r w:rsidRPr="009B071E">
              <w:rPr>
                <w:color w:val="000000"/>
                <w:sz w:val="18"/>
                <w:szCs w:val="18"/>
                <w:lang w:val="fr-FR"/>
              </w:rPr>
              <w:t>Le s</w:t>
            </w:r>
            <w:r w:rsidR="00D459DB" w:rsidRPr="009B071E">
              <w:rPr>
                <w:color w:val="000000"/>
                <w:sz w:val="18"/>
                <w:szCs w:val="18"/>
                <w:lang w:val="fr-FR"/>
              </w:rPr>
              <w:t>oufflage du verre traditionnel syrien</w:t>
            </w:r>
          </w:p>
        </w:tc>
        <w:tc>
          <w:tcPr>
            <w:tcW w:w="2169" w:type="dxa"/>
          </w:tcPr>
          <w:p w14:paraId="4B7B5C73" w14:textId="48D9EC3E" w:rsidR="00267F0B" w:rsidRPr="009B071E" w:rsidRDefault="00D768C9" w:rsidP="004A599B">
            <w:pPr>
              <w:spacing w:before="20"/>
              <w:rPr>
                <w:rFonts w:cs="Arial"/>
                <w:color w:val="000000"/>
                <w:sz w:val="18"/>
                <w:szCs w:val="18"/>
                <w:lang w:val="fr-FR"/>
              </w:rPr>
            </w:pPr>
            <w:proofErr w:type="spellStart"/>
            <w:r w:rsidRPr="009B071E">
              <w:rPr>
                <w:rFonts w:cs="Arial"/>
                <w:color w:val="000000"/>
                <w:sz w:val="18"/>
                <w:szCs w:val="18"/>
                <w:lang w:val="fr-FR"/>
              </w:rPr>
              <w:t>Syria</w:t>
            </w:r>
            <w:proofErr w:type="spellEnd"/>
            <w:r w:rsidRPr="009B071E">
              <w:rPr>
                <w:rFonts w:cs="Arial"/>
                <w:color w:val="000000"/>
                <w:sz w:val="18"/>
                <w:szCs w:val="18"/>
                <w:lang w:val="fr-FR"/>
              </w:rPr>
              <w:t xml:space="preserve"> Trust for </w:t>
            </w:r>
            <w:proofErr w:type="spellStart"/>
            <w:r w:rsidRPr="009B071E">
              <w:rPr>
                <w:rFonts w:cs="Arial"/>
                <w:color w:val="000000"/>
                <w:sz w:val="18"/>
                <w:szCs w:val="18"/>
                <w:lang w:val="fr-FR"/>
              </w:rPr>
              <w:t>Development</w:t>
            </w:r>
            <w:proofErr w:type="spellEnd"/>
            <w:r w:rsidRPr="009B071E">
              <w:rPr>
                <w:rFonts w:cs="Arial"/>
                <w:color w:val="000000"/>
                <w:sz w:val="18"/>
                <w:szCs w:val="18"/>
                <w:lang w:val="fr-FR"/>
              </w:rPr>
              <w:t xml:space="preserve"> (République arabe syrienne)</w:t>
            </w:r>
          </w:p>
        </w:tc>
      </w:tr>
      <w:tr w:rsidR="006935CC" w:rsidRPr="00620E80" w14:paraId="3818F3B6" w14:textId="77777777" w:rsidTr="005B7005">
        <w:tc>
          <w:tcPr>
            <w:tcW w:w="1152" w:type="dxa"/>
          </w:tcPr>
          <w:p w14:paraId="600BC7AD" w14:textId="77777777" w:rsidR="00EF6B0C" w:rsidRPr="009B071E" w:rsidRDefault="001B0BC3" w:rsidP="00267F0B">
            <w:pPr>
              <w:pStyle w:val="Texteduscnario"/>
              <w:spacing w:after="0" w:line="240" w:lineRule="auto"/>
              <w:rPr>
                <w:color w:val="000000"/>
                <w:sz w:val="18"/>
                <w:szCs w:val="18"/>
                <w:lang w:val="fr-FR"/>
              </w:rPr>
            </w:pPr>
            <w:r w:rsidRPr="009B071E">
              <w:rPr>
                <w:color w:val="000000"/>
                <w:sz w:val="18"/>
                <w:szCs w:val="18"/>
                <w:lang w:val="fr-FR"/>
              </w:rPr>
              <w:t>01983</w:t>
            </w:r>
          </w:p>
          <w:p w14:paraId="47787B35" w14:textId="1C737322" w:rsidR="00993FC8" w:rsidRPr="009B071E" w:rsidRDefault="00993FC8" w:rsidP="00267F0B">
            <w:pPr>
              <w:pStyle w:val="Texteduscnario"/>
              <w:spacing w:after="0" w:line="240" w:lineRule="auto"/>
              <w:rPr>
                <w:color w:val="000000"/>
                <w:sz w:val="18"/>
                <w:szCs w:val="18"/>
                <w:lang w:val="fr-FR"/>
              </w:rPr>
            </w:pPr>
            <w:r w:rsidRPr="009B071E">
              <w:rPr>
                <w:color w:val="000000"/>
                <w:sz w:val="18"/>
                <w:szCs w:val="18"/>
                <w:lang w:val="fr-FR"/>
              </w:rPr>
              <w:t>(18.COM 8.a.2)</w:t>
            </w:r>
          </w:p>
        </w:tc>
        <w:tc>
          <w:tcPr>
            <w:tcW w:w="2511" w:type="dxa"/>
          </w:tcPr>
          <w:p w14:paraId="741B822F" w14:textId="3B89DC65" w:rsidR="00EF6B0C" w:rsidRPr="009B071E" w:rsidRDefault="00673680" w:rsidP="00FA0DC0">
            <w:pPr>
              <w:pStyle w:val="Texteduscnario"/>
              <w:spacing w:after="0" w:line="240" w:lineRule="auto"/>
              <w:jc w:val="left"/>
              <w:rPr>
                <w:color w:val="000000"/>
                <w:sz w:val="18"/>
                <w:szCs w:val="18"/>
                <w:lang w:val="fr-FR"/>
              </w:rPr>
            </w:pPr>
            <w:r w:rsidRPr="009B071E">
              <w:rPr>
                <w:color w:val="000000"/>
                <w:sz w:val="18"/>
                <w:szCs w:val="18"/>
                <w:lang w:val="fr-FR"/>
              </w:rPr>
              <w:t>Türkiye</w:t>
            </w:r>
          </w:p>
        </w:tc>
        <w:tc>
          <w:tcPr>
            <w:tcW w:w="3240" w:type="dxa"/>
          </w:tcPr>
          <w:p w14:paraId="5E5E2E6C" w14:textId="374CE8AB" w:rsidR="00EF6B0C" w:rsidRPr="009B071E" w:rsidRDefault="00673680" w:rsidP="00D459DB">
            <w:pPr>
              <w:pStyle w:val="Texteduscnario"/>
              <w:spacing w:after="0" w:line="240" w:lineRule="auto"/>
              <w:jc w:val="left"/>
              <w:rPr>
                <w:color w:val="000000"/>
                <w:sz w:val="18"/>
                <w:szCs w:val="18"/>
                <w:lang w:val="fr-FR"/>
              </w:rPr>
            </w:pPr>
            <w:r w:rsidRPr="009B071E">
              <w:rPr>
                <w:color w:val="000000"/>
                <w:sz w:val="18"/>
                <w:szCs w:val="18"/>
                <w:lang w:val="fr-FR"/>
              </w:rPr>
              <w:t>Les connaissances, méthodes et pratiques traditionnelles associées à la culture de l’olive</w:t>
            </w:r>
          </w:p>
        </w:tc>
        <w:tc>
          <w:tcPr>
            <w:tcW w:w="2169" w:type="dxa"/>
          </w:tcPr>
          <w:p w14:paraId="5E27CE0F" w14:textId="4D0FFB0B" w:rsidR="00EF6B0C" w:rsidRPr="009B071E" w:rsidRDefault="001B0BC3">
            <w:pPr>
              <w:spacing w:before="20"/>
              <w:rPr>
                <w:rFonts w:cs="Arial"/>
                <w:color w:val="000000"/>
                <w:sz w:val="18"/>
                <w:szCs w:val="18"/>
                <w:lang w:val="fr-FR"/>
              </w:rPr>
            </w:pPr>
            <w:r w:rsidRPr="009B071E">
              <w:rPr>
                <w:rFonts w:cs="Arial"/>
                <w:color w:val="000000"/>
                <w:sz w:val="18"/>
                <w:szCs w:val="18"/>
                <w:lang w:val="fr-FR"/>
              </w:rPr>
              <w:t>Mme Evrim Ölçer Özünel (</w:t>
            </w:r>
            <w:r w:rsidR="00012A79" w:rsidRPr="009B071E">
              <w:rPr>
                <w:rFonts w:cs="Arial"/>
                <w:color w:val="000000"/>
                <w:sz w:val="18"/>
                <w:szCs w:val="18"/>
                <w:lang w:val="fr-FR"/>
              </w:rPr>
              <w:t>Türkiye</w:t>
            </w:r>
            <w:r w:rsidRPr="009B071E">
              <w:rPr>
                <w:rFonts w:cs="Arial"/>
                <w:color w:val="000000"/>
                <w:sz w:val="18"/>
                <w:szCs w:val="18"/>
                <w:lang w:val="fr-FR"/>
              </w:rPr>
              <w:t>)</w:t>
            </w:r>
          </w:p>
        </w:tc>
      </w:tr>
      <w:tr w:rsidR="00DA1BC2" w:rsidRPr="009B071E" w14:paraId="5D3AC4E8" w14:textId="77777777" w:rsidTr="009E009E">
        <w:tc>
          <w:tcPr>
            <w:tcW w:w="9072" w:type="dxa"/>
            <w:gridSpan w:val="4"/>
            <w:shd w:val="clear" w:color="auto" w:fill="D6E3BC" w:themeFill="accent3" w:themeFillTint="66"/>
          </w:tcPr>
          <w:p w14:paraId="66D03980" w14:textId="0646EFA4" w:rsidR="00DA1BC2" w:rsidRPr="009B071E" w:rsidRDefault="00DA1BC2" w:rsidP="00DA1BC2">
            <w:pPr>
              <w:spacing w:before="20"/>
              <w:rPr>
                <w:rFonts w:cs="Arial"/>
                <w:color w:val="000000"/>
                <w:sz w:val="18"/>
                <w:szCs w:val="18"/>
                <w:lang w:val="fr-FR"/>
              </w:rPr>
            </w:pPr>
            <w:r w:rsidRPr="009B071E">
              <w:rPr>
                <w:rFonts w:cs="Arial"/>
                <w:b/>
                <w:bCs/>
                <w:sz w:val="18"/>
                <w:szCs w:val="18"/>
                <w:lang w:val="fr-FR"/>
              </w:rPr>
              <w:t>Liste représentative</w:t>
            </w:r>
          </w:p>
        </w:tc>
      </w:tr>
      <w:tr w:rsidR="006935CC" w:rsidRPr="00620E80" w14:paraId="170864A8" w14:textId="77777777" w:rsidTr="005B7005">
        <w:tc>
          <w:tcPr>
            <w:tcW w:w="1152" w:type="dxa"/>
          </w:tcPr>
          <w:p w14:paraId="653A3984" w14:textId="5149D27F"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01981</w:t>
            </w:r>
          </w:p>
          <w:p w14:paraId="7EF7DAC4" w14:textId="36CD44A6"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(18.COM 8.b.1</w:t>
            </w:r>
            <w:r w:rsidR="00BA1727" w:rsidRPr="009B071E">
              <w:rPr>
                <w:color w:val="000000"/>
                <w:sz w:val="18"/>
                <w:szCs w:val="18"/>
                <w:lang w:val="fr-FR"/>
              </w:rPr>
              <w:t>8</w:t>
            </w:r>
            <w:r w:rsidRPr="009B071E">
              <w:rPr>
                <w:color w:val="000000"/>
                <w:sz w:val="18"/>
                <w:szCs w:val="18"/>
                <w:lang w:val="fr-FR"/>
              </w:rPr>
              <w:t>)</w:t>
            </w:r>
          </w:p>
        </w:tc>
        <w:tc>
          <w:tcPr>
            <w:tcW w:w="2511" w:type="dxa"/>
          </w:tcPr>
          <w:p w14:paraId="05907D7A" w14:textId="79A25BFF"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Azerbaïdjan, Iran (République islamique d</w:t>
            </w:r>
            <w:r w:rsidR="00521B04" w:rsidRPr="009B071E">
              <w:rPr>
                <w:color w:val="000000"/>
                <w:sz w:val="18"/>
                <w:szCs w:val="18"/>
                <w:lang w:val="fr-FR"/>
              </w:rPr>
              <w:t>’</w:t>
            </w:r>
            <w:r w:rsidRPr="009B071E">
              <w:rPr>
                <w:color w:val="000000"/>
                <w:sz w:val="18"/>
                <w:szCs w:val="18"/>
                <w:lang w:val="fr-FR"/>
              </w:rPr>
              <w:t xml:space="preserve">), Tadjikistan, </w:t>
            </w:r>
            <w:r w:rsidR="00673680" w:rsidRPr="009B071E">
              <w:rPr>
                <w:color w:val="000000"/>
                <w:sz w:val="18"/>
                <w:szCs w:val="18"/>
                <w:lang w:val="fr-FR"/>
              </w:rPr>
              <w:t>Türkiye</w:t>
            </w:r>
            <w:r w:rsidRPr="009B071E">
              <w:rPr>
                <w:color w:val="000000"/>
                <w:sz w:val="18"/>
                <w:szCs w:val="18"/>
                <w:lang w:val="fr-FR"/>
              </w:rPr>
              <w:t>, Ouzbékistan</w:t>
            </w:r>
          </w:p>
        </w:tc>
        <w:tc>
          <w:tcPr>
            <w:tcW w:w="3240" w:type="dxa"/>
          </w:tcPr>
          <w:p w14:paraId="132A76EF" w14:textId="0FB00CD6" w:rsidR="00993FC8" w:rsidRPr="009B071E" w:rsidRDefault="00673680" w:rsidP="00993FC8">
            <w:pPr>
              <w:pStyle w:val="Texteduscnario"/>
              <w:spacing w:after="0" w:line="240" w:lineRule="auto"/>
              <w:jc w:val="left"/>
              <w:rPr>
                <w:color w:val="000000"/>
                <w:sz w:val="18"/>
                <w:szCs w:val="18"/>
                <w:lang w:val="fr-FR"/>
              </w:rPr>
            </w:pPr>
            <w:r w:rsidRPr="009B071E">
              <w:rPr>
                <w:color w:val="000000"/>
                <w:sz w:val="18"/>
                <w:szCs w:val="18"/>
                <w:lang w:val="fr-FR"/>
              </w:rPr>
              <w:t xml:space="preserve">L’art de l’enluminure : </w:t>
            </w:r>
            <w:proofErr w:type="spellStart"/>
            <w:r w:rsidRPr="009B071E">
              <w:rPr>
                <w:color w:val="000000"/>
                <w:sz w:val="18"/>
                <w:szCs w:val="18"/>
                <w:lang w:val="fr-FR"/>
              </w:rPr>
              <w:t>Təzhib</w:t>
            </w:r>
            <w:proofErr w:type="spellEnd"/>
            <w:r w:rsidRPr="009B071E">
              <w:rPr>
                <w:color w:val="000000"/>
                <w:sz w:val="18"/>
                <w:szCs w:val="18"/>
                <w:lang w:val="fr-FR"/>
              </w:rPr>
              <w:t>/</w:t>
            </w:r>
            <w:proofErr w:type="spellStart"/>
            <w:r w:rsidRPr="009B071E">
              <w:rPr>
                <w:color w:val="000000"/>
                <w:sz w:val="18"/>
                <w:szCs w:val="18"/>
                <w:lang w:val="fr-FR"/>
              </w:rPr>
              <w:t>Tazhib</w:t>
            </w:r>
            <w:proofErr w:type="spellEnd"/>
            <w:r w:rsidRPr="009B071E">
              <w:rPr>
                <w:color w:val="000000"/>
                <w:sz w:val="18"/>
                <w:szCs w:val="18"/>
                <w:lang w:val="fr-FR"/>
              </w:rPr>
              <w:t xml:space="preserve">/ </w:t>
            </w:r>
            <w:proofErr w:type="spellStart"/>
            <w:r w:rsidRPr="009B071E">
              <w:rPr>
                <w:color w:val="000000"/>
                <w:sz w:val="18"/>
                <w:szCs w:val="18"/>
                <w:lang w:val="fr-FR"/>
              </w:rPr>
              <w:t>Zarhalkori</w:t>
            </w:r>
            <w:proofErr w:type="spellEnd"/>
            <w:r w:rsidRPr="009B071E">
              <w:rPr>
                <w:color w:val="000000"/>
                <w:sz w:val="18"/>
                <w:szCs w:val="18"/>
                <w:lang w:val="fr-FR"/>
              </w:rPr>
              <w:t>/</w:t>
            </w:r>
            <w:proofErr w:type="spellStart"/>
            <w:r w:rsidRPr="009B071E">
              <w:rPr>
                <w:color w:val="000000"/>
                <w:sz w:val="18"/>
                <w:szCs w:val="18"/>
                <w:lang w:val="fr-FR"/>
              </w:rPr>
              <w:t>Tezhip</w:t>
            </w:r>
            <w:proofErr w:type="spellEnd"/>
            <w:r w:rsidRPr="009B071E">
              <w:rPr>
                <w:color w:val="000000"/>
                <w:sz w:val="18"/>
                <w:szCs w:val="18"/>
                <w:lang w:val="fr-FR"/>
              </w:rPr>
              <w:t>/</w:t>
            </w:r>
            <w:proofErr w:type="spellStart"/>
            <w:r w:rsidRPr="009B071E">
              <w:rPr>
                <w:color w:val="000000"/>
                <w:sz w:val="18"/>
                <w:szCs w:val="18"/>
                <w:lang w:val="fr-FR"/>
              </w:rPr>
              <w:t>Naqqoshlik</w:t>
            </w:r>
            <w:proofErr w:type="spellEnd"/>
          </w:p>
        </w:tc>
        <w:tc>
          <w:tcPr>
            <w:tcW w:w="2169" w:type="dxa"/>
          </w:tcPr>
          <w:p w14:paraId="1D4C6697" w14:textId="791EA77D"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Mme Evrim Ölçer Özünel (</w:t>
            </w:r>
            <w:r w:rsidR="00012A79" w:rsidRPr="009B071E">
              <w:rPr>
                <w:color w:val="000000"/>
                <w:sz w:val="18"/>
                <w:szCs w:val="18"/>
                <w:lang w:val="fr-FR"/>
              </w:rPr>
              <w:t>Türkiye</w:t>
            </w:r>
            <w:r w:rsidRPr="009B071E">
              <w:rPr>
                <w:color w:val="000000"/>
                <w:sz w:val="18"/>
                <w:szCs w:val="18"/>
                <w:lang w:val="fr-FR"/>
              </w:rPr>
              <w:t>)</w:t>
            </w:r>
          </w:p>
        </w:tc>
      </w:tr>
      <w:tr w:rsidR="006935CC" w:rsidRPr="00620E80" w14:paraId="35AABA33" w14:textId="77777777" w:rsidTr="005B7005">
        <w:tc>
          <w:tcPr>
            <w:tcW w:w="1152" w:type="dxa"/>
          </w:tcPr>
          <w:p w14:paraId="1DC7CB6C" w14:textId="24F84305"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01984</w:t>
            </w:r>
          </w:p>
          <w:p w14:paraId="7CF45538" w14:textId="7BCF5FD4"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(18.COM 8.b.</w:t>
            </w:r>
            <w:r w:rsidR="00BA1727" w:rsidRPr="009B071E">
              <w:rPr>
                <w:color w:val="000000"/>
                <w:sz w:val="18"/>
                <w:szCs w:val="18"/>
                <w:lang w:val="fr-FR"/>
              </w:rPr>
              <w:t>19</w:t>
            </w:r>
            <w:r w:rsidRPr="009B071E">
              <w:rPr>
                <w:color w:val="000000"/>
                <w:sz w:val="18"/>
                <w:szCs w:val="18"/>
                <w:lang w:val="fr-FR"/>
              </w:rPr>
              <w:t>)</w:t>
            </w:r>
          </w:p>
        </w:tc>
        <w:tc>
          <w:tcPr>
            <w:tcW w:w="2511" w:type="dxa"/>
          </w:tcPr>
          <w:p w14:paraId="4476458C" w14:textId="6CF3E21B"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Azerbaïdjan, Iran (République islamique d</w:t>
            </w:r>
            <w:r w:rsidR="00521B04" w:rsidRPr="009B071E">
              <w:rPr>
                <w:color w:val="000000"/>
                <w:sz w:val="18"/>
                <w:szCs w:val="18"/>
                <w:lang w:val="fr-FR"/>
              </w:rPr>
              <w:t>’</w:t>
            </w:r>
            <w:r w:rsidRPr="009B071E">
              <w:rPr>
                <w:color w:val="000000"/>
                <w:sz w:val="18"/>
                <w:szCs w:val="18"/>
                <w:lang w:val="fr-FR"/>
              </w:rPr>
              <w:t xml:space="preserve">), </w:t>
            </w:r>
            <w:r w:rsidR="00673680" w:rsidRPr="009B071E">
              <w:rPr>
                <w:color w:val="000000"/>
                <w:sz w:val="18"/>
                <w:szCs w:val="18"/>
                <w:lang w:val="fr-FR"/>
              </w:rPr>
              <w:t>Türkiye</w:t>
            </w:r>
            <w:r w:rsidRPr="009B071E">
              <w:rPr>
                <w:color w:val="000000"/>
                <w:sz w:val="18"/>
                <w:szCs w:val="18"/>
                <w:lang w:val="fr-FR"/>
              </w:rPr>
              <w:t>, Ouzbékistan</w:t>
            </w:r>
          </w:p>
        </w:tc>
        <w:tc>
          <w:tcPr>
            <w:tcW w:w="3240" w:type="dxa"/>
          </w:tcPr>
          <w:p w14:paraId="0856DD9C" w14:textId="3C09635B" w:rsidR="00993FC8" w:rsidRPr="009B071E" w:rsidRDefault="00673680" w:rsidP="00993FC8">
            <w:pPr>
              <w:pStyle w:val="Texteduscnario"/>
              <w:spacing w:after="0" w:line="240" w:lineRule="auto"/>
              <w:jc w:val="left"/>
              <w:rPr>
                <w:color w:val="000000"/>
                <w:sz w:val="18"/>
                <w:szCs w:val="18"/>
                <w:lang w:val="fr-FR"/>
              </w:rPr>
            </w:pPr>
            <w:r w:rsidRPr="009B071E">
              <w:rPr>
                <w:color w:val="000000"/>
                <w:sz w:val="18"/>
                <w:szCs w:val="18"/>
                <w:lang w:val="fr-FR"/>
              </w:rPr>
              <w:t>L’</w:t>
            </w:r>
            <w:proofErr w:type="spellStart"/>
            <w:r w:rsidRPr="009B071E">
              <w:rPr>
                <w:color w:val="000000"/>
                <w:sz w:val="18"/>
                <w:szCs w:val="18"/>
                <w:lang w:val="fr-FR"/>
              </w:rPr>
              <w:t>Iftar</w:t>
            </w:r>
            <w:proofErr w:type="spellEnd"/>
            <w:r w:rsidRPr="009B071E">
              <w:rPr>
                <w:color w:val="000000"/>
                <w:sz w:val="18"/>
                <w:szCs w:val="18"/>
                <w:lang w:val="fr-FR"/>
              </w:rPr>
              <w:t>/</w:t>
            </w:r>
            <w:proofErr w:type="spellStart"/>
            <w:r w:rsidRPr="009B071E">
              <w:rPr>
                <w:color w:val="000000"/>
                <w:sz w:val="18"/>
                <w:szCs w:val="18"/>
                <w:lang w:val="fr-FR"/>
              </w:rPr>
              <w:t>Eftari</w:t>
            </w:r>
            <w:proofErr w:type="spellEnd"/>
            <w:r w:rsidRPr="009B071E">
              <w:rPr>
                <w:color w:val="000000"/>
                <w:sz w:val="18"/>
                <w:szCs w:val="18"/>
                <w:lang w:val="fr-FR"/>
              </w:rPr>
              <w:t>/</w:t>
            </w:r>
            <w:proofErr w:type="spellStart"/>
            <w:r w:rsidRPr="009B071E">
              <w:rPr>
                <w:color w:val="000000"/>
                <w:sz w:val="18"/>
                <w:szCs w:val="18"/>
                <w:lang w:val="fr-FR"/>
              </w:rPr>
              <w:t>Iftar</w:t>
            </w:r>
            <w:proofErr w:type="spellEnd"/>
            <w:r w:rsidRPr="009B071E">
              <w:rPr>
                <w:color w:val="000000"/>
                <w:sz w:val="18"/>
                <w:szCs w:val="18"/>
                <w:lang w:val="fr-FR"/>
              </w:rPr>
              <w:t>/</w:t>
            </w:r>
            <w:proofErr w:type="spellStart"/>
            <w:r w:rsidRPr="009B071E">
              <w:rPr>
                <w:color w:val="000000"/>
                <w:sz w:val="18"/>
                <w:szCs w:val="18"/>
                <w:lang w:val="fr-FR"/>
              </w:rPr>
              <w:t>Iftor</w:t>
            </w:r>
            <w:proofErr w:type="spellEnd"/>
            <w:r w:rsidRPr="009B071E">
              <w:rPr>
                <w:color w:val="000000"/>
                <w:sz w:val="18"/>
                <w:szCs w:val="18"/>
                <w:lang w:val="fr-FR"/>
              </w:rPr>
              <w:t xml:space="preserve"> et ses traditions socioculturelles</w:t>
            </w:r>
          </w:p>
        </w:tc>
        <w:tc>
          <w:tcPr>
            <w:tcW w:w="2169" w:type="dxa"/>
          </w:tcPr>
          <w:p w14:paraId="637C6139" w14:textId="280C6617" w:rsidR="00993FC8" w:rsidRPr="009B071E" w:rsidRDefault="00993FC8" w:rsidP="00993FC8">
            <w:pPr>
              <w:spacing w:before="20"/>
              <w:rPr>
                <w:rFonts w:cs="Arial"/>
                <w:color w:val="000000"/>
                <w:sz w:val="18"/>
                <w:szCs w:val="18"/>
                <w:lang w:val="fr-FR"/>
              </w:rPr>
            </w:pPr>
            <w:r w:rsidRPr="009B071E">
              <w:rPr>
                <w:rFonts w:cs="Arial"/>
                <w:color w:val="000000"/>
                <w:sz w:val="18"/>
                <w:szCs w:val="18"/>
                <w:lang w:val="fr-FR"/>
              </w:rPr>
              <w:t>Mme Evrim Ölçer Özünel (</w:t>
            </w:r>
            <w:r w:rsidR="00012A79" w:rsidRPr="009B071E">
              <w:rPr>
                <w:rFonts w:cs="Arial"/>
                <w:color w:val="000000"/>
                <w:sz w:val="18"/>
                <w:szCs w:val="18"/>
                <w:lang w:val="fr-FR"/>
              </w:rPr>
              <w:t>Türkiye</w:t>
            </w:r>
            <w:r w:rsidRPr="009B071E">
              <w:rPr>
                <w:rFonts w:cs="Arial"/>
                <w:color w:val="000000"/>
                <w:sz w:val="18"/>
                <w:szCs w:val="18"/>
                <w:lang w:val="fr-FR"/>
              </w:rPr>
              <w:t>)</w:t>
            </w:r>
          </w:p>
        </w:tc>
      </w:tr>
      <w:tr w:rsidR="006935CC" w:rsidRPr="00620E80" w14:paraId="227CDC89" w14:textId="77777777" w:rsidTr="005B7005">
        <w:tc>
          <w:tcPr>
            <w:tcW w:w="1152" w:type="dxa"/>
          </w:tcPr>
          <w:p w14:paraId="364FE885" w14:textId="0A48ED46"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01704</w:t>
            </w:r>
          </w:p>
          <w:p w14:paraId="6E03D5D2" w14:textId="5D9C4BD0"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(18.COM 8.b.2</w:t>
            </w:r>
            <w:r w:rsidR="00BA1727" w:rsidRPr="009B071E">
              <w:rPr>
                <w:color w:val="000000"/>
                <w:sz w:val="18"/>
                <w:szCs w:val="18"/>
                <w:lang w:val="fr-FR"/>
              </w:rPr>
              <w:t>0</w:t>
            </w:r>
            <w:r w:rsidRPr="009B071E">
              <w:rPr>
                <w:color w:val="000000"/>
                <w:sz w:val="18"/>
                <w:szCs w:val="18"/>
                <w:lang w:val="fr-FR"/>
              </w:rPr>
              <w:t>)</w:t>
            </w:r>
          </w:p>
        </w:tc>
        <w:tc>
          <w:tcPr>
            <w:tcW w:w="2511" w:type="dxa"/>
          </w:tcPr>
          <w:p w14:paraId="242ED632" w14:textId="49C95BC3"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 xml:space="preserve">Azerbaïdjan, </w:t>
            </w:r>
            <w:r w:rsidR="00673680" w:rsidRPr="009B071E">
              <w:rPr>
                <w:color w:val="000000"/>
                <w:sz w:val="18"/>
                <w:szCs w:val="18"/>
                <w:lang w:val="fr-FR"/>
              </w:rPr>
              <w:t>Türkiye</w:t>
            </w:r>
          </w:p>
        </w:tc>
        <w:tc>
          <w:tcPr>
            <w:tcW w:w="3240" w:type="dxa"/>
          </w:tcPr>
          <w:p w14:paraId="33DC0E36" w14:textId="1503A2E7" w:rsidR="00993FC8" w:rsidRPr="009B071E" w:rsidRDefault="00673680" w:rsidP="00993FC8">
            <w:pPr>
              <w:pStyle w:val="Texteduscnario"/>
              <w:spacing w:after="0" w:line="240" w:lineRule="auto"/>
              <w:jc w:val="left"/>
              <w:rPr>
                <w:color w:val="000000"/>
                <w:sz w:val="18"/>
                <w:szCs w:val="18"/>
                <w:lang w:val="fr-FR"/>
              </w:rPr>
            </w:pPr>
            <w:r w:rsidRPr="009B071E">
              <w:rPr>
                <w:color w:val="000000"/>
                <w:sz w:val="18"/>
                <w:szCs w:val="18"/>
                <w:lang w:val="fr-FR"/>
              </w:rPr>
              <w:t xml:space="preserve">L’artisanat et l’art de jouer du </w:t>
            </w:r>
            <w:proofErr w:type="spellStart"/>
            <w:r w:rsidRPr="009B071E">
              <w:rPr>
                <w:color w:val="000000"/>
                <w:sz w:val="18"/>
                <w:szCs w:val="18"/>
                <w:lang w:val="fr-FR"/>
              </w:rPr>
              <w:t>balaban</w:t>
            </w:r>
            <w:proofErr w:type="spellEnd"/>
            <w:r w:rsidRPr="009B071E">
              <w:rPr>
                <w:color w:val="000000"/>
                <w:sz w:val="18"/>
                <w:szCs w:val="18"/>
                <w:lang w:val="fr-FR"/>
              </w:rPr>
              <w:t>/</w:t>
            </w:r>
            <w:proofErr w:type="spellStart"/>
            <w:r w:rsidRPr="009B071E">
              <w:rPr>
                <w:color w:val="000000"/>
                <w:sz w:val="18"/>
                <w:szCs w:val="18"/>
                <w:lang w:val="fr-FR"/>
              </w:rPr>
              <w:t>mey</w:t>
            </w:r>
            <w:proofErr w:type="spellEnd"/>
          </w:p>
        </w:tc>
        <w:tc>
          <w:tcPr>
            <w:tcW w:w="2169" w:type="dxa"/>
          </w:tcPr>
          <w:p w14:paraId="2D048C08" w14:textId="7EB5479C"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Mme Evrim Ölçer Özünel (</w:t>
            </w:r>
            <w:r w:rsidR="00012A79" w:rsidRPr="009B071E">
              <w:rPr>
                <w:color w:val="000000"/>
                <w:sz w:val="18"/>
                <w:szCs w:val="18"/>
                <w:lang w:val="fr-FR"/>
              </w:rPr>
              <w:t>Türkiye</w:t>
            </w:r>
            <w:r w:rsidRPr="009B071E">
              <w:rPr>
                <w:color w:val="000000"/>
                <w:sz w:val="18"/>
                <w:szCs w:val="18"/>
                <w:lang w:val="fr-FR"/>
              </w:rPr>
              <w:t>)</w:t>
            </w:r>
          </w:p>
        </w:tc>
      </w:tr>
      <w:tr w:rsidR="006935CC" w:rsidRPr="00620E80" w14:paraId="482599B9" w14:textId="77777777" w:rsidTr="005B7005">
        <w:tc>
          <w:tcPr>
            <w:tcW w:w="1152" w:type="dxa"/>
          </w:tcPr>
          <w:p w14:paraId="1D956BE6" w14:textId="7BB99248"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01874</w:t>
            </w:r>
          </w:p>
          <w:p w14:paraId="4C67E1A9" w14:textId="501557E2"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(18.COM 8.b.2</w:t>
            </w:r>
            <w:r w:rsidR="00BA1727" w:rsidRPr="009B071E">
              <w:rPr>
                <w:color w:val="000000"/>
                <w:sz w:val="18"/>
                <w:szCs w:val="18"/>
                <w:lang w:val="fr-FR"/>
              </w:rPr>
              <w:t>1</w:t>
            </w:r>
            <w:r w:rsidRPr="009B071E">
              <w:rPr>
                <w:color w:val="000000"/>
                <w:sz w:val="18"/>
                <w:szCs w:val="18"/>
                <w:lang w:val="fr-FR"/>
              </w:rPr>
              <w:t>)</w:t>
            </w:r>
          </w:p>
        </w:tc>
        <w:tc>
          <w:tcPr>
            <w:tcW w:w="2511" w:type="dxa"/>
          </w:tcPr>
          <w:p w14:paraId="4848EE48" w14:textId="54F411F6"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 xml:space="preserve">Azerbaïdjan, </w:t>
            </w:r>
            <w:r w:rsidR="00673680" w:rsidRPr="009B071E">
              <w:rPr>
                <w:color w:val="000000"/>
                <w:sz w:val="18"/>
                <w:szCs w:val="18"/>
                <w:lang w:val="fr-FR"/>
              </w:rPr>
              <w:t>Türkiye</w:t>
            </w:r>
          </w:p>
        </w:tc>
        <w:tc>
          <w:tcPr>
            <w:tcW w:w="3240" w:type="dxa"/>
          </w:tcPr>
          <w:p w14:paraId="30EA0A7D" w14:textId="14957DA9" w:rsidR="00993FC8" w:rsidRPr="009B071E" w:rsidRDefault="00673680" w:rsidP="00993FC8">
            <w:pPr>
              <w:pStyle w:val="Texteduscnario"/>
              <w:spacing w:after="0" w:line="240" w:lineRule="auto"/>
              <w:jc w:val="left"/>
              <w:rPr>
                <w:color w:val="000000"/>
                <w:sz w:val="18"/>
                <w:szCs w:val="18"/>
                <w:lang w:val="fr-FR"/>
              </w:rPr>
            </w:pPr>
            <w:r w:rsidRPr="009B071E">
              <w:rPr>
                <w:color w:val="000000"/>
                <w:sz w:val="18"/>
                <w:szCs w:val="18"/>
                <w:lang w:val="fr-FR"/>
              </w:rPr>
              <w:t>Le savoir-faire lié à l’incrustation de nacre</w:t>
            </w:r>
          </w:p>
        </w:tc>
        <w:tc>
          <w:tcPr>
            <w:tcW w:w="2169" w:type="dxa"/>
          </w:tcPr>
          <w:p w14:paraId="1DA11815" w14:textId="0B8921EA"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Mme Evrim Ölçer Özünel (</w:t>
            </w:r>
            <w:r w:rsidR="00012A79" w:rsidRPr="009B071E">
              <w:rPr>
                <w:color w:val="000000"/>
                <w:sz w:val="18"/>
                <w:szCs w:val="18"/>
                <w:lang w:val="fr-FR"/>
              </w:rPr>
              <w:t>Türkiye</w:t>
            </w:r>
            <w:r w:rsidRPr="009B071E">
              <w:rPr>
                <w:color w:val="000000"/>
                <w:sz w:val="18"/>
                <w:szCs w:val="18"/>
                <w:lang w:val="fr-FR"/>
              </w:rPr>
              <w:t>)</w:t>
            </w:r>
          </w:p>
        </w:tc>
      </w:tr>
      <w:tr w:rsidR="006935CC" w:rsidRPr="009B071E" w14:paraId="6EC33562" w14:textId="77777777" w:rsidTr="005B7005">
        <w:tc>
          <w:tcPr>
            <w:tcW w:w="1152" w:type="dxa"/>
          </w:tcPr>
          <w:p w14:paraId="6CE7D63E" w14:textId="15C6ADC0"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01979</w:t>
            </w:r>
          </w:p>
          <w:p w14:paraId="0B3AFB81" w14:textId="5DD95377"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(18.COM 8.b.1</w:t>
            </w:r>
            <w:r w:rsidR="00BA1727" w:rsidRPr="009B071E">
              <w:rPr>
                <w:color w:val="000000"/>
                <w:sz w:val="18"/>
                <w:szCs w:val="18"/>
                <w:lang w:val="fr-FR"/>
              </w:rPr>
              <w:t>7</w:t>
            </w:r>
            <w:r w:rsidRPr="009B071E">
              <w:rPr>
                <w:color w:val="000000"/>
                <w:sz w:val="18"/>
                <w:szCs w:val="18"/>
                <w:lang w:val="fr-FR"/>
              </w:rPr>
              <w:t>)</w:t>
            </w:r>
          </w:p>
        </w:tc>
        <w:tc>
          <w:tcPr>
            <w:tcW w:w="2511" w:type="dxa"/>
          </w:tcPr>
          <w:p w14:paraId="70CF3071" w14:textId="218ACC0B"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Autriche, Belgique, Allemagne, Italie, Luxembourg, Pays-Bas, Suisse</w:t>
            </w:r>
          </w:p>
        </w:tc>
        <w:tc>
          <w:tcPr>
            <w:tcW w:w="3240" w:type="dxa"/>
          </w:tcPr>
          <w:p w14:paraId="5782622D" w14:textId="7842E7DF"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L</w:t>
            </w:r>
            <w:r w:rsidR="00521B04" w:rsidRPr="009B071E">
              <w:rPr>
                <w:color w:val="000000"/>
                <w:sz w:val="18"/>
                <w:szCs w:val="18"/>
                <w:lang w:val="fr-FR"/>
              </w:rPr>
              <w:t>’</w:t>
            </w:r>
            <w:r w:rsidRPr="009B071E">
              <w:rPr>
                <w:color w:val="000000"/>
                <w:sz w:val="18"/>
                <w:szCs w:val="18"/>
                <w:lang w:val="fr-FR"/>
              </w:rPr>
              <w:t>irrigation traditionnelle : connaissance, technique et organisation</w:t>
            </w:r>
          </w:p>
        </w:tc>
        <w:tc>
          <w:tcPr>
            <w:tcW w:w="2169" w:type="dxa"/>
          </w:tcPr>
          <w:p w14:paraId="3FFD2D64" w14:textId="7563D850" w:rsidR="00993FC8" w:rsidRPr="008E76EA" w:rsidRDefault="00012A79" w:rsidP="00993FC8">
            <w:pPr>
              <w:pStyle w:val="Texteduscnario"/>
              <w:spacing w:after="0" w:line="240" w:lineRule="auto"/>
              <w:jc w:val="left"/>
              <w:rPr>
                <w:color w:val="000000"/>
                <w:sz w:val="18"/>
                <w:szCs w:val="18"/>
                <w:lang w:val="en-US"/>
              </w:rPr>
            </w:pPr>
            <w:r w:rsidRPr="008E76EA">
              <w:rPr>
                <w:color w:val="000000"/>
                <w:sz w:val="18"/>
                <w:szCs w:val="18"/>
                <w:lang w:val="en-US"/>
              </w:rPr>
              <w:t>Workshop intangible heritage Flanders</w:t>
            </w:r>
            <w:r w:rsidR="00993FC8" w:rsidRPr="008E76EA">
              <w:rPr>
                <w:color w:val="000000"/>
                <w:sz w:val="18"/>
                <w:szCs w:val="18"/>
                <w:lang w:val="en-US"/>
              </w:rPr>
              <w:t xml:space="preserve"> (Belgique)</w:t>
            </w:r>
          </w:p>
        </w:tc>
      </w:tr>
      <w:tr w:rsidR="009E009E" w:rsidRPr="009B071E" w14:paraId="077D0D3A" w14:textId="77777777" w:rsidTr="005B7005">
        <w:tc>
          <w:tcPr>
            <w:tcW w:w="1152" w:type="dxa"/>
          </w:tcPr>
          <w:p w14:paraId="6F0FFBD0" w14:textId="77777777"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01979</w:t>
            </w:r>
          </w:p>
          <w:p w14:paraId="259CE019" w14:textId="126E7E56"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(18.COM 8.b.1</w:t>
            </w:r>
            <w:r w:rsidR="00BA1727" w:rsidRPr="009B071E">
              <w:rPr>
                <w:color w:val="000000"/>
                <w:sz w:val="18"/>
                <w:szCs w:val="18"/>
                <w:lang w:val="fr-FR"/>
              </w:rPr>
              <w:t>4</w:t>
            </w:r>
            <w:r w:rsidRPr="009B071E">
              <w:rPr>
                <w:color w:val="000000"/>
                <w:sz w:val="18"/>
                <w:szCs w:val="18"/>
                <w:lang w:val="fr-FR"/>
              </w:rPr>
              <w:t>)</w:t>
            </w:r>
          </w:p>
        </w:tc>
        <w:tc>
          <w:tcPr>
            <w:tcW w:w="2511" w:type="dxa"/>
          </w:tcPr>
          <w:p w14:paraId="0E4DE90A" w14:textId="265F4720"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Albanie, Andorre, Autriche, Croatie, France, Grèce, Italie, Luxembourg, Roumanie, Espagne</w:t>
            </w:r>
          </w:p>
        </w:tc>
        <w:tc>
          <w:tcPr>
            <w:tcW w:w="3240" w:type="dxa"/>
          </w:tcPr>
          <w:p w14:paraId="5DF1E2D2" w14:textId="02A59CE8" w:rsidR="00993FC8" w:rsidRPr="009B071E" w:rsidRDefault="00673680" w:rsidP="00993FC8">
            <w:pPr>
              <w:pStyle w:val="Texteduscnario"/>
              <w:spacing w:after="0" w:line="240" w:lineRule="auto"/>
              <w:jc w:val="left"/>
              <w:rPr>
                <w:color w:val="000000"/>
                <w:sz w:val="18"/>
                <w:szCs w:val="18"/>
                <w:lang w:val="fr-FR"/>
              </w:rPr>
            </w:pPr>
            <w:r w:rsidRPr="009B071E">
              <w:rPr>
                <w:color w:val="000000"/>
                <w:sz w:val="18"/>
                <w:szCs w:val="18"/>
                <w:lang w:val="fr-FR"/>
              </w:rPr>
              <w:t>La Transhumance, déplacement saisonnier de troupeaux</w:t>
            </w:r>
          </w:p>
        </w:tc>
        <w:tc>
          <w:tcPr>
            <w:tcW w:w="2169" w:type="dxa"/>
          </w:tcPr>
          <w:p w14:paraId="2397895A" w14:textId="5ECD767B" w:rsidR="00993FC8" w:rsidRPr="008E76EA" w:rsidRDefault="00012A79" w:rsidP="00993FC8">
            <w:pPr>
              <w:pStyle w:val="Texteduscnario"/>
              <w:spacing w:after="0" w:line="240" w:lineRule="auto"/>
              <w:jc w:val="left"/>
              <w:rPr>
                <w:color w:val="000000"/>
                <w:sz w:val="18"/>
                <w:szCs w:val="18"/>
                <w:lang w:val="en-US"/>
              </w:rPr>
            </w:pPr>
            <w:r w:rsidRPr="008E76EA">
              <w:rPr>
                <w:color w:val="000000"/>
                <w:sz w:val="18"/>
                <w:szCs w:val="18"/>
                <w:lang w:val="en-US"/>
              </w:rPr>
              <w:t xml:space="preserve">Workshop intangible heritage Flanders </w:t>
            </w:r>
            <w:r w:rsidR="00993FC8" w:rsidRPr="008E76EA">
              <w:rPr>
                <w:color w:val="000000"/>
                <w:sz w:val="18"/>
                <w:szCs w:val="18"/>
                <w:lang w:val="en-US"/>
              </w:rPr>
              <w:t>(Grèce)</w:t>
            </w:r>
          </w:p>
        </w:tc>
      </w:tr>
      <w:tr w:rsidR="009E009E" w:rsidRPr="009B071E" w14:paraId="406DADA2" w14:textId="77777777" w:rsidTr="005B7005">
        <w:tc>
          <w:tcPr>
            <w:tcW w:w="1152" w:type="dxa"/>
          </w:tcPr>
          <w:p w14:paraId="42E3FD04" w14:textId="3B2E6A84"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01987</w:t>
            </w:r>
          </w:p>
          <w:p w14:paraId="2BC553E7" w14:textId="33F153BA"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(18.COM 8.b.4</w:t>
            </w:r>
            <w:r w:rsidR="00BA1727" w:rsidRPr="009B071E">
              <w:rPr>
                <w:color w:val="000000"/>
                <w:sz w:val="18"/>
                <w:szCs w:val="18"/>
                <w:lang w:val="fr-FR"/>
              </w:rPr>
              <w:t>1</w:t>
            </w:r>
            <w:r w:rsidRPr="009B071E">
              <w:rPr>
                <w:color w:val="000000"/>
                <w:sz w:val="18"/>
                <w:szCs w:val="18"/>
                <w:lang w:val="fr-FR"/>
              </w:rPr>
              <w:t>)</w:t>
            </w:r>
          </w:p>
        </w:tc>
        <w:tc>
          <w:tcPr>
            <w:tcW w:w="2511" w:type="dxa"/>
          </w:tcPr>
          <w:p w14:paraId="4C309BD6" w14:textId="6390E288"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Lituanie</w:t>
            </w:r>
          </w:p>
        </w:tc>
        <w:tc>
          <w:tcPr>
            <w:tcW w:w="3240" w:type="dxa"/>
          </w:tcPr>
          <w:p w14:paraId="7FD72F30" w14:textId="232A1E47"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 xml:space="preserve">La fabrication des </w:t>
            </w:r>
            <w:proofErr w:type="spellStart"/>
            <w:r w:rsidRPr="009B071E">
              <w:rPr>
                <w:color w:val="000000"/>
                <w:sz w:val="18"/>
                <w:szCs w:val="18"/>
                <w:lang w:val="fr-FR"/>
              </w:rPr>
              <w:t>sodai</w:t>
            </w:r>
            <w:proofErr w:type="spellEnd"/>
            <w:r w:rsidRPr="009B071E">
              <w:rPr>
                <w:color w:val="000000"/>
                <w:sz w:val="18"/>
                <w:szCs w:val="18"/>
                <w:lang w:val="fr-FR"/>
              </w:rPr>
              <w:t xml:space="preserve"> en paille en Lituanie</w:t>
            </w:r>
          </w:p>
        </w:tc>
        <w:tc>
          <w:tcPr>
            <w:tcW w:w="2169" w:type="dxa"/>
          </w:tcPr>
          <w:p w14:paraId="7D3A4B74" w14:textId="036457CD"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M. Rimvydas Laužikas (Lituanie)</w:t>
            </w:r>
          </w:p>
        </w:tc>
      </w:tr>
      <w:tr w:rsidR="009E009E" w:rsidRPr="009B071E" w14:paraId="04C9875A" w14:textId="77777777" w:rsidTr="005B7005">
        <w:tc>
          <w:tcPr>
            <w:tcW w:w="1152" w:type="dxa"/>
          </w:tcPr>
          <w:p w14:paraId="377730F0" w14:textId="774FD962"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lastRenderedPageBreak/>
              <w:t>01990</w:t>
            </w:r>
          </w:p>
          <w:p w14:paraId="05526B0C" w14:textId="4C25E009"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(18.COM 8.b.2</w:t>
            </w:r>
            <w:r w:rsidR="00BA1727" w:rsidRPr="009B071E">
              <w:rPr>
                <w:color w:val="000000"/>
                <w:sz w:val="18"/>
                <w:szCs w:val="18"/>
                <w:lang w:val="fr-FR"/>
              </w:rPr>
              <w:t>8</w:t>
            </w:r>
            <w:r w:rsidRPr="009B071E">
              <w:rPr>
                <w:color w:val="000000"/>
                <w:sz w:val="18"/>
                <w:szCs w:val="18"/>
                <w:lang w:val="fr-FR"/>
              </w:rPr>
              <w:t>)</w:t>
            </w:r>
          </w:p>
        </w:tc>
        <w:tc>
          <w:tcPr>
            <w:tcW w:w="2511" w:type="dxa"/>
          </w:tcPr>
          <w:p w14:paraId="45E14DAD" w14:textId="0B4741BA"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Cuba, Mexique</w:t>
            </w:r>
          </w:p>
        </w:tc>
        <w:tc>
          <w:tcPr>
            <w:tcW w:w="3240" w:type="dxa"/>
          </w:tcPr>
          <w:p w14:paraId="6F6DC707" w14:textId="2D3A7B61"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Le boléro, identité, émotion et poésie en chanson</w:t>
            </w:r>
          </w:p>
        </w:tc>
        <w:tc>
          <w:tcPr>
            <w:tcW w:w="2169" w:type="dxa"/>
          </w:tcPr>
          <w:p w14:paraId="617947EF" w14:textId="7E05BC4B" w:rsidR="00993FC8" w:rsidRPr="009B071E" w:rsidRDefault="00012A79" w:rsidP="00993FC8">
            <w:pPr>
              <w:pStyle w:val="Texteduscnario"/>
              <w:spacing w:after="0" w:line="240" w:lineRule="auto"/>
              <w:jc w:val="left"/>
              <w:rPr>
                <w:color w:val="000000"/>
                <w:sz w:val="18"/>
                <w:szCs w:val="18"/>
                <w:lang w:val="fr-FR"/>
              </w:rPr>
            </w:pPr>
            <w:r w:rsidRPr="009B071E">
              <w:rPr>
                <w:color w:val="000000"/>
                <w:sz w:val="18"/>
                <w:szCs w:val="18"/>
                <w:lang w:val="fr-FR"/>
              </w:rPr>
              <w:t xml:space="preserve">Daniel Rubin de la Borbolla Center </w:t>
            </w:r>
            <w:r w:rsidR="00993FC8" w:rsidRPr="009B071E">
              <w:rPr>
                <w:color w:val="000000"/>
                <w:sz w:val="18"/>
                <w:szCs w:val="18"/>
                <w:lang w:val="fr-FR"/>
              </w:rPr>
              <w:t>(Mexique)</w:t>
            </w:r>
          </w:p>
        </w:tc>
      </w:tr>
      <w:tr w:rsidR="009E009E" w:rsidRPr="009B071E" w14:paraId="2F862CB3" w14:textId="77777777" w:rsidTr="005B7005">
        <w:tc>
          <w:tcPr>
            <w:tcW w:w="1152" w:type="dxa"/>
          </w:tcPr>
          <w:p w14:paraId="5E874162" w14:textId="523BE54E"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01968</w:t>
            </w:r>
          </w:p>
          <w:p w14:paraId="5FCF91E7" w14:textId="64108E76" w:rsidR="00993FC8" w:rsidRPr="009B071E" w:rsidRDefault="00993FC8" w:rsidP="00993FC8">
            <w:pPr>
              <w:pStyle w:val="Texteduscnario"/>
              <w:spacing w:after="0" w:line="240" w:lineRule="auto"/>
              <w:rPr>
                <w:color w:val="000000"/>
                <w:sz w:val="18"/>
                <w:szCs w:val="18"/>
                <w:lang w:val="fr-FR"/>
              </w:rPr>
            </w:pPr>
            <w:r w:rsidRPr="009B071E">
              <w:rPr>
                <w:color w:val="000000"/>
                <w:sz w:val="18"/>
                <w:szCs w:val="18"/>
                <w:lang w:val="fr-FR"/>
              </w:rPr>
              <w:t>(18.COM 8.b.2</w:t>
            </w:r>
            <w:r w:rsidR="00BA1727" w:rsidRPr="009B071E">
              <w:rPr>
                <w:color w:val="000000"/>
                <w:sz w:val="18"/>
                <w:szCs w:val="18"/>
                <w:lang w:val="fr-FR"/>
              </w:rPr>
              <w:t>6</w:t>
            </w:r>
            <w:r w:rsidRPr="009B071E">
              <w:rPr>
                <w:color w:val="000000"/>
                <w:sz w:val="18"/>
                <w:szCs w:val="18"/>
                <w:lang w:val="fr-FR"/>
              </w:rPr>
              <w:t>)</w:t>
            </w:r>
          </w:p>
        </w:tc>
        <w:tc>
          <w:tcPr>
            <w:tcW w:w="2511" w:type="dxa"/>
          </w:tcPr>
          <w:p w14:paraId="391D2249" w14:textId="3C4A14A3"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 xml:space="preserve">Allemagne, Chypre, Colombie, Kirghizstan, </w:t>
            </w:r>
            <w:r w:rsidR="00673680" w:rsidRPr="009B071E">
              <w:rPr>
                <w:color w:val="000000"/>
                <w:sz w:val="18"/>
                <w:szCs w:val="18"/>
                <w:lang w:val="fr-FR"/>
              </w:rPr>
              <w:t xml:space="preserve">Luxembourg, </w:t>
            </w:r>
            <w:r w:rsidRPr="009B071E">
              <w:rPr>
                <w:color w:val="000000"/>
                <w:sz w:val="18"/>
                <w:szCs w:val="18"/>
                <w:lang w:val="fr-FR"/>
              </w:rPr>
              <w:t>Nig</w:t>
            </w:r>
            <w:r w:rsidR="00A70ACA" w:rsidRPr="009B071E">
              <w:rPr>
                <w:color w:val="000000"/>
                <w:sz w:val="18"/>
                <w:szCs w:val="18"/>
                <w:lang w:val="fr-FR"/>
              </w:rPr>
              <w:t>ér</w:t>
            </w:r>
            <w:r w:rsidRPr="009B071E">
              <w:rPr>
                <w:color w:val="000000"/>
                <w:sz w:val="18"/>
                <w:szCs w:val="18"/>
                <w:lang w:val="fr-FR"/>
              </w:rPr>
              <w:t>ia, Slovénie, Togo</w:t>
            </w:r>
          </w:p>
        </w:tc>
        <w:tc>
          <w:tcPr>
            <w:tcW w:w="3240" w:type="dxa"/>
          </w:tcPr>
          <w:p w14:paraId="2DB91C6B" w14:textId="77777777" w:rsidR="00993FC8" w:rsidRPr="009B071E" w:rsidRDefault="00993FC8" w:rsidP="00993FC8">
            <w:pPr>
              <w:pStyle w:val="Texteduscnario"/>
              <w:spacing w:after="0" w:line="240" w:lineRule="auto"/>
              <w:jc w:val="left"/>
              <w:rPr>
                <w:color w:val="000000"/>
                <w:sz w:val="18"/>
                <w:szCs w:val="18"/>
                <w:lang w:val="fr-FR"/>
              </w:rPr>
            </w:pPr>
            <w:r w:rsidRPr="009B071E">
              <w:rPr>
                <w:color w:val="000000"/>
                <w:sz w:val="18"/>
                <w:szCs w:val="18"/>
                <w:lang w:val="fr-FR"/>
              </w:rPr>
              <w:t>La maïeutique : connaissances, savoir-faire et pratiques</w:t>
            </w:r>
          </w:p>
        </w:tc>
        <w:tc>
          <w:tcPr>
            <w:tcW w:w="2169" w:type="dxa"/>
          </w:tcPr>
          <w:p w14:paraId="3183FCCE" w14:textId="3D00FCFA" w:rsidR="00993FC8" w:rsidRPr="009B071E" w:rsidRDefault="00012A79" w:rsidP="00993FC8">
            <w:pPr>
              <w:pStyle w:val="Texteduscnario"/>
              <w:spacing w:after="0" w:line="240" w:lineRule="auto"/>
              <w:jc w:val="left"/>
              <w:rPr>
                <w:color w:val="000000"/>
                <w:sz w:val="18"/>
                <w:szCs w:val="18"/>
                <w:lang w:val="fr-FR"/>
              </w:rPr>
            </w:pPr>
            <w:proofErr w:type="spellStart"/>
            <w:r w:rsidRPr="009B071E">
              <w:rPr>
                <w:color w:val="000000"/>
                <w:sz w:val="18"/>
                <w:szCs w:val="18"/>
                <w:lang w:val="fr-FR"/>
              </w:rPr>
              <w:t>Aigine</w:t>
            </w:r>
            <w:proofErr w:type="spellEnd"/>
            <w:r w:rsidRPr="009B071E">
              <w:rPr>
                <w:color w:val="000000"/>
                <w:sz w:val="18"/>
                <w:szCs w:val="18"/>
                <w:lang w:val="fr-FR"/>
              </w:rPr>
              <w:t xml:space="preserve"> Cultural </w:t>
            </w:r>
            <w:proofErr w:type="spellStart"/>
            <w:r w:rsidRPr="009B071E">
              <w:rPr>
                <w:color w:val="000000"/>
                <w:sz w:val="18"/>
                <w:szCs w:val="18"/>
                <w:lang w:val="fr-FR"/>
              </w:rPr>
              <w:t>Research</w:t>
            </w:r>
            <w:proofErr w:type="spellEnd"/>
            <w:r w:rsidRPr="009B071E">
              <w:rPr>
                <w:color w:val="000000"/>
                <w:sz w:val="18"/>
                <w:szCs w:val="18"/>
                <w:lang w:val="fr-FR"/>
              </w:rPr>
              <w:t xml:space="preserve"> Center – </w:t>
            </w:r>
            <w:proofErr w:type="spellStart"/>
            <w:r w:rsidRPr="009B071E">
              <w:rPr>
                <w:color w:val="000000"/>
                <w:sz w:val="18"/>
                <w:szCs w:val="18"/>
                <w:lang w:val="fr-FR"/>
              </w:rPr>
              <w:t>Aigine</w:t>
            </w:r>
            <w:proofErr w:type="spellEnd"/>
            <w:r w:rsidRPr="009B071E">
              <w:rPr>
                <w:color w:val="000000"/>
                <w:sz w:val="18"/>
                <w:szCs w:val="18"/>
                <w:lang w:val="fr-FR"/>
              </w:rPr>
              <w:t xml:space="preserve"> CRC </w:t>
            </w:r>
            <w:r w:rsidR="00993FC8" w:rsidRPr="009B071E">
              <w:rPr>
                <w:color w:val="000000"/>
                <w:sz w:val="18"/>
                <w:szCs w:val="18"/>
                <w:lang w:val="fr-FR"/>
              </w:rPr>
              <w:t>(Kirghizstan)</w:t>
            </w:r>
          </w:p>
        </w:tc>
      </w:tr>
      <w:tr w:rsidR="009E009E" w:rsidRPr="009B071E" w14:paraId="58C838E1" w14:textId="77777777" w:rsidTr="005B7005">
        <w:tc>
          <w:tcPr>
            <w:tcW w:w="1152" w:type="dxa"/>
          </w:tcPr>
          <w:p w14:paraId="5EC5F6C7" w14:textId="2460C71B" w:rsidR="009E009E" w:rsidRPr="009B071E" w:rsidRDefault="009E009E" w:rsidP="009E009E">
            <w:pPr>
              <w:pStyle w:val="Texteduscnario"/>
              <w:spacing w:after="0" w:line="240" w:lineRule="auto"/>
              <w:rPr>
                <w:color w:val="000000"/>
                <w:sz w:val="18"/>
                <w:szCs w:val="18"/>
                <w:lang w:val="fr-FR"/>
              </w:rPr>
            </w:pPr>
            <w:r w:rsidRPr="009B071E">
              <w:rPr>
                <w:color w:val="000000"/>
                <w:sz w:val="18"/>
                <w:szCs w:val="18"/>
                <w:lang w:val="fr-FR"/>
              </w:rPr>
              <w:t>01985</w:t>
            </w:r>
          </w:p>
          <w:p w14:paraId="2018694F" w14:textId="01068E94" w:rsidR="009E009E" w:rsidRPr="009B071E" w:rsidRDefault="009E009E" w:rsidP="009E009E">
            <w:pPr>
              <w:pStyle w:val="Texteduscnario"/>
              <w:spacing w:after="0" w:line="240" w:lineRule="auto"/>
              <w:rPr>
                <w:color w:val="000000"/>
                <w:sz w:val="18"/>
                <w:szCs w:val="18"/>
                <w:lang w:val="fr-FR"/>
              </w:rPr>
            </w:pPr>
            <w:r w:rsidRPr="009B071E">
              <w:rPr>
                <w:color w:val="000000"/>
                <w:sz w:val="18"/>
                <w:szCs w:val="18"/>
                <w:lang w:val="fr-FR"/>
              </w:rPr>
              <w:t>(18.COM 8.b.3</w:t>
            </w:r>
            <w:r w:rsidR="00BA1727" w:rsidRPr="009B071E">
              <w:rPr>
                <w:color w:val="000000"/>
                <w:sz w:val="18"/>
                <w:szCs w:val="18"/>
                <w:lang w:val="fr-FR"/>
              </w:rPr>
              <w:t>8</w:t>
            </w:r>
            <w:r w:rsidRPr="009B071E">
              <w:rPr>
                <w:color w:val="000000"/>
                <w:sz w:val="18"/>
                <w:szCs w:val="18"/>
                <w:lang w:val="fr-FR"/>
              </w:rPr>
              <w:t>)</w:t>
            </w:r>
          </w:p>
        </w:tc>
        <w:tc>
          <w:tcPr>
            <w:tcW w:w="2511" w:type="dxa"/>
          </w:tcPr>
          <w:p w14:paraId="638CCA4C" w14:textId="16519F31" w:rsidR="009E009E" w:rsidRPr="009B071E" w:rsidRDefault="009E009E" w:rsidP="009E009E">
            <w:pPr>
              <w:pStyle w:val="Texteduscnario"/>
              <w:spacing w:after="0" w:line="240" w:lineRule="auto"/>
              <w:jc w:val="left"/>
              <w:rPr>
                <w:color w:val="000000"/>
                <w:sz w:val="18"/>
                <w:szCs w:val="18"/>
                <w:lang w:val="fr-FR"/>
              </w:rPr>
            </w:pPr>
            <w:r w:rsidRPr="009B071E">
              <w:rPr>
                <w:color w:val="000000"/>
                <w:sz w:val="18"/>
                <w:szCs w:val="18"/>
                <w:lang w:val="fr-FR"/>
              </w:rPr>
              <w:t>Kirghizstan</w:t>
            </w:r>
          </w:p>
        </w:tc>
        <w:tc>
          <w:tcPr>
            <w:tcW w:w="3240" w:type="dxa"/>
          </w:tcPr>
          <w:p w14:paraId="2B39B435" w14:textId="739883AD" w:rsidR="009E009E" w:rsidRPr="009B071E" w:rsidRDefault="00673680" w:rsidP="009E009E">
            <w:pPr>
              <w:pStyle w:val="Texteduscnario"/>
              <w:spacing w:after="0" w:line="240" w:lineRule="auto"/>
              <w:jc w:val="left"/>
              <w:rPr>
                <w:color w:val="000000"/>
                <w:sz w:val="18"/>
                <w:szCs w:val="18"/>
                <w:lang w:val="fr-FR"/>
              </w:rPr>
            </w:pPr>
            <w:r w:rsidRPr="009B071E">
              <w:rPr>
                <w:color w:val="000000"/>
                <w:sz w:val="18"/>
                <w:szCs w:val="18"/>
                <w:lang w:val="fr-FR"/>
              </w:rPr>
              <w:t>L’</w:t>
            </w:r>
            <w:proofErr w:type="spellStart"/>
            <w:r w:rsidRPr="009B071E">
              <w:rPr>
                <w:color w:val="000000"/>
                <w:sz w:val="18"/>
                <w:szCs w:val="18"/>
                <w:lang w:val="fr-FR"/>
              </w:rPr>
              <w:t>eleche</w:t>
            </w:r>
            <w:r w:rsidR="00AE275E" w:rsidRPr="009B071E">
              <w:rPr>
                <w:color w:val="000000"/>
                <w:sz w:val="18"/>
                <w:szCs w:val="18"/>
                <w:lang w:val="fr-FR"/>
              </w:rPr>
              <w:t>k</w:t>
            </w:r>
            <w:proofErr w:type="spellEnd"/>
            <w:r w:rsidR="000F2CD7" w:rsidRPr="009B071E">
              <w:rPr>
                <w:color w:val="000000"/>
                <w:sz w:val="18"/>
                <w:szCs w:val="18"/>
                <w:lang w:val="fr-FR"/>
              </w:rPr>
              <w:t> </w:t>
            </w:r>
            <w:r w:rsidRPr="009B071E">
              <w:rPr>
                <w:color w:val="000000"/>
                <w:sz w:val="18"/>
                <w:szCs w:val="18"/>
                <w:lang w:val="fr-FR"/>
              </w:rPr>
              <w:t>, la coiffe des femmes kirghizes : rituels et connaissances traditionnels</w:t>
            </w:r>
          </w:p>
        </w:tc>
        <w:tc>
          <w:tcPr>
            <w:tcW w:w="2169" w:type="dxa"/>
          </w:tcPr>
          <w:p w14:paraId="5FC30CA0" w14:textId="69F5DF6E" w:rsidR="009E009E" w:rsidRPr="009B071E" w:rsidRDefault="00012A79" w:rsidP="009E009E">
            <w:pPr>
              <w:pStyle w:val="Texteduscnario"/>
              <w:spacing w:after="0" w:line="240" w:lineRule="auto"/>
              <w:jc w:val="left"/>
              <w:rPr>
                <w:color w:val="000000"/>
                <w:sz w:val="18"/>
                <w:szCs w:val="18"/>
                <w:lang w:val="fr-FR"/>
              </w:rPr>
            </w:pPr>
            <w:proofErr w:type="spellStart"/>
            <w:r w:rsidRPr="009B071E">
              <w:rPr>
                <w:color w:val="000000"/>
                <w:sz w:val="18"/>
                <w:szCs w:val="18"/>
                <w:lang w:val="fr-FR"/>
              </w:rPr>
              <w:t>Aigine</w:t>
            </w:r>
            <w:proofErr w:type="spellEnd"/>
            <w:r w:rsidRPr="009B071E">
              <w:rPr>
                <w:color w:val="000000"/>
                <w:sz w:val="18"/>
                <w:szCs w:val="18"/>
                <w:lang w:val="fr-FR"/>
              </w:rPr>
              <w:t xml:space="preserve"> Cultural </w:t>
            </w:r>
            <w:proofErr w:type="spellStart"/>
            <w:r w:rsidRPr="009B071E">
              <w:rPr>
                <w:color w:val="000000"/>
                <w:sz w:val="18"/>
                <w:szCs w:val="18"/>
                <w:lang w:val="fr-FR"/>
              </w:rPr>
              <w:t>Research</w:t>
            </w:r>
            <w:proofErr w:type="spellEnd"/>
            <w:r w:rsidRPr="009B071E">
              <w:rPr>
                <w:color w:val="000000"/>
                <w:sz w:val="18"/>
                <w:szCs w:val="18"/>
                <w:lang w:val="fr-FR"/>
              </w:rPr>
              <w:t xml:space="preserve"> Center – </w:t>
            </w:r>
            <w:proofErr w:type="spellStart"/>
            <w:r w:rsidRPr="009B071E">
              <w:rPr>
                <w:color w:val="000000"/>
                <w:sz w:val="18"/>
                <w:szCs w:val="18"/>
                <w:lang w:val="fr-FR"/>
              </w:rPr>
              <w:t>Aigine</w:t>
            </w:r>
            <w:proofErr w:type="spellEnd"/>
            <w:r w:rsidRPr="009B071E">
              <w:rPr>
                <w:color w:val="000000"/>
                <w:sz w:val="18"/>
                <w:szCs w:val="18"/>
                <w:lang w:val="fr-FR"/>
              </w:rPr>
              <w:t xml:space="preserve"> CRC </w:t>
            </w:r>
            <w:r w:rsidR="009E009E" w:rsidRPr="009B071E">
              <w:rPr>
                <w:color w:val="000000"/>
                <w:sz w:val="18"/>
                <w:szCs w:val="18"/>
                <w:lang w:val="fr-FR"/>
              </w:rPr>
              <w:t>(Kirghizstan)</w:t>
            </w:r>
          </w:p>
        </w:tc>
      </w:tr>
      <w:tr w:rsidR="009E009E" w:rsidRPr="00620E80" w14:paraId="4275F6E1" w14:textId="77777777" w:rsidTr="005B7005">
        <w:tc>
          <w:tcPr>
            <w:tcW w:w="1152" w:type="dxa"/>
          </w:tcPr>
          <w:p w14:paraId="66658BCE" w14:textId="3D2F3991" w:rsidR="009E009E" w:rsidRPr="009B071E" w:rsidRDefault="009E009E" w:rsidP="009E009E">
            <w:pPr>
              <w:pStyle w:val="Texteduscnario"/>
              <w:spacing w:after="0" w:line="240" w:lineRule="auto"/>
              <w:rPr>
                <w:color w:val="000000"/>
                <w:sz w:val="18"/>
                <w:szCs w:val="18"/>
                <w:lang w:val="fr-FR"/>
              </w:rPr>
            </w:pPr>
            <w:r w:rsidRPr="009B071E">
              <w:rPr>
                <w:color w:val="000000"/>
                <w:sz w:val="18"/>
                <w:szCs w:val="18"/>
                <w:lang w:val="fr-FR"/>
              </w:rPr>
              <w:t>01740</w:t>
            </w:r>
          </w:p>
          <w:p w14:paraId="27FEF430" w14:textId="3D0081BB" w:rsidR="009E009E" w:rsidRPr="009B071E" w:rsidRDefault="009E009E" w:rsidP="009E009E">
            <w:pPr>
              <w:pStyle w:val="Texteduscnario"/>
              <w:spacing w:after="0" w:line="240" w:lineRule="auto"/>
              <w:rPr>
                <w:color w:val="000000"/>
                <w:sz w:val="18"/>
                <w:szCs w:val="18"/>
                <w:lang w:val="fr-FR"/>
              </w:rPr>
            </w:pPr>
            <w:r w:rsidRPr="009B071E">
              <w:rPr>
                <w:color w:val="000000"/>
                <w:sz w:val="18"/>
                <w:szCs w:val="18"/>
                <w:lang w:val="fr-FR"/>
              </w:rPr>
              <w:t>(18.COM 8.b.4</w:t>
            </w:r>
            <w:r w:rsidR="00BA1727" w:rsidRPr="009B071E">
              <w:rPr>
                <w:color w:val="000000"/>
                <w:sz w:val="18"/>
                <w:szCs w:val="18"/>
                <w:lang w:val="fr-FR"/>
              </w:rPr>
              <w:t>2</w:t>
            </w:r>
            <w:r w:rsidRPr="009B071E">
              <w:rPr>
                <w:color w:val="000000"/>
                <w:sz w:val="18"/>
                <w:szCs w:val="18"/>
                <w:lang w:val="fr-FR"/>
              </w:rPr>
              <w:t>)</w:t>
            </w:r>
          </w:p>
        </w:tc>
        <w:tc>
          <w:tcPr>
            <w:tcW w:w="2511" w:type="dxa"/>
          </w:tcPr>
          <w:p w14:paraId="7AEA9A38" w14:textId="6754E2AB" w:rsidR="009E009E" w:rsidRPr="009B071E" w:rsidRDefault="009E009E" w:rsidP="009E009E">
            <w:pPr>
              <w:pStyle w:val="Texteduscnario"/>
              <w:spacing w:after="0" w:line="240" w:lineRule="auto"/>
              <w:jc w:val="left"/>
              <w:rPr>
                <w:color w:val="000000"/>
                <w:sz w:val="18"/>
                <w:szCs w:val="18"/>
                <w:lang w:val="fr-FR"/>
              </w:rPr>
            </w:pPr>
            <w:r w:rsidRPr="009B071E">
              <w:rPr>
                <w:color w:val="000000"/>
                <w:sz w:val="18"/>
                <w:szCs w:val="18"/>
                <w:lang w:val="fr-FR"/>
              </w:rPr>
              <w:t>Madagascar</w:t>
            </w:r>
          </w:p>
        </w:tc>
        <w:tc>
          <w:tcPr>
            <w:tcW w:w="3240" w:type="dxa"/>
          </w:tcPr>
          <w:p w14:paraId="152B4CCF" w14:textId="150E934A" w:rsidR="009E009E" w:rsidRPr="009B071E" w:rsidRDefault="00673680" w:rsidP="009E009E">
            <w:pPr>
              <w:pStyle w:val="Texteduscnario"/>
              <w:spacing w:after="0" w:line="240" w:lineRule="auto"/>
              <w:jc w:val="left"/>
              <w:rPr>
                <w:color w:val="000000"/>
                <w:sz w:val="18"/>
                <w:szCs w:val="18"/>
                <w:lang w:val="fr-FR"/>
              </w:rPr>
            </w:pPr>
            <w:r w:rsidRPr="009B071E">
              <w:rPr>
                <w:color w:val="000000"/>
                <w:sz w:val="18"/>
                <w:szCs w:val="18"/>
                <w:lang w:val="fr-FR"/>
              </w:rPr>
              <w:t xml:space="preserve">Le </w:t>
            </w:r>
            <w:proofErr w:type="spellStart"/>
            <w:r w:rsidRPr="009B071E">
              <w:rPr>
                <w:color w:val="000000"/>
                <w:sz w:val="18"/>
                <w:szCs w:val="18"/>
                <w:lang w:val="fr-FR"/>
              </w:rPr>
              <w:t>Hiragasy</w:t>
            </w:r>
            <w:proofErr w:type="spellEnd"/>
            <w:r w:rsidRPr="009B071E">
              <w:rPr>
                <w:color w:val="000000"/>
                <w:sz w:val="18"/>
                <w:szCs w:val="18"/>
                <w:lang w:val="fr-FR"/>
              </w:rPr>
              <w:t>, art du spectacle des Hautes terres Centrales de Madagascar</w:t>
            </w:r>
          </w:p>
        </w:tc>
        <w:tc>
          <w:tcPr>
            <w:tcW w:w="2169" w:type="dxa"/>
          </w:tcPr>
          <w:p w14:paraId="392E5B6B" w14:textId="17E275E6" w:rsidR="009E009E" w:rsidRPr="008E76EA" w:rsidRDefault="009E009E" w:rsidP="009E009E">
            <w:pPr>
              <w:pStyle w:val="Texteduscnario"/>
              <w:spacing w:after="0" w:line="240" w:lineRule="auto"/>
              <w:jc w:val="left"/>
              <w:rPr>
                <w:color w:val="000000"/>
                <w:sz w:val="18"/>
                <w:szCs w:val="18"/>
                <w:lang w:val="es-ES"/>
              </w:rPr>
            </w:pPr>
            <w:r w:rsidRPr="008E76EA">
              <w:rPr>
                <w:color w:val="000000"/>
                <w:sz w:val="18"/>
                <w:szCs w:val="18"/>
                <w:lang w:val="es-ES"/>
              </w:rPr>
              <w:t xml:space="preserve">Mme Tiana </w:t>
            </w:r>
            <w:proofErr w:type="spellStart"/>
            <w:r w:rsidRPr="008E76EA">
              <w:rPr>
                <w:color w:val="000000"/>
                <w:sz w:val="18"/>
                <w:szCs w:val="18"/>
                <w:lang w:val="es-ES"/>
              </w:rPr>
              <w:t>Lalaina</w:t>
            </w:r>
            <w:proofErr w:type="spellEnd"/>
            <w:r w:rsidRPr="008E76EA">
              <w:rPr>
                <w:color w:val="000000"/>
                <w:sz w:val="18"/>
                <w:szCs w:val="18"/>
                <w:lang w:val="es-ES"/>
              </w:rPr>
              <w:t xml:space="preserve"> </w:t>
            </w:r>
            <w:proofErr w:type="spellStart"/>
            <w:r w:rsidRPr="008E76EA">
              <w:rPr>
                <w:color w:val="000000"/>
                <w:sz w:val="18"/>
                <w:szCs w:val="18"/>
                <w:lang w:val="es-ES"/>
              </w:rPr>
              <w:t>Razafimanantsoa</w:t>
            </w:r>
            <w:proofErr w:type="spellEnd"/>
            <w:r w:rsidRPr="008E76EA">
              <w:rPr>
                <w:color w:val="000000"/>
                <w:sz w:val="18"/>
                <w:szCs w:val="18"/>
                <w:lang w:val="es-ES"/>
              </w:rPr>
              <w:t xml:space="preserve"> (Madagascar)</w:t>
            </w:r>
          </w:p>
        </w:tc>
      </w:tr>
      <w:tr w:rsidR="009E009E" w:rsidRPr="00620E80" w14:paraId="3F2ED3DC" w14:textId="77777777" w:rsidTr="005B7005">
        <w:tc>
          <w:tcPr>
            <w:tcW w:w="1152" w:type="dxa"/>
          </w:tcPr>
          <w:p w14:paraId="1F6D6FE8" w14:textId="4F929870" w:rsidR="009E009E" w:rsidRPr="009B071E" w:rsidRDefault="009E009E" w:rsidP="009E009E">
            <w:pPr>
              <w:pStyle w:val="Texteduscnario"/>
              <w:spacing w:after="0" w:line="240" w:lineRule="auto"/>
              <w:rPr>
                <w:color w:val="000000"/>
                <w:sz w:val="18"/>
                <w:szCs w:val="18"/>
                <w:lang w:val="fr-FR"/>
              </w:rPr>
            </w:pPr>
            <w:r w:rsidRPr="009B071E">
              <w:rPr>
                <w:color w:val="000000"/>
                <w:sz w:val="18"/>
                <w:szCs w:val="18"/>
                <w:lang w:val="fr-FR"/>
              </w:rPr>
              <w:t>01951</w:t>
            </w:r>
          </w:p>
          <w:p w14:paraId="115235F5" w14:textId="577DA7F1" w:rsidR="009E009E" w:rsidRPr="009B071E" w:rsidRDefault="009E009E" w:rsidP="009E009E">
            <w:pPr>
              <w:pStyle w:val="Texteduscnario"/>
              <w:spacing w:after="0" w:line="240" w:lineRule="auto"/>
              <w:rPr>
                <w:color w:val="000000"/>
                <w:sz w:val="18"/>
                <w:szCs w:val="18"/>
                <w:lang w:val="fr-FR"/>
              </w:rPr>
            </w:pPr>
            <w:r w:rsidRPr="009B071E">
              <w:rPr>
                <w:color w:val="000000"/>
                <w:sz w:val="18"/>
                <w:szCs w:val="18"/>
                <w:lang w:val="fr-FR"/>
              </w:rPr>
              <w:t>(18.COM 8.b.3</w:t>
            </w:r>
            <w:r w:rsidR="00BA1727" w:rsidRPr="009B071E">
              <w:rPr>
                <w:color w:val="000000"/>
                <w:sz w:val="18"/>
                <w:szCs w:val="18"/>
                <w:lang w:val="fr-FR"/>
              </w:rPr>
              <w:t>6</w:t>
            </w:r>
            <w:r w:rsidRPr="009B071E">
              <w:rPr>
                <w:color w:val="000000"/>
                <w:sz w:val="18"/>
                <w:szCs w:val="18"/>
                <w:lang w:val="fr-FR"/>
              </w:rPr>
              <w:t>)</w:t>
            </w:r>
          </w:p>
        </w:tc>
        <w:tc>
          <w:tcPr>
            <w:tcW w:w="2511" w:type="dxa"/>
          </w:tcPr>
          <w:p w14:paraId="19ECA231" w14:textId="2F8466D5" w:rsidR="009E009E" w:rsidRPr="009B071E" w:rsidRDefault="009E009E" w:rsidP="009E009E">
            <w:pPr>
              <w:pStyle w:val="Texteduscnario"/>
              <w:spacing w:after="0" w:line="240" w:lineRule="auto"/>
              <w:jc w:val="left"/>
              <w:rPr>
                <w:color w:val="000000"/>
                <w:sz w:val="18"/>
                <w:szCs w:val="18"/>
                <w:lang w:val="fr-FR"/>
              </w:rPr>
            </w:pPr>
            <w:r w:rsidRPr="009B071E">
              <w:rPr>
                <w:color w:val="000000"/>
                <w:sz w:val="18"/>
                <w:szCs w:val="18"/>
                <w:lang w:val="fr-FR"/>
              </w:rPr>
              <w:t>Ira</w:t>
            </w:r>
            <w:r w:rsidR="00673680" w:rsidRPr="009B071E">
              <w:rPr>
                <w:color w:val="000000"/>
                <w:sz w:val="18"/>
                <w:szCs w:val="18"/>
                <w:lang w:val="fr-FR"/>
              </w:rPr>
              <w:t>q</w:t>
            </w:r>
            <w:r w:rsidRPr="009B071E">
              <w:rPr>
                <w:color w:val="000000"/>
                <w:sz w:val="18"/>
                <w:szCs w:val="18"/>
                <w:lang w:val="fr-FR"/>
              </w:rPr>
              <w:t>, Algérie, Égypte, Maroc, Mauritanie, Palestine, Arabie saoudite, Soudan, Tunisie, Yémen</w:t>
            </w:r>
          </w:p>
        </w:tc>
        <w:tc>
          <w:tcPr>
            <w:tcW w:w="3240" w:type="dxa"/>
          </w:tcPr>
          <w:p w14:paraId="2616EF65" w14:textId="4D1F5B9C" w:rsidR="009E009E" w:rsidRPr="009B071E" w:rsidRDefault="00673680" w:rsidP="009E009E">
            <w:pPr>
              <w:pStyle w:val="Texteduscnario"/>
              <w:spacing w:after="0" w:line="240" w:lineRule="auto"/>
              <w:jc w:val="left"/>
              <w:rPr>
                <w:color w:val="000000"/>
                <w:sz w:val="18"/>
                <w:szCs w:val="18"/>
                <w:lang w:val="fr-FR"/>
              </w:rPr>
            </w:pPr>
            <w:r w:rsidRPr="009B071E">
              <w:rPr>
                <w:color w:val="000000"/>
                <w:sz w:val="18"/>
                <w:szCs w:val="18"/>
                <w:lang w:val="fr-FR"/>
              </w:rPr>
              <w:t>Les arts, savoir-faire et pratiques associés à la gravure sur métaux (or, argent et cuivre)</w:t>
            </w:r>
          </w:p>
        </w:tc>
        <w:tc>
          <w:tcPr>
            <w:tcW w:w="2169" w:type="dxa"/>
          </w:tcPr>
          <w:p w14:paraId="58EAB501" w14:textId="7FDD5AB3" w:rsidR="009E009E" w:rsidRPr="009B071E" w:rsidRDefault="009E009E" w:rsidP="009E009E">
            <w:pPr>
              <w:pStyle w:val="Texteduscnario"/>
              <w:spacing w:after="0" w:line="240" w:lineRule="auto"/>
              <w:jc w:val="left"/>
              <w:rPr>
                <w:color w:val="000000"/>
                <w:sz w:val="18"/>
                <w:szCs w:val="18"/>
                <w:lang w:val="fr-FR"/>
              </w:rPr>
            </w:pPr>
            <w:r w:rsidRPr="009B071E">
              <w:rPr>
                <w:color w:val="000000"/>
                <w:sz w:val="18"/>
                <w:szCs w:val="18"/>
                <w:lang w:val="fr-FR"/>
              </w:rPr>
              <w:t>Mme Nahla Abdallah Emam (Égypte)</w:t>
            </w:r>
          </w:p>
        </w:tc>
      </w:tr>
      <w:tr w:rsidR="009E009E" w:rsidRPr="00620E80" w14:paraId="669283AC" w14:textId="77777777" w:rsidTr="009E009E">
        <w:tc>
          <w:tcPr>
            <w:tcW w:w="9072" w:type="dxa"/>
            <w:gridSpan w:val="4"/>
            <w:shd w:val="clear" w:color="auto" w:fill="D6E3BC" w:themeFill="accent3" w:themeFillTint="66"/>
          </w:tcPr>
          <w:p w14:paraId="6C7884FB" w14:textId="1CD52801" w:rsidR="009E009E" w:rsidRPr="009B071E" w:rsidRDefault="009E009E" w:rsidP="009E009E">
            <w:pPr>
              <w:pStyle w:val="Texteduscnario"/>
              <w:keepNext/>
              <w:spacing w:after="0" w:line="240" w:lineRule="auto"/>
              <w:jc w:val="left"/>
              <w:rPr>
                <w:b/>
                <w:bCs/>
                <w:color w:val="000000"/>
                <w:sz w:val="18"/>
                <w:szCs w:val="18"/>
                <w:lang w:val="fr-FR"/>
              </w:rPr>
            </w:pPr>
            <w:r w:rsidRPr="009B071E">
              <w:rPr>
                <w:b/>
                <w:bCs/>
                <w:color w:val="000000"/>
                <w:sz w:val="18"/>
                <w:szCs w:val="18"/>
                <w:lang w:val="fr-FR"/>
              </w:rPr>
              <w:t>Registre des bonnes pratiques de sauvegarde</w:t>
            </w:r>
          </w:p>
        </w:tc>
      </w:tr>
      <w:tr w:rsidR="006935CC" w:rsidRPr="009B071E" w14:paraId="30C30E59" w14:textId="77777777" w:rsidTr="005B7005">
        <w:trPr>
          <w:trHeight w:val="48"/>
        </w:trPr>
        <w:tc>
          <w:tcPr>
            <w:tcW w:w="1152" w:type="dxa"/>
          </w:tcPr>
          <w:p w14:paraId="74D7A91E" w14:textId="6689FCEE" w:rsidR="009E009E" w:rsidRPr="009B071E" w:rsidRDefault="009E009E" w:rsidP="009E009E">
            <w:pPr>
              <w:pStyle w:val="Texteduscnario"/>
              <w:spacing w:after="0" w:line="240" w:lineRule="auto"/>
              <w:rPr>
                <w:color w:val="000000"/>
                <w:sz w:val="18"/>
                <w:szCs w:val="18"/>
                <w:lang w:val="fr-FR"/>
              </w:rPr>
            </w:pPr>
            <w:r w:rsidRPr="009B071E">
              <w:rPr>
                <w:color w:val="000000"/>
                <w:sz w:val="18"/>
                <w:szCs w:val="18"/>
                <w:lang w:val="fr-FR"/>
              </w:rPr>
              <w:t>00622</w:t>
            </w:r>
          </w:p>
          <w:p w14:paraId="2FD0A9A3" w14:textId="6E487208" w:rsidR="009E009E" w:rsidRPr="009B071E" w:rsidRDefault="009E009E" w:rsidP="009E009E">
            <w:pPr>
              <w:pStyle w:val="Texteduscnario"/>
              <w:spacing w:after="0" w:line="240" w:lineRule="auto"/>
              <w:rPr>
                <w:color w:val="000000"/>
                <w:sz w:val="18"/>
                <w:szCs w:val="18"/>
                <w:lang w:val="fr-FR"/>
              </w:rPr>
            </w:pPr>
            <w:r w:rsidRPr="009B071E">
              <w:rPr>
                <w:color w:val="000000"/>
                <w:sz w:val="18"/>
                <w:szCs w:val="18"/>
                <w:lang w:val="fr-FR"/>
              </w:rPr>
              <w:t>(18.COM 8.c.4)</w:t>
            </w:r>
          </w:p>
        </w:tc>
        <w:tc>
          <w:tcPr>
            <w:tcW w:w="2511" w:type="dxa"/>
          </w:tcPr>
          <w:p w14:paraId="7308A023" w14:textId="4CD81951" w:rsidR="009E009E" w:rsidRPr="009B071E" w:rsidRDefault="009E009E" w:rsidP="009E009E">
            <w:pPr>
              <w:pStyle w:val="Texteduscnario"/>
              <w:spacing w:after="0" w:line="240" w:lineRule="auto"/>
              <w:jc w:val="left"/>
              <w:rPr>
                <w:color w:val="000000"/>
                <w:sz w:val="18"/>
                <w:szCs w:val="18"/>
                <w:lang w:val="fr-FR"/>
              </w:rPr>
            </w:pPr>
            <w:r w:rsidRPr="009B071E">
              <w:rPr>
                <w:color w:val="000000"/>
                <w:sz w:val="18"/>
                <w:szCs w:val="18"/>
                <w:lang w:val="fr-FR"/>
              </w:rPr>
              <w:t>Belgique</w:t>
            </w:r>
          </w:p>
        </w:tc>
        <w:tc>
          <w:tcPr>
            <w:tcW w:w="3240" w:type="dxa"/>
          </w:tcPr>
          <w:p w14:paraId="2CF45B52" w14:textId="0AA0AD8F" w:rsidR="009E009E" w:rsidRPr="009B071E" w:rsidRDefault="00673680" w:rsidP="009E009E">
            <w:pPr>
              <w:pStyle w:val="Texteduscnario"/>
              <w:spacing w:after="0" w:line="240" w:lineRule="auto"/>
              <w:jc w:val="left"/>
              <w:rPr>
                <w:color w:val="000000"/>
                <w:sz w:val="18"/>
                <w:szCs w:val="18"/>
                <w:lang w:val="fr-FR"/>
              </w:rPr>
            </w:pPr>
            <w:r w:rsidRPr="009B071E">
              <w:rPr>
                <w:color w:val="000000"/>
                <w:sz w:val="18"/>
                <w:szCs w:val="18"/>
                <w:lang w:val="fr-FR"/>
              </w:rPr>
              <w:t>La sauvegarde du patrimoine de l’accueil famil</w:t>
            </w:r>
            <w:r w:rsidR="009C22BF" w:rsidRPr="009B071E">
              <w:rPr>
                <w:color w:val="000000"/>
                <w:sz w:val="18"/>
                <w:szCs w:val="18"/>
                <w:lang w:val="fr-FR"/>
              </w:rPr>
              <w:t>i</w:t>
            </w:r>
            <w:r w:rsidRPr="009B071E">
              <w:rPr>
                <w:color w:val="000000"/>
                <w:sz w:val="18"/>
                <w:szCs w:val="18"/>
                <w:lang w:val="fr-FR"/>
              </w:rPr>
              <w:t>al dans la ville miséricordieuse de Geel : un modèle d’accueil communautaire</w:t>
            </w:r>
          </w:p>
        </w:tc>
        <w:tc>
          <w:tcPr>
            <w:tcW w:w="2169" w:type="dxa"/>
          </w:tcPr>
          <w:p w14:paraId="46EA9781" w14:textId="512EF4BB" w:rsidR="009E009E" w:rsidRPr="008E76EA" w:rsidRDefault="00012A79" w:rsidP="009E009E">
            <w:pPr>
              <w:pStyle w:val="Texteduscnario"/>
              <w:spacing w:after="0" w:line="240" w:lineRule="auto"/>
              <w:jc w:val="left"/>
              <w:rPr>
                <w:color w:val="000000"/>
                <w:sz w:val="18"/>
                <w:szCs w:val="18"/>
                <w:lang w:val="en-US"/>
              </w:rPr>
            </w:pPr>
            <w:r w:rsidRPr="008E76EA">
              <w:rPr>
                <w:color w:val="000000"/>
                <w:sz w:val="18"/>
                <w:szCs w:val="18"/>
                <w:lang w:val="en-US"/>
              </w:rPr>
              <w:t xml:space="preserve">Workshop intangible heritage Flanders </w:t>
            </w:r>
            <w:r w:rsidR="009E009E" w:rsidRPr="008E76EA">
              <w:rPr>
                <w:color w:val="000000"/>
                <w:sz w:val="18"/>
                <w:szCs w:val="18"/>
                <w:lang w:val="en-US"/>
              </w:rPr>
              <w:t>(Belgique)</w:t>
            </w:r>
          </w:p>
        </w:tc>
      </w:tr>
    </w:tbl>
    <w:bookmarkEnd w:id="4"/>
    <w:p w14:paraId="0A77DE95" w14:textId="506CBD68" w:rsidR="008E57D5" w:rsidRPr="009B071E" w:rsidRDefault="002B4D4C" w:rsidP="00B24096">
      <w:pPr>
        <w:pStyle w:val="COMPara"/>
        <w:numPr>
          <w:ilvl w:val="0"/>
          <w:numId w:val="7"/>
        </w:numPr>
        <w:spacing w:before="120"/>
        <w:ind w:left="567" w:hanging="567"/>
        <w:jc w:val="both"/>
        <w:rPr>
          <w:lang w:val="fr-FR"/>
        </w:rPr>
      </w:pPr>
      <w:r w:rsidRPr="009B071E">
        <w:rPr>
          <w:lang w:val="fr-FR"/>
        </w:rPr>
        <w:t>En outre</w:t>
      </w:r>
      <w:r w:rsidR="00C154AD" w:rsidRPr="009B071E">
        <w:rPr>
          <w:lang w:val="fr-FR"/>
        </w:rPr>
        <w:t>, l</w:t>
      </w:r>
      <w:r w:rsidR="00521B04" w:rsidRPr="009B071E">
        <w:rPr>
          <w:lang w:val="fr-FR"/>
        </w:rPr>
        <w:t>’</w:t>
      </w:r>
      <w:r w:rsidR="00C154AD" w:rsidRPr="009B071E">
        <w:rPr>
          <w:lang w:val="fr-FR"/>
        </w:rPr>
        <w:t>un de ses membres s</w:t>
      </w:r>
      <w:r w:rsidR="00521B04" w:rsidRPr="009B071E">
        <w:rPr>
          <w:lang w:val="fr-FR"/>
        </w:rPr>
        <w:t>’</w:t>
      </w:r>
      <w:r w:rsidR="00C154AD" w:rsidRPr="009B071E">
        <w:rPr>
          <w:lang w:val="fr-FR"/>
        </w:rPr>
        <w:t>est abstenu d</w:t>
      </w:r>
      <w:r w:rsidR="00521B04" w:rsidRPr="009B071E">
        <w:rPr>
          <w:lang w:val="fr-FR"/>
        </w:rPr>
        <w:t>’</w:t>
      </w:r>
      <w:r w:rsidR="00C154AD" w:rsidRPr="009B071E">
        <w:rPr>
          <w:lang w:val="fr-FR"/>
        </w:rPr>
        <w:t xml:space="preserve">évaluer quatre candidatures </w:t>
      </w:r>
      <w:r w:rsidRPr="009B071E">
        <w:rPr>
          <w:lang w:val="fr-FR"/>
        </w:rPr>
        <w:t>pour d’autres raisons</w:t>
      </w:r>
      <w:r w:rsidR="00C154AD" w:rsidRPr="009B071E">
        <w:rPr>
          <w:lang w:val="fr-FR"/>
        </w:rPr>
        <w:t>. Ces dossiers ont été évalués par les membres restants.</w:t>
      </w:r>
    </w:p>
    <w:p w14:paraId="46077709" w14:textId="6C8F58EC" w:rsidR="00B24FAC" w:rsidRPr="009B071E" w:rsidRDefault="001C3A85" w:rsidP="00B24096">
      <w:pPr>
        <w:pStyle w:val="COMPara"/>
        <w:numPr>
          <w:ilvl w:val="0"/>
          <w:numId w:val="7"/>
        </w:numPr>
        <w:spacing w:before="120"/>
        <w:ind w:left="567" w:hanging="567"/>
        <w:jc w:val="both"/>
        <w:rPr>
          <w:lang w:val="fr-FR"/>
        </w:rPr>
      </w:pPr>
      <w:r w:rsidRPr="009B071E">
        <w:rPr>
          <w:b/>
          <w:bCs/>
          <w:lang w:val="fr-FR"/>
        </w:rPr>
        <w:t>Année de « transition »</w:t>
      </w:r>
      <w:r w:rsidRPr="009B071E">
        <w:rPr>
          <w:lang w:val="fr-FR"/>
        </w:rPr>
        <w:t>. Le présent cycle d</w:t>
      </w:r>
      <w:r w:rsidR="00521B04" w:rsidRPr="009B071E">
        <w:rPr>
          <w:lang w:val="fr-FR"/>
        </w:rPr>
        <w:t>’</w:t>
      </w:r>
      <w:r w:rsidRPr="009B071E">
        <w:rPr>
          <w:lang w:val="fr-FR"/>
        </w:rPr>
        <w:t xml:space="preserve">évaluation </w:t>
      </w:r>
      <w:r w:rsidR="00CC273C" w:rsidRPr="009B071E">
        <w:rPr>
          <w:lang w:val="fr-FR"/>
        </w:rPr>
        <w:t>a eu lieu</w:t>
      </w:r>
      <w:r w:rsidRPr="009B071E">
        <w:rPr>
          <w:lang w:val="fr-FR"/>
        </w:rPr>
        <w:t xml:space="preserve"> après la réflexion globale sur les mécanismes d</w:t>
      </w:r>
      <w:r w:rsidR="00521B04" w:rsidRPr="009B071E">
        <w:rPr>
          <w:lang w:val="fr-FR"/>
        </w:rPr>
        <w:t>’</w:t>
      </w:r>
      <w:r w:rsidRPr="009B071E">
        <w:rPr>
          <w:lang w:val="fr-FR"/>
        </w:rPr>
        <w:t xml:space="preserve">inscription </w:t>
      </w:r>
      <w:r w:rsidR="0059639D" w:rsidRPr="009B071E">
        <w:rPr>
          <w:lang w:val="fr-FR"/>
        </w:rPr>
        <w:t>sur les</w:t>
      </w:r>
      <w:r w:rsidRPr="009B071E">
        <w:rPr>
          <w:lang w:val="fr-FR"/>
        </w:rPr>
        <w:t xml:space="preserve"> </w:t>
      </w:r>
      <w:r w:rsidR="001B2E0D" w:rsidRPr="009B071E">
        <w:rPr>
          <w:lang w:val="fr-FR"/>
        </w:rPr>
        <w:t>L</w:t>
      </w:r>
      <w:r w:rsidRPr="009B071E">
        <w:rPr>
          <w:lang w:val="fr-FR"/>
        </w:rPr>
        <w:t>istes de la Convention, avec l</w:t>
      </w:r>
      <w:r w:rsidR="00521B04" w:rsidRPr="009B071E">
        <w:rPr>
          <w:lang w:val="fr-FR"/>
        </w:rPr>
        <w:t>’</w:t>
      </w:r>
      <w:r w:rsidRPr="009B071E">
        <w:rPr>
          <w:lang w:val="fr-FR"/>
        </w:rPr>
        <w:t>adoption des amendements aux Directives opérationnelles par la neuvième session de l</w:t>
      </w:r>
      <w:r w:rsidR="00521B04" w:rsidRPr="009B071E">
        <w:rPr>
          <w:lang w:val="fr-FR"/>
        </w:rPr>
        <w:t>’</w:t>
      </w:r>
      <w:r w:rsidRPr="009B071E">
        <w:rPr>
          <w:lang w:val="fr-FR"/>
        </w:rPr>
        <w:t>Assemblée générale (Siège de l</w:t>
      </w:r>
      <w:r w:rsidR="00521B04" w:rsidRPr="009B071E">
        <w:rPr>
          <w:lang w:val="fr-FR"/>
        </w:rPr>
        <w:t>’</w:t>
      </w:r>
      <w:r w:rsidRPr="009B071E">
        <w:rPr>
          <w:lang w:val="fr-FR"/>
        </w:rPr>
        <w:t>UNESCO, 5</w:t>
      </w:r>
      <w:r w:rsidR="0059639D" w:rsidRPr="009B071E">
        <w:rPr>
          <w:lang w:val="fr-FR"/>
        </w:rPr>
        <w:t xml:space="preserve"> – </w:t>
      </w:r>
      <w:r w:rsidRPr="009B071E">
        <w:rPr>
          <w:lang w:val="fr-FR"/>
        </w:rPr>
        <w:t>7</w:t>
      </w:r>
      <w:r w:rsidR="0059639D" w:rsidRPr="009B071E">
        <w:rPr>
          <w:lang w:val="fr-FR"/>
        </w:rPr>
        <w:t xml:space="preserve"> </w:t>
      </w:r>
      <w:r w:rsidRPr="009B071E">
        <w:rPr>
          <w:lang w:val="fr-FR"/>
        </w:rPr>
        <w:t xml:space="preserve">juillet 2022, voir Résolution </w:t>
      </w:r>
      <w:hyperlink r:id="rId22" w:history="1">
        <w:r w:rsidRPr="009B071E">
          <w:rPr>
            <w:rStyle w:val="Lienhypertexte"/>
            <w:lang w:val="fr-FR"/>
          </w:rPr>
          <w:t>9.GA 9</w:t>
        </w:r>
      </w:hyperlink>
      <w:r w:rsidRPr="009B071E">
        <w:rPr>
          <w:lang w:val="fr-FR"/>
        </w:rPr>
        <w:t>). Étant donné que les dossiers de ce cycle ont été soumis avant l</w:t>
      </w:r>
      <w:r w:rsidR="00521B04" w:rsidRPr="009B071E">
        <w:rPr>
          <w:lang w:val="fr-FR"/>
        </w:rPr>
        <w:t>’</w:t>
      </w:r>
      <w:r w:rsidRPr="009B071E">
        <w:rPr>
          <w:lang w:val="fr-FR"/>
        </w:rPr>
        <w:t xml:space="preserve">adoption de la </w:t>
      </w:r>
      <w:r w:rsidR="0059639D" w:rsidRPr="009B071E">
        <w:rPr>
          <w:lang w:val="fr-FR"/>
        </w:rPr>
        <w:t>r</w:t>
      </w:r>
      <w:r w:rsidRPr="009B071E">
        <w:rPr>
          <w:lang w:val="fr-FR"/>
        </w:rPr>
        <w:t xml:space="preserve">ésolution </w:t>
      </w:r>
      <w:hyperlink r:id="rId23" w:history="1">
        <w:r w:rsidRPr="009B071E">
          <w:rPr>
            <w:rStyle w:val="Lienhypertexte"/>
            <w:lang w:val="fr-FR"/>
          </w:rPr>
          <w:t>9.GA 9</w:t>
        </w:r>
      </w:hyperlink>
      <w:r w:rsidRPr="009B071E">
        <w:rPr>
          <w:lang w:val="fr-FR"/>
        </w:rPr>
        <w:t>, les amendements aux Directives opérationnelles n</w:t>
      </w:r>
      <w:r w:rsidR="00521B04" w:rsidRPr="009B071E">
        <w:rPr>
          <w:lang w:val="fr-FR"/>
        </w:rPr>
        <w:t>’</w:t>
      </w:r>
      <w:r w:rsidRPr="009B071E">
        <w:rPr>
          <w:lang w:val="fr-FR"/>
        </w:rPr>
        <w:t>ont pas eu d</w:t>
      </w:r>
      <w:r w:rsidR="00521B04" w:rsidRPr="009B071E">
        <w:rPr>
          <w:lang w:val="fr-FR"/>
        </w:rPr>
        <w:t>’</w:t>
      </w:r>
      <w:r w:rsidRPr="009B071E">
        <w:rPr>
          <w:lang w:val="fr-FR"/>
        </w:rPr>
        <w:t>impact direct sur le travail de l</w:t>
      </w:r>
      <w:r w:rsidR="00521B04" w:rsidRPr="009B071E">
        <w:rPr>
          <w:lang w:val="fr-FR"/>
        </w:rPr>
        <w:t>’</w:t>
      </w:r>
      <w:r w:rsidRPr="009B071E">
        <w:rPr>
          <w:lang w:val="fr-FR"/>
        </w:rPr>
        <w:t>Organe d</w:t>
      </w:r>
      <w:r w:rsidR="00521B04" w:rsidRPr="009B071E">
        <w:rPr>
          <w:lang w:val="fr-FR"/>
        </w:rPr>
        <w:t>’</w:t>
      </w:r>
      <w:r w:rsidRPr="009B071E">
        <w:rPr>
          <w:lang w:val="fr-FR"/>
        </w:rPr>
        <w:t>évaluation cette année. Néanmoins, l</w:t>
      </w:r>
      <w:r w:rsidR="00521B04" w:rsidRPr="009B071E">
        <w:rPr>
          <w:lang w:val="fr-FR"/>
        </w:rPr>
        <w:t>’</w:t>
      </w:r>
      <w:r w:rsidRPr="009B071E">
        <w:rPr>
          <w:lang w:val="fr-FR"/>
        </w:rPr>
        <w:t>Organe était conscient des grands principes qui sous-tendaient la réflexion et a mené ses travaux dans cet esprit, en tenant compte de la suppression du critère P.9 du Registre de bonnes pratiques de sauvegarde, et des ajustements apportés à tous les critères de la Liste représentative (avec une attention particulière au critère R.2) et de la Liste de sauvegarde urgente.</w:t>
      </w:r>
      <w:r w:rsidR="00CC273C" w:rsidRPr="009B071E">
        <w:rPr>
          <w:lang w:val="fr-FR"/>
        </w:rPr>
        <w:t xml:space="preserve"> En outre, l’Organe a eu recours au processus de dialogue dans les cas où une clarification pouvait faciliter l’évaluation des dossiers de candidature. Les nouveaux dossiers ont été évalués en tenant compte des initiatives de renforcement des capacités en cours entreprises par les États parties.</w:t>
      </w:r>
    </w:p>
    <w:p w14:paraId="1EA6489D" w14:textId="6858C9E6" w:rsidR="001B643E" w:rsidRPr="009B071E" w:rsidRDefault="001B643E" w:rsidP="00B24096">
      <w:pPr>
        <w:pStyle w:val="COMPara"/>
        <w:numPr>
          <w:ilvl w:val="0"/>
          <w:numId w:val="7"/>
        </w:numPr>
        <w:spacing w:before="120"/>
        <w:ind w:left="567" w:hanging="567"/>
        <w:jc w:val="both"/>
        <w:rPr>
          <w:lang w:val="fr-FR"/>
        </w:rPr>
      </w:pPr>
      <w:r w:rsidRPr="009B071E">
        <w:rPr>
          <w:lang w:val="fr-FR"/>
        </w:rPr>
        <w:t xml:space="preserve">Comme indiqué dans </w:t>
      </w:r>
      <w:r w:rsidR="0059639D" w:rsidRPr="009B071E">
        <w:rPr>
          <w:lang w:val="fr-FR"/>
        </w:rPr>
        <w:t>ses termes de référence</w:t>
      </w:r>
      <w:r w:rsidRPr="009B071E">
        <w:rPr>
          <w:lang w:val="fr-FR"/>
        </w:rPr>
        <w:t xml:space="preserve"> (voir l</w:t>
      </w:r>
      <w:r w:rsidR="00521B04" w:rsidRPr="009B071E">
        <w:rPr>
          <w:lang w:val="fr-FR"/>
        </w:rPr>
        <w:t>’</w:t>
      </w:r>
      <w:r w:rsidRPr="009B071E">
        <w:rPr>
          <w:lang w:val="fr-FR"/>
        </w:rPr>
        <w:t xml:space="preserve">annexe de la </w:t>
      </w:r>
      <w:r w:rsidR="0059639D" w:rsidRPr="009B071E">
        <w:rPr>
          <w:lang w:val="fr-FR"/>
        </w:rPr>
        <w:t>d</w:t>
      </w:r>
      <w:r w:rsidRPr="009B071E">
        <w:rPr>
          <w:lang w:val="fr-FR"/>
        </w:rPr>
        <w:t xml:space="preserve">écision </w:t>
      </w:r>
      <w:hyperlink r:id="rId24" w:history="1">
        <w:r w:rsidRPr="009B071E">
          <w:rPr>
            <w:rStyle w:val="Lienhypertexte"/>
            <w:rFonts w:eastAsia="SimSun"/>
            <w:lang w:val="fr-FR"/>
          </w:rPr>
          <w:t>17.COM 14</w:t>
        </w:r>
      </w:hyperlink>
      <w:r w:rsidRPr="009B071E">
        <w:rPr>
          <w:rStyle w:val="Lienhypertexte"/>
          <w:rFonts w:eastAsia="SimSun"/>
          <w:color w:val="auto"/>
          <w:u w:val="none"/>
          <w:lang w:val="fr-FR"/>
        </w:rPr>
        <w:t>),</w:t>
      </w:r>
      <w:r w:rsidRPr="009B071E">
        <w:rPr>
          <w:lang w:val="fr-FR"/>
        </w:rPr>
        <w:t xml:space="preserve"> il s</w:t>
      </w:r>
      <w:r w:rsidR="00521B04" w:rsidRPr="009B071E">
        <w:rPr>
          <w:lang w:val="fr-FR"/>
        </w:rPr>
        <w:t>’</w:t>
      </w:r>
      <w:r w:rsidRPr="009B071E">
        <w:rPr>
          <w:lang w:val="fr-FR"/>
        </w:rPr>
        <w:t>agit du dernier cycle au cours duquel l</w:t>
      </w:r>
      <w:r w:rsidR="00521B04" w:rsidRPr="009B071E">
        <w:rPr>
          <w:lang w:val="fr-FR"/>
        </w:rPr>
        <w:t>’</w:t>
      </w:r>
      <w:r w:rsidRPr="009B071E">
        <w:rPr>
          <w:lang w:val="fr-FR"/>
        </w:rPr>
        <w:t>Organe d</w:t>
      </w:r>
      <w:r w:rsidR="00521B04" w:rsidRPr="009B071E">
        <w:rPr>
          <w:lang w:val="fr-FR"/>
        </w:rPr>
        <w:t>’</w:t>
      </w:r>
      <w:r w:rsidRPr="009B071E">
        <w:rPr>
          <w:lang w:val="fr-FR"/>
        </w:rPr>
        <w:t xml:space="preserve">évaluation </w:t>
      </w:r>
      <w:r w:rsidR="00CC273C" w:rsidRPr="009B071E">
        <w:rPr>
          <w:lang w:val="fr-FR"/>
        </w:rPr>
        <w:t xml:space="preserve">est invité à </w:t>
      </w:r>
      <w:r w:rsidRPr="009B071E">
        <w:rPr>
          <w:lang w:val="fr-FR"/>
        </w:rPr>
        <w:t>évaluer les demandes d</w:t>
      </w:r>
      <w:r w:rsidR="00521B04" w:rsidRPr="009B071E">
        <w:rPr>
          <w:lang w:val="fr-FR"/>
        </w:rPr>
        <w:t>’</w:t>
      </w:r>
      <w:r w:rsidRPr="009B071E">
        <w:rPr>
          <w:lang w:val="fr-FR"/>
        </w:rPr>
        <w:t>assistance internationale supérieur</w:t>
      </w:r>
      <w:r w:rsidR="0059639D" w:rsidRPr="009B071E">
        <w:rPr>
          <w:lang w:val="fr-FR"/>
        </w:rPr>
        <w:t>es</w:t>
      </w:r>
      <w:r w:rsidRPr="009B071E">
        <w:rPr>
          <w:lang w:val="fr-FR"/>
        </w:rPr>
        <w:t xml:space="preserve"> à 100 000 </w:t>
      </w:r>
      <w:r w:rsidR="00012A79" w:rsidRPr="009B071E">
        <w:rPr>
          <w:lang w:val="fr-FR"/>
        </w:rPr>
        <w:t xml:space="preserve">dollars des </w:t>
      </w:r>
      <w:r w:rsidR="00F5362E" w:rsidRPr="009B071E">
        <w:rPr>
          <w:lang w:val="fr-FR"/>
        </w:rPr>
        <w:t>États-Unis</w:t>
      </w:r>
      <w:r w:rsidRPr="009B071E">
        <w:rPr>
          <w:lang w:val="fr-FR"/>
        </w:rPr>
        <w:t xml:space="preserve">. </w:t>
      </w:r>
      <w:r w:rsidR="00CC273C" w:rsidRPr="009B071E">
        <w:rPr>
          <w:lang w:val="fr-FR"/>
        </w:rPr>
        <w:t>Il s’agit</w:t>
      </w:r>
      <w:r w:rsidR="0059639D" w:rsidRPr="009B071E">
        <w:rPr>
          <w:lang w:val="fr-FR"/>
        </w:rPr>
        <w:t xml:space="preserve"> </w:t>
      </w:r>
      <w:r w:rsidR="00CC273C" w:rsidRPr="009B071E">
        <w:rPr>
          <w:lang w:val="fr-FR"/>
        </w:rPr>
        <w:t>d’</w:t>
      </w:r>
      <w:r w:rsidRPr="009B071E">
        <w:rPr>
          <w:lang w:val="fr-FR"/>
        </w:rPr>
        <w:t>un autre résultat de la réflexion globale sur les mécanismes d</w:t>
      </w:r>
      <w:r w:rsidR="00521B04" w:rsidRPr="009B071E">
        <w:rPr>
          <w:lang w:val="fr-FR"/>
        </w:rPr>
        <w:t>’</w:t>
      </w:r>
      <w:r w:rsidRPr="009B071E">
        <w:rPr>
          <w:lang w:val="fr-FR"/>
        </w:rPr>
        <w:t>inscription</w:t>
      </w:r>
      <w:r w:rsidR="0059639D" w:rsidRPr="009B071E">
        <w:rPr>
          <w:lang w:val="fr-FR"/>
        </w:rPr>
        <w:t xml:space="preserve"> sur les </w:t>
      </w:r>
      <w:r w:rsidR="001B2E0D" w:rsidRPr="009B071E">
        <w:rPr>
          <w:lang w:val="fr-FR"/>
        </w:rPr>
        <w:t>L</w:t>
      </w:r>
      <w:r w:rsidR="0059639D" w:rsidRPr="009B071E">
        <w:rPr>
          <w:lang w:val="fr-FR"/>
        </w:rPr>
        <w:t>istes</w:t>
      </w:r>
      <w:r w:rsidRPr="009B071E">
        <w:rPr>
          <w:lang w:val="fr-FR"/>
        </w:rPr>
        <w:t xml:space="preserve"> de la Convention et </w:t>
      </w:r>
      <w:r w:rsidR="0059639D" w:rsidRPr="009B071E">
        <w:rPr>
          <w:lang w:val="fr-FR"/>
        </w:rPr>
        <w:t>d</w:t>
      </w:r>
      <w:r w:rsidRPr="009B071E">
        <w:rPr>
          <w:lang w:val="fr-FR"/>
        </w:rPr>
        <w:t>es Directives opérationnelles révisées. Toutes les demandes d</w:t>
      </w:r>
      <w:r w:rsidR="00521B04" w:rsidRPr="009B071E">
        <w:rPr>
          <w:lang w:val="fr-FR"/>
        </w:rPr>
        <w:t>’</w:t>
      </w:r>
      <w:r w:rsidRPr="009B071E">
        <w:rPr>
          <w:lang w:val="fr-FR"/>
        </w:rPr>
        <w:t xml:space="preserve">assistance internationale « autonomes » </w:t>
      </w:r>
      <w:r w:rsidR="00CC273C" w:rsidRPr="009B071E">
        <w:rPr>
          <w:lang w:val="fr-FR"/>
        </w:rPr>
        <w:t xml:space="preserve">devront </w:t>
      </w:r>
      <w:r w:rsidRPr="009B071E">
        <w:rPr>
          <w:lang w:val="fr-FR"/>
        </w:rPr>
        <w:t xml:space="preserve">être examinées par le Bureau, le montant maximum par demande étant fixé à 100 000 </w:t>
      </w:r>
      <w:r w:rsidR="00012A79" w:rsidRPr="009B071E">
        <w:rPr>
          <w:lang w:val="fr-FR"/>
        </w:rPr>
        <w:t xml:space="preserve">dollars des </w:t>
      </w:r>
      <w:r w:rsidR="00F5362E" w:rsidRPr="009B071E">
        <w:rPr>
          <w:lang w:val="fr-FR"/>
        </w:rPr>
        <w:t>États-Unis</w:t>
      </w:r>
      <w:r w:rsidRPr="009B071E">
        <w:rPr>
          <w:lang w:val="fr-FR"/>
        </w:rPr>
        <w:t>.</w:t>
      </w:r>
    </w:p>
    <w:p w14:paraId="7DA93D47" w14:textId="2524359D" w:rsidR="007125B6" w:rsidRPr="009B071E" w:rsidRDefault="00322322" w:rsidP="00CC273C">
      <w:pPr>
        <w:pStyle w:val="COMPara"/>
        <w:numPr>
          <w:ilvl w:val="0"/>
          <w:numId w:val="7"/>
        </w:numPr>
        <w:ind w:left="567" w:hanging="567"/>
        <w:jc w:val="both"/>
        <w:rPr>
          <w:lang w:val="fr-FR"/>
        </w:rPr>
      </w:pPr>
      <w:r w:rsidRPr="009B071E">
        <w:rPr>
          <w:b/>
          <w:bCs/>
          <w:lang w:val="fr-FR"/>
        </w:rPr>
        <w:t xml:space="preserve">Dossiers précédemment </w:t>
      </w:r>
      <w:r w:rsidR="00CC273C" w:rsidRPr="009B071E">
        <w:rPr>
          <w:b/>
          <w:bCs/>
          <w:lang w:val="fr-FR"/>
        </w:rPr>
        <w:t>renvoyés</w:t>
      </w:r>
      <w:r w:rsidRPr="009B071E">
        <w:rPr>
          <w:lang w:val="fr-FR"/>
        </w:rPr>
        <w:t>. Certains dossiers qui avaient été renvoyés lors des processus d</w:t>
      </w:r>
      <w:r w:rsidR="00521B04" w:rsidRPr="009B071E">
        <w:rPr>
          <w:lang w:val="fr-FR"/>
        </w:rPr>
        <w:t>’</w:t>
      </w:r>
      <w:r w:rsidRPr="009B071E">
        <w:rPr>
          <w:lang w:val="fr-FR"/>
        </w:rPr>
        <w:t xml:space="preserve">évaluation précédents ont été soumis à nouveau au cours de ce cycle. Parmi les dossiers examinés au cours de ce cycle, 7 avaient </w:t>
      </w:r>
      <w:r w:rsidR="00CC273C" w:rsidRPr="009B071E">
        <w:rPr>
          <w:lang w:val="fr-FR"/>
        </w:rPr>
        <w:t xml:space="preserve">précédemment </w:t>
      </w:r>
      <w:r w:rsidRPr="009B071E">
        <w:rPr>
          <w:lang w:val="fr-FR"/>
        </w:rPr>
        <w:t>été renvoyés et 3 avaient été retirés. À cet égard, l</w:t>
      </w:r>
      <w:r w:rsidR="00521B04" w:rsidRPr="009B071E">
        <w:rPr>
          <w:lang w:val="fr-FR"/>
        </w:rPr>
        <w:t>’</w:t>
      </w:r>
      <w:r w:rsidRPr="009B071E">
        <w:rPr>
          <w:lang w:val="fr-FR"/>
        </w:rPr>
        <w:t>Organe d</w:t>
      </w:r>
      <w:r w:rsidR="00521B04" w:rsidRPr="009B071E">
        <w:rPr>
          <w:lang w:val="fr-FR"/>
        </w:rPr>
        <w:t>’</w:t>
      </w:r>
      <w:r w:rsidRPr="009B071E">
        <w:rPr>
          <w:lang w:val="fr-FR"/>
        </w:rPr>
        <w:t xml:space="preserve">évaluation a observé que </w:t>
      </w:r>
      <w:r w:rsidR="00CC273C" w:rsidRPr="009B071E">
        <w:rPr>
          <w:lang w:val="fr-FR"/>
        </w:rPr>
        <w:t xml:space="preserve">la plupart des </w:t>
      </w:r>
      <w:r w:rsidR="000F2CD7" w:rsidRPr="009B071E">
        <w:rPr>
          <w:lang w:val="fr-FR"/>
        </w:rPr>
        <w:t>É</w:t>
      </w:r>
      <w:r w:rsidR="00CC273C" w:rsidRPr="009B071E">
        <w:rPr>
          <w:lang w:val="fr-FR"/>
        </w:rPr>
        <w:t xml:space="preserve">tats parties ont </w:t>
      </w:r>
      <w:r w:rsidRPr="009B071E">
        <w:rPr>
          <w:lang w:val="fr-FR"/>
        </w:rPr>
        <w:t>tenu compte des commentaires de l</w:t>
      </w:r>
      <w:r w:rsidR="00521B04" w:rsidRPr="009B071E">
        <w:rPr>
          <w:lang w:val="fr-FR"/>
        </w:rPr>
        <w:t>’</w:t>
      </w:r>
      <w:r w:rsidRPr="009B071E">
        <w:rPr>
          <w:lang w:val="fr-FR"/>
        </w:rPr>
        <w:t>Organe et ont considérablement améliorés leur nouvelle soumission</w:t>
      </w:r>
      <w:r w:rsidR="00CC273C" w:rsidRPr="009B071E">
        <w:rPr>
          <w:lang w:val="fr-FR"/>
        </w:rPr>
        <w:t>.</w:t>
      </w:r>
    </w:p>
    <w:p w14:paraId="40AB7228" w14:textId="7DFE330F" w:rsidR="001D5AF5" w:rsidRPr="009B071E" w:rsidRDefault="001D5AF5" w:rsidP="002D00D9">
      <w:pPr>
        <w:pStyle w:val="COMPara"/>
        <w:numPr>
          <w:ilvl w:val="0"/>
          <w:numId w:val="7"/>
        </w:numPr>
        <w:ind w:left="567" w:hanging="567"/>
        <w:jc w:val="both"/>
        <w:rPr>
          <w:lang w:val="fr-FR"/>
        </w:rPr>
      </w:pPr>
      <w:r w:rsidRPr="009B071E">
        <w:rPr>
          <w:b/>
          <w:bCs/>
          <w:lang w:val="fr-FR"/>
        </w:rPr>
        <w:t>Utilisation de vidéos et de photos</w:t>
      </w:r>
      <w:r w:rsidRPr="009B071E">
        <w:rPr>
          <w:lang w:val="fr-FR"/>
        </w:rPr>
        <w:t>. L</w:t>
      </w:r>
      <w:r w:rsidR="00521B04" w:rsidRPr="009B071E">
        <w:rPr>
          <w:lang w:val="fr-FR"/>
        </w:rPr>
        <w:t>’</w:t>
      </w:r>
      <w:r w:rsidRPr="009B071E">
        <w:rPr>
          <w:lang w:val="fr-FR"/>
        </w:rPr>
        <w:t>Organe d</w:t>
      </w:r>
      <w:r w:rsidR="00521B04" w:rsidRPr="009B071E">
        <w:rPr>
          <w:lang w:val="fr-FR"/>
        </w:rPr>
        <w:t>’</w:t>
      </w:r>
      <w:r w:rsidRPr="009B071E">
        <w:rPr>
          <w:lang w:val="fr-FR"/>
        </w:rPr>
        <w:t>évaluation a constaté que les vidéos et les photos s</w:t>
      </w:r>
      <w:r w:rsidR="00521B04" w:rsidRPr="009B071E">
        <w:rPr>
          <w:lang w:val="fr-FR"/>
        </w:rPr>
        <w:t>’</w:t>
      </w:r>
      <w:r w:rsidRPr="009B071E">
        <w:rPr>
          <w:lang w:val="fr-FR"/>
        </w:rPr>
        <w:t>étaient avérées utiles pour clarifier les points d</w:t>
      </w:r>
      <w:r w:rsidR="00521B04" w:rsidRPr="009B071E">
        <w:rPr>
          <w:lang w:val="fr-FR"/>
        </w:rPr>
        <w:t>’</w:t>
      </w:r>
      <w:r w:rsidRPr="009B071E">
        <w:rPr>
          <w:lang w:val="fr-FR"/>
        </w:rPr>
        <w:t>ombre dans les dossiers de candidature et avaient aidé les membres à comprendre le contexte culturel et les fonctions sociales d</w:t>
      </w:r>
      <w:r w:rsidR="00521B04" w:rsidRPr="009B071E">
        <w:rPr>
          <w:lang w:val="fr-FR"/>
        </w:rPr>
        <w:t>’</w:t>
      </w:r>
      <w:r w:rsidRPr="009B071E">
        <w:rPr>
          <w:lang w:val="fr-FR"/>
        </w:rPr>
        <w:t>un élément ou à s</w:t>
      </w:r>
      <w:r w:rsidR="00521B04" w:rsidRPr="009B071E">
        <w:rPr>
          <w:lang w:val="fr-FR"/>
        </w:rPr>
        <w:t>’</w:t>
      </w:r>
      <w:r w:rsidRPr="009B071E">
        <w:rPr>
          <w:lang w:val="fr-FR"/>
        </w:rPr>
        <w:t>assurer du consentement de la communauté.</w:t>
      </w:r>
    </w:p>
    <w:p w14:paraId="3B3614AB" w14:textId="7E08040C" w:rsidR="00D00365" w:rsidRPr="009B071E" w:rsidRDefault="001210B5" w:rsidP="001F34D9">
      <w:pPr>
        <w:pStyle w:val="COMPara"/>
        <w:numPr>
          <w:ilvl w:val="0"/>
          <w:numId w:val="7"/>
        </w:numPr>
        <w:ind w:left="567" w:hanging="567"/>
        <w:jc w:val="both"/>
        <w:rPr>
          <w:lang w:val="fr-FR"/>
        </w:rPr>
      </w:pPr>
      <w:r w:rsidRPr="009B071E">
        <w:rPr>
          <w:b/>
          <w:bCs/>
          <w:lang w:val="fr-FR"/>
        </w:rPr>
        <w:lastRenderedPageBreak/>
        <w:t>Charge de travail de l</w:t>
      </w:r>
      <w:r w:rsidR="00521B04" w:rsidRPr="009B071E">
        <w:rPr>
          <w:b/>
          <w:bCs/>
          <w:lang w:val="fr-FR"/>
        </w:rPr>
        <w:t>’</w:t>
      </w:r>
      <w:r w:rsidRPr="009B071E">
        <w:rPr>
          <w:b/>
          <w:bCs/>
          <w:lang w:val="fr-FR"/>
        </w:rPr>
        <w:t>Organe d</w:t>
      </w:r>
      <w:r w:rsidR="00521B04" w:rsidRPr="009B071E">
        <w:rPr>
          <w:b/>
          <w:bCs/>
          <w:lang w:val="fr-FR"/>
        </w:rPr>
        <w:t>’</w:t>
      </w:r>
      <w:r w:rsidRPr="009B071E">
        <w:rPr>
          <w:b/>
          <w:bCs/>
          <w:lang w:val="fr-FR"/>
        </w:rPr>
        <w:t>évaluation.</w:t>
      </w:r>
      <w:r w:rsidRPr="009B071E">
        <w:rPr>
          <w:lang w:val="fr-FR"/>
        </w:rPr>
        <w:t xml:space="preserve"> L</w:t>
      </w:r>
      <w:r w:rsidR="00521B04" w:rsidRPr="009B071E">
        <w:rPr>
          <w:lang w:val="fr-FR"/>
        </w:rPr>
        <w:t>’</w:t>
      </w:r>
      <w:r w:rsidRPr="009B071E">
        <w:rPr>
          <w:lang w:val="fr-FR"/>
        </w:rPr>
        <w:t>Organe d</w:t>
      </w:r>
      <w:r w:rsidR="00521B04" w:rsidRPr="009B071E">
        <w:rPr>
          <w:lang w:val="fr-FR"/>
        </w:rPr>
        <w:t>’</w:t>
      </w:r>
      <w:r w:rsidRPr="009B071E">
        <w:rPr>
          <w:lang w:val="fr-FR"/>
        </w:rPr>
        <w:t xml:space="preserve">évaluation a évalué avec succès </w:t>
      </w:r>
      <w:r w:rsidR="008637E8" w:rsidRPr="0050051F">
        <w:rPr>
          <w:lang w:val="fr-FR"/>
        </w:rPr>
        <w:t>59</w:t>
      </w:r>
      <w:r w:rsidR="00C7095A" w:rsidRPr="0050051F">
        <w:rPr>
          <w:lang w:val="fr-FR"/>
        </w:rPr>
        <w:t> </w:t>
      </w:r>
      <w:r w:rsidRPr="0050051F">
        <w:rPr>
          <w:lang w:val="fr-FR"/>
        </w:rPr>
        <w:t xml:space="preserve">dossiers </w:t>
      </w:r>
      <w:r w:rsidR="00C7095A" w:rsidRPr="0050051F">
        <w:rPr>
          <w:lang w:val="fr-FR"/>
        </w:rPr>
        <w:t>dans</w:t>
      </w:r>
      <w:r w:rsidRPr="0050051F">
        <w:rPr>
          <w:lang w:val="fr-FR"/>
        </w:rPr>
        <w:t xml:space="preserve"> ce cycle</w:t>
      </w:r>
      <w:r w:rsidR="008637E8" w:rsidRPr="0050051F">
        <w:rPr>
          <w:lang w:val="fr-FR"/>
        </w:rPr>
        <w:t xml:space="preserve"> (dont 56 sont présentés au Comité)</w:t>
      </w:r>
      <w:r w:rsidRPr="0050051F">
        <w:rPr>
          <w:lang w:val="fr-FR"/>
        </w:rPr>
        <w:t>, grâce</w:t>
      </w:r>
      <w:r w:rsidRPr="009B071E">
        <w:rPr>
          <w:lang w:val="fr-FR"/>
        </w:rPr>
        <w:t xml:space="preserve"> au dévouement de tous les membres et au soutien du Secrétariat. Toutefois, l</w:t>
      </w:r>
      <w:r w:rsidR="00521B04" w:rsidRPr="009B071E">
        <w:rPr>
          <w:lang w:val="fr-FR"/>
        </w:rPr>
        <w:t>’</w:t>
      </w:r>
      <w:r w:rsidRPr="009B071E">
        <w:rPr>
          <w:lang w:val="fr-FR"/>
        </w:rPr>
        <w:t xml:space="preserve">Organe souligne que sa charge de travail augmentera au cours des prochains cycles, étant donné que les demandes de transferts entre les </w:t>
      </w:r>
      <w:r w:rsidR="001B2E0D" w:rsidRPr="009B071E">
        <w:rPr>
          <w:lang w:val="fr-FR"/>
        </w:rPr>
        <w:t>L</w:t>
      </w:r>
      <w:r w:rsidRPr="009B071E">
        <w:rPr>
          <w:lang w:val="fr-FR"/>
        </w:rPr>
        <w:t xml:space="preserve">istes et les inscriptions sur une base </w:t>
      </w:r>
      <w:r w:rsidR="0059639D" w:rsidRPr="009B071E">
        <w:rPr>
          <w:lang w:val="fr-FR"/>
        </w:rPr>
        <w:t xml:space="preserve">élargie </w:t>
      </w:r>
      <w:r w:rsidRPr="009B071E">
        <w:rPr>
          <w:lang w:val="fr-FR"/>
        </w:rPr>
        <w:t xml:space="preserve">ou réduite seront traitées en dehors du plafond annuel de dossiers (Décision </w:t>
      </w:r>
      <w:hyperlink r:id="rId25" w:history="1">
        <w:r w:rsidRPr="009B071E">
          <w:rPr>
            <w:rStyle w:val="Lienhypertexte"/>
            <w:lang w:val="fr-FR"/>
          </w:rPr>
          <w:t>17.COM 15</w:t>
        </w:r>
      </w:hyperlink>
      <w:r w:rsidRPr="009B071E">
        <w:rPr>
          <w:lang w:val="fr-FR"/>
        </w:rPr>
        <w:t xml:space="preserve">). </w:t>
      </w:r>
      <w:r w:rsidR="00DE475F" w:rsidRPr="009B071E">
        <w:rPr>
          <w:lang w:val="fr-FR"/>
        </w:rPr>
        <w:t>C’est pourquoi l’Organe demande qu’une attention particulière soit portée à la charge de travail qui lui sera demandée, ainsi qu’aux méthodes de travail des cycles futurs, afin de garantir une évaluation approfondie et cohérente des dossiers.</w:t>
      </w:r>
    </w:p>
    <w:p w14:paraId="3B4EEE23" w14:textId="3A12CEE0" w:rsidR="00CF3398" w:rsidRPr="009B071E" w:rsidRDefault="002D00D9" w:rsidP="00CF3398">
      <w:pPr>
        <w:pStyle w:val="COMPara"/>
        <w:numPr>
          <w:ilvl w:val="0"/>
          <w:numId w:val="0"/>
        </w:numPr>
        <w:ind w:left="360" w:hanging="360"/>
        <w:jc w:val="both"/>
        <w:rPr>
          <w:b/>
          <w:bCs/>
          <w:i/>
          <w:iCs/>
          <w:lang w:val="fr-FR"/>
        </w:rPr>
      </w:pPr>
      <w:r w:rsidRPr="009B071E">
        <w:rPr>
          <w:b/>
          <w:bCs/>
          <w:i/>
          <w:iCs/>
          <w:lang w:val="fr-FR"/>
        </w:rPr>
        <w:t>Questions transversales</w:t>
      </w:r>
    </w:p>
    <w:p w14:paraId="306639AD" w14:textId="1144980B" w:rsidR="005D55C0" w:rsidRPr="009B071E" w:rsidRDefault="007F68FE" w:rsidP="00F512F5">
      <w:pPr>
        <w:pStyle w:val="COMPara"/>
        <w:numPr>
          <w:ilvl w:val="0"/>
          <w:numId w:val="7"/>
        </w:numPr>
        <w:ind w:left="567" w:hanging="567"/>
        <w:jc w:val="both"/>
        <w:rPr>
          <w:lang w:val="fr-FR"/>
        </w:rPr>
      </w:pPr>
      <w:bookmarkStart w:id="5" w:name="_Hlk144729600"/>
      <w:r w:rsidRPr="009B071E">
        <w:rPr>
          <w:b/>
          <w:bCs/>
          <w:lang w:val="fr-FR"/>
        </w:rPr>
        <w:t>Cycle « famil</w:t>
      </w:r>
      <w:r w:rsidR="0059639D" w:rsidRPr="009B071E">
        <w:rPr>
          <w:b/>
          <w:bCs/>
          <w:lang w:val="fr-FR"/>
        </w:rPr>
        <w:t>le</w:t>
      </w:r>
      <w:r w:rsidRPr="009B071E">
        <w:rPr>
          <w:b/>
          <w:bCs/>
          <w:lang w:val="fr-FR"/>
        </w:rPr>
        <w:t> »</w:t>
      </w:r>
      <w:r w:rsidRPr="009B071E">
        <w:rPr>
          <w:lang w:val="fr-FR"/>
        </w:rPr>
        <w:t>. Afin de mieux comprendre les liens thématiques entre les éléments proposés dans ce cycle, le Secrétariat a entrepris un exercice d</w:t>
      </w:r>
      <w:r w:rsidR="00521B04" w:rsidRPr="009B071E">
        <w:rPr>
          <w:lang w:val="fr-FR"/>
        </w:rPr>
        <w:t>’</w:t>
      </w:r>
      <w:r w:rsidRPr="009B071E">
        <w:rPr>
          <w:lang w:val="fr-FR"/>
        </w:rPr>
        <w:t xml:space="preserve">indexation des </w:t>
      </w:r>
      <w:r w:rsidR="00066ECD" w:rsidRPr="009B071E">
        <w:rPr>
          <w:lang w:val="fr-FR"/>
        </w:rPr>
        <w:t>candidatures</w:t>
      </w:r>
      <w:r w:rsidRPr="009B071E">
        <w:rPr>
          <w:lang w:val="fr-FR"/>
        </w:rPr>
        <w:t xml:space="preserve"> soumises dans le cadre du cycle de cette année (à l</w:t>
      </w:r>
      <w:r w:rsidR="00521B04" w:rsidRPr="009B071E">
        <w:rPr>
          <w:lang w:val="fr-FR"/>
        </w:rPr>
        <w:t>’</w:t>
      </w:r>
      <w:r w:rsidRPr="009B071E">
        <w:rPr>
          <w:lang w:val="fr-FR"/>
        </w:rPr>
        <w:t>exception des demandes d</w:t>
      </w:r>
      <w:r w:rsidR="00521B04" w:rsidRPr="009B071E">
        <w:rPr>
          <w:lang w:val="fr-FR"/>
        </w:rPr>
        <w:t>’</w:t>
      </w:r>
      <w:r w:rsidRPr="009B071E">
        <w:rPr>
          <w:lang w:val="fr-FR"/>
        </w:rPr>
        <w:t>assistance internationale</w:t>
      </w:r>
      <w:r w:rsidR="0059639D" w:rsidRPr="009B071E">
        <w:rPr>
          <w:lang w:val="fr-FR"/>
        </w:rPr>
        <w:t xml:space="preserve"> « autonomes »</w:t>
      </w:r>
      <w:r w:rsidRPr="009B071E">
        <w:rPr>
          <w:lang w:val="fr-FR"/>
        </w:rPr>
        <w:t>). L</w:t>
      </w:r>
      <w:r w:rsidR="00521B04" w:rsidRPr="009B071E">
        <w:rPr>
          <w:lang w:val="fr-FR"/>
        </w:rPr>
        <w:t>’</w:t>
      </w:r>
      <w:r w:rsidRPr="009B071E">
        <w:rPr>
          <w:lang w:val="fr-FR"/>
        </w:rPr>
        <w:t xml:space="preserve">exercice, qui relie des éléments </w:t>
      </w:r>
      <w:r w:rsidR="00066ECD" w:rsidRPr="009B071E">
        <w:rPr>
          <w:lang w:val="fr-FR"/>
        </w:rPr>
        <w:t>aux</w:t>
      </w:r>
      <w:r w:rsidRPr="009B071E">
        <w:rPr>
          <w:lang w:val="fr-FR"/>
        </w:rPr>
        <w:t xml:space="preserve"> concepts présentés sur </w:t>
      </w:r>
      <w:r w:rsidR="00066ECD" w:rsidRPr="009B071E">
        <w:rPr>
          <w:lang w:val="fr-FR"/>
        </w:rPr>
        <w:t>l’interface</w:t>
      </w:r>
      <w:r w:rsidRPr="009B071E">
        <w:rPr>
          <w:lang w:val="fr-FR"/>
        </w:rPr>
        <w:t xml:space="preserve"> </w:t>
      </w:r>
      <w:hyperlink r:id="rId26" w:history="1">
        <w:r w:rsidRPr="009B071E">
          <w:rPr>
            <w:rStyle w:val="Lienhypertexte"/>
            <w:lang w:val="fr-FR"/>
          </w:rPr>
          <w:t>Plongez dans le patrimoine vivant</w:t>
        </w:r>
      </w:hyperlink>
      <w:r w:rsidRPr="009B071E">
        <w:rPr>
          <w:lang w:val="fr-FR"/>
        </w:rPr>
        <w:t>, a révélé que le thème dominant de tous les éléments proposés pourrait conduire à caractériser les candidatures de cette année comme un cycle</w:t>
      </w:r>
      <w:r w:rsidR="0059639D" w:rsidRPr="009B071E">
        <w:rPr>
          <w:lang w:val="fr-FR"/>
        </w:rPr>
        <w:t xml:space="preserve"> </w:t>
      </w:r>
      <w:r w:rsidRPr="009B071E">
        <w:rPr>
          <w:lang w:val="fr-FR"/>
        </w:rPr>
        <w:t>« famill</w:t>
      </w:r>
      <w:r w:rsidR="0059639D" w:rsidRPr="009B071E">
        <w:rPr>
          <w:lang w:val="fr-FR"/>
        </w:rPr>
        <w:t>e</w:t>
      </w:r>
      <w:r w:rsidRPr="009B071E">
        <w:rPr>
          <w:lang w:val="fr-FR"/>
        </w:rPr>
        <w:t xml:space="preserve"> », avec un accent particulier sur le rôle des femmes dans la sauvegarde et la transmission des pratiques du patrimoine vivant dans des </w:t>
      </w:r>
      <w:r w:rsidR="00066ECD" w:rsidRPr="009B071E">
        <w:rPr>
          <w:lang w:val="fr-FR"/>
        </w:rPr>
        <w:t xml:space="preserve">contextes </w:t>
      </w:r>
      <w:r w:rsidRPr="009B071E">
        <w:rPr>
          <w:lang w:val="fr-FR"/>
        </w:rPr>
        <w:t xml:space="preserve">non formels et dans la vie </w:t>
      </w:r>
      <w:r w:rsidR="00066ECD" w:rsidRPr="009B071E">
        <w:rPr>
          <w:lang w:val="fr-FR"/>
        </w:rPr>
        <w:t>de tous les jours</w:t>
      </w:r>
      <w:r w:rsidRPr="009B071E">
        <w:rPr>
          <w:lang w:val="fr-FR"/>
        </w:rPr>
        <w:t>. Cela renforce l</w:t>
      </w:r>
      <w:r w:rsidR="00521B04" w:rsidRPr="009B071E">
        <w:rPr>
          <w:lang w:val="fr-FR"/>
        </w:rPr>
        <w:t>’</w:t>
      </w:r>
      <w:r w:rsidRPr="009B071E">
        <w:rPr>
          <w:lang w:val="fr-FR"/>
        </w:rPr>
        <w:t xml:space="preserve">idée que le patrimoine vivant peut servir de vecteur pour rassembler les </w:t>
      </w:r>
      <w:r w:rsidR="00066ECD" w:rsidRPr="009B071E">
        <w:rPr>
          <w:lang w:val="fr-FR"/>
        </w:rPr>
        <w:t>différentes communautés</w:t>
      </w:r>
      <w:r w:rsidRPr="009B071E">
        <w:rPr>
          <w:lang w:val="fr-FR"/>
        </w:rPr>
        <w:t xml:space="preserve">, renforcer les liens </w:t>
      </w:r>
      <w:r w:rsidR="000F2CD7" w:rsidRPr="009B071E">
        <w:rPr>
          <w:lang w:val="fr-FR"/>
        </w:rPr>
        <w:t xml:space="preserve">en </w:t>
      </w:r>
      <w:r w:rsidR="00066ECD" w:rsidRPr="009B071E">
        <w:rPr>
          <w:lang w:val="fr-FR"/>
        </w:rPr>
        <w:t xml:space="preserve">leur </w:t>
      </w:r>
      <w:r w:rsidRPr="009B071E">
        <w:rPr>
          <w:lang w:val="fr-FR"/>
        </w:rPr>
        <w:t>sein et entre elles et, par essence, représenter l</w:t>
      </w:r>
      <w:r w:rsidR="00521B04" w:rsidRPr="009B071E">
        <w:rPr>
          <w:lang w:val="fr-FR"/>
        </w:rPr>
        <w:t>’</w:t>
      </w:r>
      <w:r w:rsidRPr="009B071E">
        <w:rPr>
          <w:lang w:val="fr-FR"/>
        </w:rPr>
        <w:t>humanité commune qui est partagée entre les cultures. En outre, nombre d</w:t>
      </w:r>
      <w:r w:rsidR="00521B04" w:rsidRPr="009B071E">
        <w:rPr>
          <w:lang w:val="fr-FR"/>
        </w:rPr>
        <w:t>’</w:t>
      </w:r>
      <w:r w:rsidRPr="009B071E">
        <w:rPr>
          <w:lang w:val="fr-FR"/>
        </w:rPr>
        <w:t xml:space="preserve">entre eux sont liés à la création et à la transmission de pratiques liées à la production artisanale, </w:t>
      </w:r>
      <w:r w:rsidR="00066ECD" w:rsidRPr="009B071E">
        <w:rPr>
          <w:lang w:val="fr-FR"/>
        </w:rPr>
        <w:t>toujours</w:t>
      </w:r>
      <w:r w:rsidRPr="009B071E">
        <w:rPr>
          <w:lang w:val="fr-FR"/>
        </w:rPr>
        <w:t xml:space="preserve"> dans un cadre familial. Un bref résumé de l</w:t>
      </w:r>
      <w:r w:rsidR="00521B04" w:rsidRPr="009B071E">
        <w:rPr>
          <w:lang w:val="fr-FR"/>
        </w:rPr>
        <w:t>’</w:t>
      </w:r>
      <w:r w:rsidRPr="009B071E">
        <w:rPr>
          <w:lang w:val="fr-FR"/>
        </w:rPr>
        <w:t>exercice d</w:t>
      </w:r>
      <w:r w:rsidR="00521B04" w:rsidRPr="009B071E">
        <w:rPr>
          <w:lang w:val="fr-FR"/>
        </w:rPr>
        <w:t>’</w:t>
      </w:r>
      <w:r w:rsidRPr="009B071E">
        <w:rPr>
          <w:lang w:val="fr-FR"/>
        </w:rPr>
        <w:t>indexation est présenté ci-dessous.</w:t>
      </w:r>
    </w:p>
    <w:bookmarkEnd w:id="5"/>
    <w:tbl>
      <w:tblPr>
        <w:tblStyle w:val="Grilledutableau"/>
        <w:tblW w:w="6941" w:type="dxa"/>
        <w:jc w:val="center"/>
        <w:tblLook w:val="04A0" w:firstRow="1" w:lastRow="0" w:firstColumn="1" w:lastColumn="0" w:noHBand="0" w:noVBand="1"/>
      </w:tblPr>
      <w:tblGrid>
        <w:gridCol w:w="2598"/>
        <w:gridCol w:w="2185"/>
        <w:gridCol w:w="2158"/>
      </w:tblGrid>
      <w:tr w:rsidR="00600661" w:rsidRPr="00620E80" w14:paraId="498825E5" w14:textId="77777777" w:rsidTr="00B15040">
        <w:trPr>
          <w:jc w:val="center"/>
        </w:trPr>
        <w:tc>
          <w:tcPr>
            <w:tcW w:w="2598" w:type="dxa"/>
          </w:tcPr>
          <w:p w14:paraId="27EC473E" w14:textId="77777777" w:rsidR="00600661" w:rsidRPr="009B071E" w:rsidRDefault="00600661" w:rsidP="00B15040">
            <w:pPr>
              <w:pStyle w:val="COMPara"/>
              <w:numPr>
                <w:ilvl w:val="0"/>
                <w:numId w:val="0"/>
              </w:numPr>
              <w:jc w:val="both"/>
              <w:rPr>
                <w:lang w:val="fr-FR"/>
              </w:rPr>
            </w:pPr>
          </w:p>
        </w:tc>
        <w:tc>
          <w:tcPr>
            <w:tcW w:w="2185" w:type="dxa"/>
            <w:vAlign w:val="center"/>
          </w:tcPr>
          <w:p w14:paraId="2E75EF5D" w14:textId="5FCC7405" w:rsidR="00600661" w:rsidRPr="009B071E" w:rsidRDefault="00694F48" w:rsidP="00B15040">
            <w:pPr>
              <w:pStyle w:val="COMPara"/>
              <w:numPr>
                <w:ilvl w:val="0"/>
                <w:numId w:val="0"/>
              </w:numPr>
              <w:spacing w:before="120"/>
              <w:jc w:val="center"/>
              <w:rPr>
                <w:b/>
                <w:lang w:val="fr-FR"/>
              </w:rPr>
            </w:pPr>
            <w:r w:rsidRPr="009B071E">
              <w:rPr>
                <w:b/>
                <w:bCs/>
                <w:lang w:val="fr-FR"/>
              </w:rPr>
              <w:t>Nombre de dossiers indexés</w:t>
            </w:r>
          </w:p>
        </w:tc>
        <w:tc>
          <w:tcPr>
            <w:tcW w:w="2158" w:type="dxa"/>
            <w:vAlign w:val="center"/>
          </w:tcPr>
          <w:p w14:paraId="7D6C9474" w14:textId="0CB9C69B" w:rsidR="00600661" w:rsidRPr="009B071E" w:rsidRDefault="00600661" w:rsidP="00B15040">
            <w:pPr>
              <w:pStyle w:val="COMPara"/>
              <w:numPr>
                <w:ilvl w:val="0"/>
                <w:numId w:val="0"/>
              </w:numPr>
              <w:spacing w:before="120"/>
              <w:jc w:val="center"/>
              <w:rPr>
                <w:b/>
                <w:lang w:val="fr-FR"/>
              </w:rPr>
            </w:pPr>
            <w:r w:rsidRPr="009B071E">
              <w:rPr>
                <w:b/>
                <w:bCs/>
                <w:lang w:val="fr-FR"/>
              </w:rPr>
              <w:t>Pourcentage du total des dossiers</w:t>
            </w:r>
          </w:p>
        </w:tc>
      </w:tr>
      <w:tr w:rsidR="00600661" w:rsidRPr="009B071E" w14:paraId="02704889" w14:textId="77777777" w:rsidTr="00B15040">
        <w:trPr>
          <w:jc w:val="center"/>
        </w:trPr>
        <w:tc>
          <w:tcPr>
            <w:tcW w:w="2598" w:type="dxa"/>
          </w:tcPr>
          <w:p w14:paraId="0722907F" w14:textId="3BFEF957" w:rsidR="00600661" w:rsidRPr="009B071E" w:rsidRDefault="00694F48" w:rsidP="00B15040">
            <w:pPr>
              <w:pStyle w:val="COMPara"/>
              <w:numPr>
                <w:ilvl w:val="0"/>
                <w:numId w:val="0"/>
              </w:numPr>
              <w:rPr>
                <w:b/>
                <w:lang w:val="fr-FR"/>
              </w:rPr>
            </w:pPr>
            <w:r w:rsidRPr="009B071E">
              <w:rPr>
                <w:b/>
                <w:bCs/>
                <w:lang w:val="fr-FR"/>
              </w:rPr>
              <w:t xml:space="preserve">Dossiers indexés </w:t>
            </w:r>
            <w:r w:rsidR="0059639D" w:rsidRPr="009B071E">
              <w:rPr>
                <w:b/>
                <w:bCs/>
                <w:lang w:val="fr-FR"/>
              </w:rPr>
              <w:t xml:space="preserve">avec le terme </w:t>
            </w:r>
            <w:r w:rsidRPr="009B071E">
              <w:rPr>
                <w:b/>
                <w:bCs/>
                <w:lang w:val="fr-FR"/>
              </w:rPr>
              <w:t>« famille »</w:t>
            </w:r>
          </w:p>
        </w:tc>
        <w:tc>
          <w:tcPr>
            <w:tcW w:w="2185" w:type="dxa"/>
            <w:vAlign w:val="center"/>
          </w:tcPr>
          <w:p w14:paraId="540E047E" w14:textId="19AA4601" w:rsidR="00600661" w:rsidRPr="009B071E" w:rsidRDefault="00694F48" w:rsidP="00B15040">
            <w:pPr>
              <w:pStyle w:val="COMPara"/>
              <w:numPr>
                <w:ilvl w:val="0"/>
                <w:numId w:val="0"/>
              </w:numPr>
              <w:jc w:val="center"/>
              <w:rPr>
                <w:lang w:val="fr-FR"/>
              </w:rPr>
            </w:pPr>
            <w:r w:rsidRPr="009B071E">
              <w:rPr>
                <w:lang w:val="fr-FR"/>
              </w:rPr>
              <w:t>3</w:t>
            </w:r>
            <w:r w:rsidR="0081120F" w:rsidRPr="009B071E">
              <w:rPr>
                <w:lang w:val="fr-FR"/>
              </w:rPr>
              <w:t>1</w:t>
            </w:r>
          </w:p>
        </w:tc>
        <w:tc>
          <w:tcPr>
            <w:tcW w:w="2158" w:type="dxa"/>
            <w:vAlign w:val="center"/>
          </w:tcPr>
          <w:p w14:paraId="38CF43FE" w14:textId="17E45076" w:rsidR="00600661" w:rsidRPr="009B071E" w:rsidRDefault="00694F48" w:rsidP="00B15040">
            <w:pPr>
              <w:pStyle w:val="COMPara"/>
              <w:numPr>
                <w:ilvl w:val="0"/>
                <w:numId w:val="0"/>
              </w:numPr>
              <w:jc w:val="center"/>
              <w:rPr>
                <w:lang w:val="fr-FR"/>
              </w:rPr>
            </w:pPr>
            <w:r w:rsidRPr="009B071E">
              <w:rPr>
                <w:lang w:val="fr-FR"/>
              </w:rPr>
              <w:t>5</w:t>
            </w:r>
            <w:r w:rsidR="00B51C17">
              <w:rPr>
                <w:lang w:val="fr-FR"/>
              </w:rPr>
              <w:t>6</w:t>
            </w:r>
            <w:r w:rsidRPr="009B071E">
              <w:rPr>
                <w:lang w:val="fr-FR"/>
              </w:rPr>
              <w:t> %</w:t>
            </w:r>
          </w:p>
        </w:tc>
      </w:tr>
      <w:tr w:rsidR="004C7777" w:rsidRPr="009B071E" w14:paraId="0AC0BC6A" w14:textId="77777777" w:rsidTr="00B15040">
        <w:trPr>
          <w:jc w:val="center"/>
        </w:trPr>
        <w:tc>
          <w:tcPr>
            <w:tcW w:w="2598" w:type="dxa"/>
          </w:tcPr>
          <w:p w14:paraId="5947D1FC" w14:textId="3FB04590" w:rsidR="004C7777" w:rsidRPr="009B071E" w:rsidRDefault="004C7777" w:rsidP="00B15040">
            <w:pPr>
              <w:pStyle w:val="COMPara"/>
              <w:numPr>
                <w:ilvl w:val="0"/>
                <w:numId w:val="0"/>
              </w:numPr>
              <w:rPr>
                <w:b/>
                <w:lang w:val="fr-FR"/>
              </w:rPr>
            </w:pPr>
            <w:r w:rsidRPr="009B071E">
              <w:rPr>
                <w:b/>
                <w:bCs/>
                <w:lang w:val="fr-FR"/>
              </w:rPr>
              <w:t xml:space="preserve">Dossiers indexés </w:t>
            </w:r>
            <w:r w:rsidR="0059639D" w:rsidRPr="009B071E">
              <w:rPr>
                <w:b/>
                <w:bCs/>
                <w:lang w:val="fr-FR"/>
              </w:rPr>
              <w:t>avec les termes</w:t>
            </w:r>
            <w:r w:rsidRPr="009B071E">
              <w:rPr>
                <w:b/>
                <w:bCs/>
                <w:lang w:val="fr-FR"/>
              </w:rPr>
              <w:t xml:space="preserve"> « artisanat et créativité »</w:t>
            </w:r>
          </w:p>
        </w:tc>
        <w:tc>
          <w:tcPr>
            <w:tcW w:w="2185" w:type="dxa"/>
            <w:vAlign w:val="center"/>
          </w:tcPr>
          <w:p w14:paraId="334F9E65" w14:textId="068366B5" w:rsidR="004C7777" w:rsidRPr="009B071E" w:rsidRDefault="004C7777" w:rsidP="00B15040">
            <w:pPr>
              <w:pStyle w:val="COMPara"/>
              <w:numPr>
                <w:ilvl w:val="0"/>
                <w:numId w:val="0"/>
              </w:numPr>
              <w:jc w:val="center"/>
              <w:rPr>
                <w:bCs/>
                <w:lang w:val="fr-FR"/>
              </w:rPr>
            </w:pPr>
            <w:r w:rsidRPr="009B071E">
              <w:rPr>
                <w:lang w:val="fr-FR"/>
              </w:rPr>
              <w:t>30</w:t>
            </w:r>
          </w:p>
        </w:tc>
        <w:tc>
          <w:tcPr>
            <w:tcW w:w="2158" w:type="dxa"/>
            <w:vAlign w:val="center"/>
          </w:tcPr>
          <w:p w14:paraId="107C471C" w14:textId="2CEF8EAB" w:rsidR="004C7777" w:rsidRPr="009B071E" w:rsidRDefault="004C7777" w:rsidP="00B15040">
            <w:pPr>
              <w:pStyle w:val="COMPara"/>
              <w:numPr>
                <w:ilvl w:val="0"/>
                <w:numId w:val="0"/>
              </w:numPr>
              <w:jc w:val="center"/>
              <w:rPr>
                <w:lang w:val="fr-FR"/>
              </w:rPr>
            </w:pPr>
            <w:r w:rsidRPr="009B071E">
              <w:rPr>
                <w:lang w:val="fr-FR"/>
              </w:rPr>
              <w:t>5</w:t>
            </w:r>
            <w:r w:rsidR="00B51C17">
              <w:rPr>
                <w:lang w:val="fr-FR"/>
              </w:rPr>
              <w:t>4</w:t>
            </w:r>
            <w:r w:rsidRPr="009B071E">
              <w:rPr>
                <w:lang w:val="fr-FR"/>
              </w:rPr>
              <w:t> %</w:t>
            </w:r>
          </w:p>
        </w:tc>
      </w:tr>
      <w:tr w:rsidR="00600661" w:rsidRPr="009B071E" w14:paraId="45F1E45A" w14:textId="77777777" w:rsidTr="00B15040">
        <w:trPr>
          <w:jc w:val="center"/>
        </w:trPr>
        <w:tc>
          <w:tcPr>
            <w:tcW w:w="2598" w:type="dxa"/>
          </w:tcPr>
          <w:p w14:paraId="289B5A68" w14:textId="68697FAD" w:rsidR="00600661" w:rsidRPr="009B071E" w:rsidRDefault="00694F48" w:rsidP="00B15040">
            <w:pPr>
              <w:pStyle w:val="COMPara"/>
              <w:numPr>
                <w:ilvl w:val="0"/>
                <w:numId w:val="0"/>
              </w:numPr>
              <w:rPr>
                <w:b/>
                <w:lang w:val="fr-FR"/>
              </w:rPr>
            </w:pPr>
            <w:r w:rsidRPr="009B071E">
              <w:rPr>
                <w:b/>
                <w:bCs/>
                <w:lang w:val="fr-FR"/>
              </w:rPr>
              <w:t xml:space="preserve">Dossiers indexés </w:t>
            </w:r>
            <w:r w:rsidR="0059639D" w:rsidRPr="009B071E">
              <w:rPr>
                <w:b/>
                <w:bCs/>
                <w:lang w:val="fr-FR"/>
              </w:rPr>
              <w:t>avec le terme</w:t>
            </w:r>
            <w:r w:rsidRPr="009B071E">
              <w:rPr>
                <w:b/>
                <w:bCs/>
                <w:lang w:val="fr-FR"/>
              </w:rPr>
              <w:t xml:space="preserve"> « femmes »</w:t>
            </w:r>
          </w:p>
        </w:tc>
        <w:tc>
          <w:tcPr>
            <w:tcW w:w="2185" w:type="dxa"/>
            <w:vAlign w:val="center"/>
          </w:tcPr>
          <w:p w14:paraId="6AE808D2" w14:textId="3C521904" w:rsidR="00600661" w:rsidRPr="009B071E" w:rsidRDefault="00694F48" w:rsidP="00B15040">
            <w:pPr>
              <w:pStyle w:val="COMPara"/>
              <w:numPr>
                <w:ilvl w:val="0"/>
                <w:numId w:val="0"/>
              </w:numPr>
              <w:jc w:val="center"/>
              <w:rPr>
                <w:bCs/>
                <w:lang w:val="fr-FR"/>
              </w:rPr>
            </w:pPr>
            <w:r w:rsidRPr="009B071E">
              <w:rPr>
                <w:lang w:val="fr-FR"/>
              </w:rPr>
              <w:t>14</w:t>
            </w:r>
          </w:p>
        </w:tc>
        <w:tc>
          <w:tcPr>
            <w:tcW w:w="2158" w:type="dxa"/>
            <w:vAlign w:val="center"/>
          </w:tcPr>
          <w:p w14:paraId="62A7443E" w14:textId="008A1CFB" w:rsidR="00600661" w:rsidRPr="009B071E" w:rsidRDefault="00694F48" w:rsidP="00B15040">
            <w:pPr>
              <w:pStyle w:val="COMPara"/>
              <w:numPr>
                <w:ilvl w:val="0"/>
                <w:numId w:val="0"/>
              </w:numPr>
              <w:jc w:val="center"/>
              <w:rPr>
                <w:lang w:val="fr-FR"/>
              </w:rPr>
            </w:pPr>
            <w:r w:rsidRPr="009B071E">
              <w:rPr>
                <w:lang w:val="fr-FR"/>
              </w:rPr>
              <w:t>2</w:t>
            </w:r>
            <w:r w:rsidR="0081120F" w:rsidRPr="009B071E">
              <w:rPr>
                <w:lang w:val="fr-FR"/>
              </w:rPr>
              <w:t>5</w:t>
            </w:r>
            <w:r w:rsidRPr="009B071E">
              <w:rPr>
                <w:lang w:val="fr-FR"/>
              </w:rPr>
              <w:t> %</w:t>
            </w:r>
          </w:p>
        </w:tc>
      </w:tr>
    </w:tbl>
    <w:p w14:paraId="56C0901F" w14:textId="4D8682A7" w:rsidR="00F512F5" w:rsidRPr="009B071E" w:rsidRDefault="00F512F5" w:rsidP="00600661">
      <w:pPr>
        <w:pStyle w:val="COMPara"/>
        <w:numPr>
          <w:ilvl w:val="0"/>
          <w:numId w:val="7"/>
        </w:numPr>
        <w:spacing w:before="120"/>
        <w:ind w:left="567" w:hanging="567"/>
        <w:jc w:val="both"/>
        <w:rPr>
          <w:lang w:val="fr-FR"/>
        </w:rPr>
      </w:pPr>
      <w:r w:rsidRPr="009B071E">
        <w:rPr>
          <w:b/>
          <w:bCs/>
          <w:lang w:val="fr-FR"/>
        </w:rPr>
        <w:t>Patrimoine culturel immatériel et moyens de subsistance.</w:t>
      </w:r>
      <w:r w:rsidRPr="009B071E">
        <w:rPr>
          <w:lang w:val="fr-FR"/>
        </w:rPr>
        <w:t xml:space="preserve"> Comme le notent les rapports de l</w:t>
      </w:r>
      <w:r w:rsidR="00521B04" w:rsidRPr="009B071E">
        <w:rPr>
          <w:lang w:val="fr-FR"/>
        </w:rPr>
        <w:t>’</w:t>
      </w:r>
      <w:r w:rsidRPr="009B071E">
        <w:rPr>
          <w:lang w:val="fr-FR"/>
        </w:rPr>
        <w:t>Organe d</w:t>
      </w:r>
      <w:r w:rsidR="00521B04" w:rsidRPr="009B071E">
        <w:rPr>
          <w:lang w:val="fr-FR"/>
        </w:rPr>
        <w:t>’</w:t>
      </w:r>
      <w:r w:rsidRPr="009B071E">
        <w:rPr>
          <w:lang w:val="fr-FR"/>
        </w:rPr>
        <w:t>évaluation des cycles d</w:t>
      </w:r>
      <w:r w:rsidR="00521B04" w:rsidRPr="009B071E">
        <w:rPr>
          <w:lang w:val="fr-FR"/>
        </w:rPr>
        <w:t>’</w:t>
      </w:r>
      <w:r w:rsidRPr="009B071E">
        <w:rPr>
          <w:lang w:val="fr-FR"/>
        </w:rPr>
        <w:t>évaluation précédents, les éléments du patrimoine culturel immatériel peuvent être directement liés à des activités économiques, soit en tant que partie d</w:t>
      </w:r>
      <w:r w:rsidR="00521B04" w:rsidRPr="009B071E">
        <w:rPr>
          <w:lang w:val="fr-FR"/>
        </w:rPr>
        <w:t>’</w:t>
      </w:r>
      <w:r w:rsidRPr="009B071E">
        <w:rPr>
          <w:lang w:val="fr-FR"/>
        </w:rPr>
        <w:t>une chaîne de production, dans le cas de l</w:t>
      </w:r>
      <w:r w:rsidR="00521B04" w:rsidRPr="009B071E">
        <w:rPr>
          <w:lang w:val="fr-FR"/>
        </w:rPr>
        <w:t>’</w:t>
      </w:r>
      <w:r w:rsidRPr="009B071E">
        <w:rPr>
          <w:lang w:val="fr-FR"/>
        </w:rPr>
        <w:t>artisanat, ou des habitudes</w:t>
      </w:r>
      <w:r w:rsidR="005034DD" w:rsidRPr="009B071E">
        <w:rPr>
          <w:lang w:val="fr-FR"/>
        </w:rPr>
        <w:t xml:space="preserve"> et pratiques</w:t>
      </w:r>
      <w:r w:rsidRPr="009B071E">
        <w:rPr>
          <w:lang w:val="fr-FR"/>
        </w:rPr>
        <w:t xml:space="preserve"> alimentaires, soit en tant qu</w:t>
      </w:r>
      <w:r w:rsidR="00521B04" w:rsidRPr="009B071E">
        <w:rPr>
          <w:lang w:val="fr-FR"/>
        </w:rPr>
        <w:t>’</w:t>
      </w:r>
      <w:r w:rsidRPr="009B071E">
        <w:rPr>
          <w:lang w:val="fr-FR"/>
        </w:rPr>
        <w:t xml:space="preserve">attraction touristique, spectacle ou autre source de revenus pour les communautés concernées. </w:t>
      </w:r>
      <w:r w:rsidR="002222B9" w:rsidRPr="009B071E">
        <w:rPr>
          <w:lang w:val="fr-FR"/>
        </w:rPr>
        <w:t xml:space="preserve">Dans ce contexte, l’Organe a noté que certains États avaient élaboré de manière proactive des mesures favorisant certains aspects des moyens de subsistance. </w:t>
      </w:r>
      <w:r w:rsidRPr="009B071E">
        <w:rPr>
          <w:lang w:val="fr-FR"/>
        </w:rPr>
        <w:t>L</w:t>
      </w:r>
      <w:r w:rsidR="00521B04" w:rsidRPr="009B071E">
        <w:rPr>
          <w:lang w:val="fr-FR"/>
        </w:rPr>
        <w:t>’</w:t>
      </w:r>
      <w:r w:rsidRPr="009B071E">
        <w:rPr>
          <w:lang w:val="fr-FR"/>
        </w:rPr>
        <w:t>Organe d</w:t>
      </w:r>
      <w:r w:rsidR="00521B04" w:rsidRPr="009B071E">
        <w:rPr>
          <w:lang w:val="fr-FR"/>
        </w:rPr>
        <w:t>’</w:t>
      </w:r>
      <w:r w:rsidRPr="009B071E">
        <w:rPr>
          <w:lang w:val="fr-FR"/>
        </w:rPr>
        <w:t>évaluation reconnaît cette réalité et considère que ce lien n</w:t>
      </w:r>
      <w:r w:rsidR="00521B04" w:rsidRPr="009B071E">
        <w:rPr>
          <w:lang w:val="fr-FR"/>
        </w:rPr>
        <w:t>’</w:t>
      </w:r>
      <w:r w:rsidRPr="009B071E">
        <w:rPr>
          <w:lang w:val="fr-FR"/>
        </w:rPr>
        <w:t>est pas strictement interprété comme étant préjudiciable à la viabilité des éléments proposés. Toutefois, il est rappelé aux États parties que l</w:t>
      </w:r>
      <w:r w:rsidR="00521B04" w:rsidRPr="009B071E">
        <w:rPr>
          <w:lang w:val="fr-FR"/>
        </w:rPr>
        <w:t>’</w:t>
      </w:r>
      <w:r w:rsidRPr="009B071E">
        <w:rPr>
          <w:lang w:val="fr-FR"/>
        </w:rPr>
        <w:t>objectif premier de la candidature d</w:t>
      </w:r>
      <w:r w:rsidR="00521B04" w:rsidRPr="009B071E">
        <w:rPr>
          <w:lang w:val="fr-FR"/>
        </w:rPr>
        <w:t>’</w:t>
      </w:r>
      <w:r w:rsidRPr="009B071E">
        <w:rPr>
          <w:lang w:val="fr-FR"/>
        </w:rPr>
        <w:t xml:space="preserve">un élément est la sauvegarde de ses fonctions et contextes sociaux et culturels. Cet aspect </w:t>
      </w:r>
      <w:r w:rsidR="002222B9" w:rsidRPr="009B071E">
        <w:rPr>
          <w:lang w:val="fr-FR"/>
        </w:rPr>
        <w:t xml:space="preserve">doit </w:t>
      </w:r>
      <w:r w:rsidRPr="009B071E">
        <w:rPr>
          <w:lang w:val="fr-FR"/>
        </w:rPr>
        <w:t>constituer la description centrale du dossier soumis. De même, lorsque des éléments sont liés au tourisme, les États parties doivent identifier des mesures ou des plans qui atténuent les conséquences involontaires qui peuvent découler de l</w:t>
      </w:r>
      <w:r w:rsidR="00521B04" w:rsidRPr="009B071E">
        <w:rPr>
          <w:lang w:val="fr-FR"/>
        </w:rPr>
        <w:t>’</w:t>
      </w:r>
      <w:r w:rsidRPr="009B071E">
        <w:rPr>
          <w:lang w:val="fr-FR"/>
        </w:rPr>
        <w:t>inscription. L</w:t>
      </w:r>
      <w:r w:rsidR="00521B04" w:rsidRPr="009B071E">
        <w:rPr>
          <w:lang w:val="fr-FR"/>
        </w:rPr>
        <w:t>’</w:t>
      </w:r>
      <w:r w:rsidRPr="009B071E">
        <w:rPr>
          <w:lang w:val="fr-FR"/>
        </w:rPr>
        <w:t>Organe d</w:t>
      </w:r>
      <w:r w:rsidR="00521B04" w:rsidRPr="009B071E">
        <w:rPr>
          <w:lang w:val="fr-FR"/>
        </w:rPr>
        <w:t>’</w:t>
      </w:r>
      <w:r w:rsidRPr="009B071E">
        <w:rPr>
          <w:lang w:val="fr-FR"/>
        </w:rPr>
        <w:t>évaluation note avec satisfaction que le Secrétariat a organisé une réunion d</w:t>
      </w:r>
      <w:r w:rsidR="00521B04" w:rsidRPr="009B071E">
        <w:rPr>
          <w:lang w:val="fr-FR"/>
        </w:rPr>
        <w:t>’</w:t>
      </w:r>
      <w:r w:rsidRPr="009B071E">
        <w:rPr>
          <w:lang w:val="fr-FR"/>
        </w:rPr>
        <w:t xml:space="preserve">experts sur les dimensions économiques de la sauvegarde du patrimoine culturel immatériel en septembre et octobre 2023. Comme présenté à la dix-huitième session du Comité (document </w:t>
      </w:r>
      <w:hyperlink r:id="rId27" w:history="1">
        <w:r w:rsidRPr="009B071E">
          <w:rPr>
            <w:rStyle w:val="Lienhypertexte"/>
            <w:lang w:val="fr-FR"/>
          </w:rPr>
          <w:t>LHE/23/18.COM/12</w:t>
        </w:r>
      </w:hyperlink>
      <w:r w:rsidRPr="009B071E">
        <w:rPr>
          <w:lang w:val="fr-FR"/>
        </w:rPr>
        <w:t xml:space="preserve">), les recommandations des experts ont </w:t>
      </w:r>
      <w:r w:rsidR="005034DD" w:rsidRPr="009B071E">
        <w:rPr>
          <w:lang w:val="fr-FR"/>
        </w:rPr>
        <w:t>établi</w:t>
      </w:r>
      <w:r w:rsidR="0059639D" w:rsidRPr="009B071E">
        <w:rPr>
          <w:lang w:val="fr-FR"/>
        </w:rPr>
        <w:t>t</w:t>
      </w:r>
      <w:r w:rsidRPr="009B071E">
        <w:rPr>
          <w:lang w:val="fr-FR"/>
        </w:rPr>
        <w:t xml:space="preserve"> les bases de la préparation de notes d</w:t>
      </w:r>
      <w:r w:rsidR="00521B04" w:rsidRPr="009B071E">
        <w:rPr>
          <w:lang w:val="fr-FR"/>
        </w:rPr>
        <w:t>’</w:t>
      </w:r>
      <w:r w:rsidRPr="009B071E">
        <w:rPr>
          <w:lang w:val="fr-FR"/>
        </w:rPr>
        <w:t>orientation sur ce sujet.</w:t>
      </w:r>
    </w:p>
    <w:p w14:paraId="4C93E269" w14:textId="438D5548" w:rsidR="00821B24" w:rsidRPr="009B071E" w:rsidRDefault="002222B9" w:rsidP="00600661">
      <w:pPr>
        <w:pStyle w:val="COMPara"/>
        <w:numPr>
          <w:ilvl w:val="0"/>
          <w:numId w:val="7"/>
        </w:numPr>
        <w:spacing w:before="120"/>
        <w:ind w:left="567" w:hanging="567"/>
        <w:jc w:val="both"/>
        <w:rPr>
          <w:lang w:val="fr-FR"/>
        </w:rPr>
      </w:pPr>
      <w:r w:rsidRPr="009B071E">
        <w:rPr>
          <w:b/>
          <w:bCs/>
          <w:lang w:val="fr-FR"/>
        </w:rPr>
        <w:lastRenderedPageBreak/>
        <w:t>Transmission non formelle.</w:t>
      </w:r>
      <w:r w:rsidRPr="009B071E">
        <w:rPr>
          <w:lang w:val="fr-FR"/>
        </w:rPr>
        <w:t xml:space="preserve"> L’Organe a pris note de scénarios particuliers dans lesquels les modes de transmission non formels existants deviennent moins viables. En conséquence, les États parties ont proposé d’adopter des mesures plus formelles pour assurer la transmission continue de l’élément. Par exemple, là où les familles étaient auparavant des moyens de transmission non formels viables et où cela n’est plus possible, les États parties proposent des modes de transmission formels en dehors de la cellule familiale, par exemple par le biais des écoles ou d’autres programmes organisés. Bien que cela puisse être nécessaire pour la sauvegarde de l’élément, les États parties doivent être conscients des risques possibles tels que la décontextualisation.</w:t>
      </w:r>
    </w:p>
    <w:p w14:paraId="256EB75C" w14:textId="4340AA76" w:rsidR="00821B24" w:rsidRPr="009B071E" w:rsidRDefault="004716BA" w:rsidP="00600661">
      <w:pPr>
        <w:pStyle w:val="COMPara"/>
        <w:numPr>
          <w:ilvl w:val="0"/>
          <w:numId w:val="7"/>
        </w:numPr>
        <w:spacing w:before="120"/>
        <w:ind w:left="567" w:hanging="567"/>
        <w:jc w:val="both"/>
        <w:rPr>
          <w:lang w:val="fr-FR"/>
        </w:rPr>
      </w:pPr>
      <w:r w:rsidRPr="009B071E">
        <w:rPr>
          <w:b/>
          <w:bCs/>
          <w:lang w:val="fr-FR"/>
        </w:rPr>
        <w:t>Cadres juridiques, politiques, licences et certifications.</w:t>
      </w:r>
      <w:r w:rsidRPr="009B071E">
        <w:rPr>
          <w:lang w:val="fr-FR"/>
        </w:rPr>
        <w:t xml:space="preserve"> L’Organe a noté que dans quelques cas, des cadres juridiques, des politiques, des licences et des certifications ont été identifiés dans le dossier comme étant en cours ou proposés comme mesures de sauvegarde. Il est demandé aux États parties de tenir compte de la dynamique de la pratique et de la transmission de l’élément et d’atténuer tous les effets imprévus, tels que le « gel » ou la décontextualisation et autres, qui pourraient résulter de ces mesures.</w:t>
      </w:r>
    </w:p>
    <w:p w14:paraId="4C9221DB" w14:textId="7297CDCF" w:rsidR="00D11636" w:rsidRPr="009B071E" w:rsidRDefault="00F512F5" w:rsidP="006E280B">
      <w:pPr>
        <w:pStyle w:val="COMPara"/>
        <w:keepLines/>
        <w:numPr>
          <w:ilvl w:val="0"/>
          <w:numId w:val="7"/>
        </w:numPr>
        <w:ind w:left="567" w:hanging="567"/>
        <w:jc w:val="both"/>
        <w:rPr>
          <w:lang w:val="fr-FR"/>
        </w:rPr>
      </w:pPr>
      <w:r w:rsidRPr="009B071E">
        <w:rPr>
          <w:b/>
          <w:bCs/>
          <w:lang w:val="fr-FR"/>
        </w:rPr>
        <w:t>Diversité bioculturelle, environnement et patrimoine culturel immatériel</w:t>
      </w:r>
      <w:r w:rsidRPr="009B071E">
        <w:rPr>
          <w:lang w:val="fr-FR"/>
        </w:rPr>
        <w:t xml:space="preserve">. </w:t>
      </w:r>
      <w:r w:rsidR="0059639D" w:rsidRPr="009B071E">
        <w:rPr>
          <w:lang w:val="fr-FR"/>
        </w:rPr>
        <w:t>Comme pour</w:t>
      </w:r>
      <w:r w:rsidRPr="009B071E">
        <w:rPr>
          <w:lang w:val="fr-FR"/>
        </w:rPr>
        <w:t xml:space="preserve"> les cycles récents, un nombre croissant de candidatures mettent l</w:t>
      </w:r>
      <w:r w:rsidR="00521B04" w:rsidRPr="009B071E">
        <w:rPr>
          <w:lang w:val="fr-FR"/>
        </w:rPr>
        <w:t>’</w:t>
      </w:r>
      <w:r w:rsidRPr="009B071E">
        <w:rPr>
          <w:lang w:val="fr-FR"/>
        </w:rPr>
        <w:t>accent sur le lien entre le patrimoine culturel immatériel et l</w:t>
      </w:r>
      <w:r w:rsidR="00521B04" w:rsidRPr="009B071E">
        <w:rPr>
          <w:lang w:val="fr-FR"/>
        </w:rPr>
        <w:t>’</w:t>
      </w:r>
      <w:r w:rsidRPr="009B071E">
        <w:rPr>
          <w:lang w:val="fr-FR"/>
        </w:rPr>
        <w:t>environnement</w:t>
      </w:r>
      <w:r w:rsidR="000F2CD7" w:rsidRPr="009B071E">
        <w:rPr>
          <w:lang w:val="fr-FR"/>
        </w:rPr>
        <w:t>,</w:t>
      </w:r>
      <w:r w:rsidRPr="009B071E">
        <w:rPr>
          <w:lang w:val="fr-FR"/>
        </w:rPr>
        <w:t xml:space="preserve"> et reflètent également la diversité bioculturelle. Alors que certains dossiers étaient muets sur l</w:t>
      </w:r>
      <w:r w:rsidR="00521B04" w:rsidRPr="009B071E">
        <w:rPr>
          <w:lang w:val="fr-FR"/>
        </w:rPr>
        <w:t>’</w:t>
      </w:r>
      <w:r w:rsidRPr="009B071E">
        <w:rPr>
          <w:lang w:val="fr-FR"/>
        </w:rPr>
        <w:t>impact écologique associé à la pratique d</w:t>
      </w:r>
      <w:r w:rsidR="00521B04" w:rsidRPr="009B071E">
        <w:rPr>
          <w:lang w:val="fr-FR"/>
        </w:rPr>
        <w:t>’</w:t>
      </w:r>
      <w:r w:rsidRPr="009B071E">
        <w:rPr>
          <w:lang w:val="fr-FR"/>
        </w:rPr>
        <w:t>éléments particuliers, l</w:t>
      </w:r>
      <w:r w:rsidR="00521B04" w:rsidRPr="009B071E">
        <w:rPr>
          <w:lang w:val="fr-FR"/>
        </w:rPr>
        <w:t>’</w:t>
      </w:r>
      <w:r w:rsidRPr="009B071E">
        <w:rPr>
          <w:lang w:val="fr-FR"/>
        </w:rPr>
        <w:t>Organe d</w:t>
      </w:r>
      <w:r w:rsidR="00521B04" w:rsidRPr="009B071E">
        <w:rPr>
          <w:lang w:val="fr-FR"/>
        </w:rPr>
        <w:t>’</w:t>
      </w:r>
      <w:r w:rsidRPr="009B071E">
        <w:rPr>
          <w:lang w:val="fr-FR"/>
        </w:rPr>
        <w:t>évaluation a noté avec satisfaction que plusieurs dossiers proposaient des mesures de protection de l</w:t>
      </w:r>
      <w:r w:rsidR="00521B04" w:rsidRPr="009B071E">
        <w:rPr>
          <w:lang w:val="fr-FR"/>
        </w:rPr>
        <w:t>’</w:t>
      </w:r>
      <w:r w:rsidRPr="009B071E">
        <w:rPr>
          <w:lang w:val="fr-FR"/>
        </w:rPr>
        <w:t>environnement, des techniques de construction et des pratiques agricoles durables, ainsi qu</w:t>
      </w:r>
      <w:r w:rsidR="00521B04" w:rsidRPr="009B071E">
        <w:rPr>
          <w:lang w:val="fr-FR"/>
        </w:rPr>
        <w:t>’</w:t>
      </w:r>
      <w:r w:rsidRPr="009B071E">
        <w:rPr>
          <w:lang w:val="fr-FR"/>
        </w:rPr>
        <w:t>un développement durable global.</w:t>
      </w:r>
    </w:p>
    <w:p w14:paraId="0F7BF396" w14:textId="7C977A75" w:rsidR="00F512F5" w:rsidRPr="009B071E" w:rsidRDefault="007748E8" w:rsidP="00D94004">
      <w:pPr>
        <w:pStyle w:val="COMPara"/>
        <w:numPr>
          <w:ilvl w:val="0"/>
          <w:numId w:val="7"/>
        </w:numPr>
        <w:ind w:left="567" w:hanging="567"/>
        <w:jc w:val="both"/>
        <w:rPr>
          <w:lang w:val="fr-FR"/>
        </w:rPr>
      </w:pPr>
      <w:r w:rsidRPr="009B071E">
        <w:rPr>
          <w:b/>
          <w:bCs/>
          <w:lang w:val="fr-FR"/>
        </w:rPr>
        <w:t>Migrations rurales-urbaines et communautés nomades</w:t>
      </w:r>
      <w:r w:rsidRPr="009B071E">
        <w:rPr>
          <w:lang w:val="fr-FR"/>
        </w:rPr>
        <w:t>. Il est entendu que les migrations se produisent pour diverses raisons et que les communautés, les groupes et les individus peuvent transporter avec eux des aspects de leur patrimoine culturel immatériel. Lors de la préparation des dossiers de candidature présentant des éléments issus de communautés migrantes, l</w:t>
      </w:r>
      <w:r w:rsidR="00521B04" w:rsidRPr="009B071E">
        <w:rPr>
          <w:lang w:val="fr-FR"/>
        </w:rPr>
        <w:t>’</w:t>
      </w:r>
      <w:r w:rsidRPr="009B071E">
        <w:rPr>
          <w:lang w:val="fr-FR"/>
        </w:rPr>
        <w:t>Organe d</w:t>
      </w:r>
      <w:r w:rsidR="00521B04" w:rsidRPr="009B071E">
        <w:rPr>
          <w:lang w:val="fr-FR"/>
        </w:rPr>
        <w:t>’</w:t>
      </w:r>
      <w:r w:rsidRPr="009B071E">
        <w:rPr>
          <w:lang w:val="fr-FR"/>
        </w:rPr>
        <w:t>évaluation considère qu</w:t>
      </w:r>
      <w:r w:rsidR="00521B04" w:rsidRPr="009B071E">
        <w:rPr>
          <w:lang w:val="fr-FR"/>
        </w:rPr>
        <w:t>’</w:t>
      </w:r>
      <w:r w:rsidRPr="009B071E">
        <w:rPr>
          <w:lang w:val="fr-FR"/>
        </w:rPr>
        <w:t>il est utile de fournir une description de la communauté migrante, de sa relation avec l</w:t>
      </w:r>
      <w:r w:rsidR="00521B04" w:rsidRPr="009B071E">
        <w:rPr>
          <w:lang w:val="fr-FR"/>
        </w:rPr>
        <w:t>’</w:t>
      </w:r>
      <w:r w:rsidRPr="009B071E">
        <w:rPr>
          <w:lang w:val="fr-FR"/>
        </w:rPr>
        <w:t>élément, et du contexte actuel dans lequel l</w:t>
      </w:r>
      <w:r w:rsidR="00521B04" w:rsidRPr="009B071E">
        <w:rPr>
          <w:lang w:val="fr-FR"/>
        </w:rPr>
        <w:t>’</w:t>
      </w:r>
      <w:r w:rsidRPr="009B071E">
        <w:rPr>
          <w:lang w:val="fr-FR"/>
        </w:rPr>
        <w:t>élément se trouve. Cela permettra d</w:t>
      </w:r>
      <w:r w:rsidR="00521B04" w:rsidRPr="009B071E">
        <w:rPr>
          <w:lang w:val="fr-FR"/>
        </w:rPr>
        <w:t>’</w:t>
      </w:r>
      <w:r w:rsidRPr="009B071E">
        <w:rPr>
          <w:lang w:val="fr-FR"/>
        </w:rPr>
        <w:t>avoir une vision plus globale de la nature et de la viabilité de ces types d</w:t>
      </w:r>
      <w:r w:rsidR="00521B04" w:rsidRPr="009B071E">
        <w:rPr>
          <w:lang w:val="fr-FR"/>
        </w:rPr>
        <w:t>’</w:t>
      </w:r>
      <w:r w:rsidRPr="009B071E">
        <w:rPr>
          <w:lang w:val="fr-FR"/>
        </w:rPr>
        <w:t>éléments. De même, dans ce type de dossiers, l</w:t>
      </w:r>
      <w:r w:rsidR="00521B04" w:rsidRPr="009B071E">
        <w:rPr>
          <w:lang w:val="fr-FR"/>
        </w:rPr>
        <w:t>’</w:t>
      </w:r>
      <w:r w:rsidRPr="009B071E">
        <w:rPr>
          <w:lang w:val="fr-FR"/>
        </w:rPr>
        <w:t>exode rural, en particulier chez les jeunes, a souvent été cité comme une menace pour la viabilité d</w:t>
      </w:r>
      <w:r w:rsidR="00521B04" w:rsidRPr="009B071E">
        <w:rPr>
          <w:lang w:val="fr-FR"/>
        </w:rPr>
        <w:t>’</w:t>
      </w:r>
      <w:r w:rsidRPr="009B071E">
        <w:rPr>
          <w:lang w:val="fr-FR"/>
        </w:rPr>
        <w:t>un élément. Les États parties sont encouragés à examiner cette situation de près et à réfléchir aux plans de sauvegarde qui pourraient être utilisés pour remédier à ce phénomène.</w:t>
      </w:r>
    </w:p>
    <w:p w14:paraId="5E41596B" w14:textId="5FA84890" w:rsidR="000D2811" w:rsidRPr="009B071E" w:rsidRDefault="000D2811" w:rsidP="000D2811">
      <w:pPr>
        <w:pStyle w:val="COMPara"/>
        <w:numPr>
          <w:ilvl w:val="0"/>
          <w:numId w:val="7"/>
        </w:numPr>
        <w:ind w:left="567" w:hanging="567"/>
        <w:jc w:val="both"/>
        <w:rPr>
          <w:lang w:val="fr-FR"/>
        </w:rPr>
      </w:pPr>
      <w:r w:rsidRPr="009B071E">
        <w:rPr>
          <w:b/>
          <w:bCs/>
          <w:lang w:val="fr-FR"/>
        </w:rPr>
        <w:t>Questions de genre</w:t>
      </w:r>
      <w:r w:rsidRPr="009B071E">
        <w:rPr>
          <w:lang w:val="fr-FR"/>
        </w:rPr>
        <w:t xml:space="preserve">. La Convention défend le respect mutuel des rôles </w:t>
      </w:r>
      <w:r w:rsidR="00B978FA" w:rsidRPr="009B071E">
        <w:rPr>
          <w:lang w:val="fr-FR"/>
        </w:rPr>
        <w:t>de genre</w:t>
      </w:r>
      <w:r w:rsidRPr="009B071E">
        <w:rPr>
          <w:lang w:val="fr-FR"/>
        </w:rPr>
        <w:t xml:space="preserve"> dans la pratique, la transmission et la sauvegarde du patrimoine culturel immatériel. Comme pour les cycles précédents, l</w:t>
      </w:r>
      <w:r w:rsidR="00521B04" w:rsidRPr="009B071E">
        <w:rPr>
          <w:lang w:val="fr-FR"/>
        </w:rPr>
        <w:t>’</w:t>
      </w:r>
      <w:r w:rsidRPr="009B071E">
        <w:rPr>
          <w:lang w:val="fr-FR"/>
        </w:rPr>
        <w:t>Organe d</w:t>
      </w:r>
      <w:r w:rsidR="00521B04" w:rsidRPr="009B071E">
        <w:rPr>
          <w:lang w:val="fr-FR"/>
        </w:rPr>
        <w:t>’</w:t>
      </w:r>
      <w:r w:rsidRPr="009B071E">
        <w:rPr>
          <w:lang w:val="fr-FR"/>
        </w:rPr>
        <w:t>évaluation encourage les États parties à préciser les rôles</w:t>
      </w:r>
      <w:r w:rsidR="00B978FA" w:rsidRPr="009B071E">
        <w:rPr>
          <w:lang w:val="fr-FR"/>
        </w:rPr>
        <w:t xml:space="preserve"> de genre</w:t>
      </w:r>
      <w:r w:rsidRPr="009B071E">
        <w:rPr>
          <w:lang w:val="fr-FR"/>
        </w:rPr>
        <w:t xml:space="preserve"> dans les éléments soumis à l</w:t>
      </w:r>
      <w:r w:rsidR="00521B04" w:rsidRPr="009B071E">
        <w:rPr>
          <w:lang w:val="fr-FR"/>
        </w:rPr>
        <w:t>’</w:t>
      </w:r>
      <w:r w:rsidRPr="009B071E">
        <w:rPr>
          <w:lang w:val="fr-FR"/>
        </w:rPr>
        <w:t>inscription. Certains dossiers sont restés muets sur ce point et il convient donc d</w:t>
      </w:r>
      <w:r w:rsidR="00521B04" w:rsidRPr="009B071E">
        <w:rPr>
          <w:lang w:val="fr-FR"/>
        </w:rPr>
        <w:t>’</w:t>
      </w:r>
      <w:r w:rsidRPr="009B071E">
        <w:rPr>
          <w:lang w:val="fr-FR"/>
        </w:rPr>
        <w:t>essayer d</w:t>
      </w:r>
      <w:r w:rsidR="00521B04" w:rsidRPr="009B071E">
        <w:rPr>
          <w:lang w:val="fr-FR"/>
        </w:rPr>
        <w:t>’</w:t>
      </w:r>
      <w:r w:rsidRPr="009B071E">
        <w:rPr>
          <w:lang w:val="fr-FR"/>
        </w:rPr>
        <w:t>inclure de telles descrip</w:t>
      </w:r>
      <w:r w:rsidR="00A24FD4" w:rsidRPr="009B071E">
        <w:rPr>
          <w:lang w:val="fr-FR"/>
        </w:rPr>
        <w:t>t</w:t>
      </w:r>
      <w:r w:rsidRPr="009B071E">
        <w:rPr>
          <w:lang w:val="fr-FR"/>
        </w:rPr>
        <w:t xml:space="preserve">ions dans les dossiers de candidature. </w:t>
      </w:r>
      <w:r w:rsidR="004678F1" w:rsidRPr="009B071E">
        <w:rPr>
          <w:lang w:val="fr-FR"/>
        </w:rPr>
        <w:t xml:space="preserve">D'autre part, certains dossiers devraient être félicités pour leurs descriptions délibérées des rôles de genre. </w:t>
      </w:r>
      <w:r w:rsidRPr="009B071E">
        <w:rPr>
          <w:lang w:val="fr-FR"/>
        </w:rPr>
        <w:t xml:space="preserve">En </w:t>
      </w:r>
      <w:r w:rsidR="004678F1" w:rsidRPr="009B071E">
        <w:rPr>
          <w:lang w:val="fr-FR"/>
        </w:rPr>
        <w:t>outre</w:t>
      </w:r>
      <w:r w:rsidRPr="009B071E">
        <w:rPr>
          <w:lang w:val="fr-FR"/>
        </w:rPr>
        <w:t>, les États parties doivent fournir des informations suffisantes pour expliquer clairement que la pratique de l</w:t>
      </w:r>
      <w:r w:rsidR="00521B04" w:rsidRPr="009B071E">
        <w:rPr>
          <w:lang w:val="fr-FR"/>
        </w:rPr>
        <w:t>’</w:t>
      </w:r>
      <w:r w:rsidRPr="009B071E">
        <w:rPr>
          <w:lang w:val="fr-FR"/>
        </w:rPr>
        <w:t>élément n</w:t>
      </w:r>
      <w:r w:rsidR="00521B04" w:rsidRPr="009B071E">
        <w:rPr>
          <w:lang w:val="fr-FR"/>
        </w:rPr>
        <w:t>’</w:t>
      </w:r>
      <w:r w:rsidRPr="009B071E">
        <w:rPr>
          <w:lang w:val="fr-FR"/>
        </w:rPr>
        <w:t>est pas une source de conflit, de marginalisation ou de discrimination dans le contexte dans lequel elle est pratiquée.</w:t>
      </w:r>
    </w:p>
    <w:p w14:paraId="0FA915B6" w14:textId="7D40FAC1" w:rsidR="007748E8" w:rsidRPr="009B071E" w:rsidRDefault="007748E8" w:rsidP="00F512F5">
      <w:pPr>
        <w:pStyle w:val="COMPara"/>
        <w:numPr>
          <w:ilvl w:val="0"/>
          <w:numId w:val="7"/>
        </w:numPr>
        <w:ind w:left="567" w:hanging="567"/>
        <w:jc w:val="both"/>
        <w:rPr>
          <w:lang w:val="fr-FR"/>
        </w:rPr>
      </w:pPr>
      <w:r w:rsidRPr="009B071E">
        <w:rPr>
          <w:b/>
          <w:bCs/>
          <w:lang w:val="fr-FR"/>
        </w:rPr>
        <w:t>Dossiers comportant des références à des aspects « surnaturels »</w:t>
      </w:r>
      <w:r w:rsidRPr="009B071E">
        <w:rPr>
          <w:lang w:val="fr-FR"/>
        </w:rPr>
        <w:t>. Lorsque les États soumissionnaires font référence au surnaturel, il est important que des explications soient fournies pour établir le lien avec l</w:t>
      </w:r>
      <w:r w:rsidR="00521B04" w:rsidRPr="009B071E">
        <w:rPr>
          <w:lang w:val="fr-FR"/>
        </w:rPr>
        <w:t>’</w:t>
      </w:r>
      <w:r w:rsidRPr="009B071E">
        <w:rPr>
          <w:lang w:val="fr-FR"/>
        </w:rPr>
        <w:t>élément décrit. L</w:t>
      </w:r>
      <w:r w:rsidR="00521B04" w:rsidRPr="009B071E">
        <w:rPr>
          <w:lang w:val="fr-FR"/>
        </w:rPr>
        <w:t>’</w:t>
      </w:r>
      <w:r w:rsidRPr="009B071E">
        <w:rPr>
          <w:lang w:val="fr-FR"/>
        </w:rPr>
        <w:t>Organe d</w:t>
      </w:r>
      <w:r w:rsidR="00521B04" w:rsidRPr="009B071E">
        <w:rPr>
          <w:lang w:val="fr-FR"/>
        </w:rPr>
        <w:t>’</w:t>
      </w:r>
      <w:r w:rsidRPr="009B071E">
        <w:rPr>
          <w:lang w:val="fr-FR"/>
        </w:rPr>
        <w:t>évaluation est conscient que de telles références peuvent ne pas être faciles à expliquer ou que certaines informations peuvent ne pas être divulguées, mais il faut s</w:t>
      </w:r>
      <w:r w:rsidR="00521B04" w:rsidRPr="009B071E">
        <w:rPr>
          <w:lang w:val="fr-FR"/>
        </w:rPr>
        <w:t>’</w:t>
      </w:r>
      <w:r w:rsidRPr="009B071E">
        <w:rPr>
          <w:lang w:val="fr-FR"/>
        </w:rPr>
        <w:t>efforcer de montrer clairement leur lien avec l</w:t>
      </w:r>
      <w:r w:rsidR="00521B04" w:rsidRPr="009B071E">
        <w:rPr>
          <w:lang w:val="fr-FR"/>
        </w:rPr>
        <w:t>’</w:t>
      </w:r>
      <w:r w:rsidRPr="009B071E">
        <w:rPr>
          <w:lang w:val="fr-FR"/>
        </w:rPr>
        <w:t>élément.</w:t>
      </w:r>
    </w:p>
    <w:p w14:paraId="21950D8A" w14:textId="3CA6ECA6" w:rsidR="00C86673" w:rsidRPr="009B071E" w:rsidRDefault="007B66BE" w:rsidP="00EC459B">
      <w:pPr>
        <w:pStyle w:val="COMPara"/>
        <w:keepLines/>
        <w:numPr>
          <w:ilvl w:val="0"/>
          <w:numId w:val="7"/>
        </w:numPr>
        <w:ind w:left="567" w:hanging="567"/>
        <w:jc w:val="both"/>
        <w:rPr>
          <w:b/>
          <w:bCs/>
          <w:lang w:val="fr-FR"/>
        </w:rPr>
      </w:pPr>
      <w:r w:rsidRPr="009B071E">
        <w:rPr>
          <w:b/>
          <w:bCs/>
          <w:lang w:val="fr-FR"/>
        </w:rPr>
        <w:lastRenderedPageBreak/>
        <w:t xml:space="preserve">Implication </w:t>
      </w:r>
      <w:r w:rsidR="006E280B" w:rsidRPr="009B071E">
        <w:rPr>
          <w:b/>
          <w:bCs/>
          <w:lang w:val="fr-FR"/>
        </w:rPr>
        <w:t xml:space="preserve">des communautés. </w:t>
      </w:r>
      <w:r w:rsidR="000D49B1" w:rsidRPr="009B071E">
        <w:rPr>
          <w:lang w:val="fr-FR"/>
        </w:rPr>
        <w:t>Conformément aux</w:t>
      </w:r>
      <w:r w:rsidR="006E280B" w:rsidRPr="009B071E">
        <w:rPr>
          <w:lang w:val="fr-FR"/>
        </w:rPr>
        <w:t xml:space="preserve"> cycles précédents et </w:t>
      </w:r>
      <w:r w:rsidR="000D49B1" w:rsidRPr="009B071E">
        <w:rPr>
          <w:lang w:val="fr-FR"/>
        </w:rPr>
        <w:t>aux</w:t>
      </w:r>
      <w:r w:rsidR="006E280B" w:rsidRPr="009B071E">
        <w:rPr>
          <w:lang w:val="fr-FR"/>
        </w:rPr>
        <w:t xml:space="preserve"> critères de candidature, l</w:t>
      </w:r>
      <w:r w:rsidR="00521B04" w:rsidRPr="009B071E">
        <w:rPr>
          <w:lang w:val="fr-FR"/>
        </w:rPr>
        <w:t>’</w:t>
      </w:r>
      <w:r w:rsidR="006E280B" w:rsidRPr="009B071E">
        <w:rPr>
          <w:lang w:val="fr-FR"/>
        </w:rPr>
        <w:t>Organe d</w:t>
      </w:r>
      <w:r w:rsidR="00521B04" w:rsidRPr="009B071E">
        <w:rPr>
          <w:lang w:val="fr-FR"/>
        </w:rPr>
        <w:t>’</w:t>
      </w:r>
      <w:r w:rsidR="006E280B" w:rsidRPr="009B071E">
        <w:rPr>
          <w:lang w:val="fr-FR"/>
        </w:rPr>
        <w:t>évaluation s</w:t>
      </w:r>
      <w:r w:rsidR="00521B04" w:rsidRPr="009B071E">
        <w:rPr>
          <w:lang w:val="fr-FR"/>
        </w:rPr>
        <w:t>’</w:t>
      </w:r>
      <w:r w:rsidR="006E280B" w:rsidRPr="009B071E">
        <w:rPr>
          <w:lang w:val="fr-FR"/>
        </w:rPr>
        <w:t>est attaché à observer les récits concernant le rôle des communautés dans la pratique et la transmission de l</w:t>
      </w:r>
      <w:r w:rsidR="00521B04" w:rsidRPr="009B071E">
        <w:rPr>
          <w:lang w:val="fr-FR"/>
        </w:rPr>
        <w:t>’</w:t>
      </w:r>
      <w:r w:rsidR="006E280B" w:rsidRPr="009B071E">
        <w:rPr>
          <w:lang w:val="fr-FR"/>
        </w:rPr>
        <w:t>élément, la planification et la mise en œuvre des mesures et plans de sauvegarde, la préparation du dossier de candidature, la définition des éléments et la mise à jour des inventaires. Dans le cadre de ce cycle, l</w:t>
      </w:r>
      <w:r w:rsidR="00521B04" w:rsidRPr="009B071E">
        <w:rPr>
          <w:lang w:val="fr-FR"/>
        </w:rPr>
        <w:t>’</w:t>
      </w:r>
      <w:r w:rsidR="006E280B" w:rsidRPr="009B071E">
        <w:rPr>
          <w:lang w:val="fr-FR"/>
        </w:rPr>
        <w:t>Organe d</w:t>
      </w:r>
      <w:r w:rsidR="00521B04" w:rsidRPr="009B071E">
        <w:rPr>
          <w:lang w:val="fr-FR"/>
        </w:rPr>
        <w:t>’</w:t>
      </w:r>
      <w:r w:rsidR="006E280B" w:rsidRPr="009B071E">
        <w:rPr>
          <w:lang w:val="fr-FR"/>
        </w:rPr>
        <w:t>évaluation a fai</w:t>
      </w:r>
      <w:r w:rsidR="009B071E" w:rsidRPr="009B071E">
        <w:rPr>
          <w:lang w:val="fr-FR"/>
        </w:rPr>
        <w:t>t</w:t>
      </w:r>
      <w:r w:rsidR="000F2CD7" w:rsidRPr="009B071E">
        <w:rPr>
          <w:lang w:val="fr-FR"/>
        </w:rPr>
        <w:t> </w:t>
      </w:r>
      <w:r w:rsidR="006E280B" w:rsidRPr="009B071E">
        <w:rPr>
          <w:lang w:val="fr-FR"/>
        </w:rPr>
        <w:t>preuve d</w:t>
      </w:r>
      <w:r w:rsidR="00521B04" w:rsidRPr="009B071E">
        <w:rPr>
          <w:lang w:val="fr-FR"/>
        </w:rPr>
        <w:t>’</w:t>
      </w:r>
      <w:r w:rsidR="006E280B" w:rsidRPr="009B071E">
        <w:rPr>
          <w:lang w:val="fr-FR"/>
        </w:rPr>
        <w:t>indulgence dans son évaluation : si, dans un critère, le rôle des communautés était suffisamment développé et expliqué, il en a été tenu compte dans l</w:t>
      </w:r>
      <w:r w:rsidR="00521B04" w:rsidRPr="009B071E">
        <w:rPr>
          <w:lang w:val="fr-FR"/>
        </w:rPr>
        <w:t>’</w:t>
      </w:r>
      <w:r w:rsidR="006E280B" w:rsidRPr="009B071E">
        <w:rPr>
          <w:lang w:val="fr-FR"/>
        </w:rPr>
        <w:t>évaluation d</w:t>
      </w:r>
      <w:r w:rsidR="00521B04" w:rsidRPr="009B071E">
        <w:rPr>
          <w:lang w:val="fr-FR"/>
        </w:rPr>
        <w:t>’</w:t>
      </w:r>
      <w:r w:rsidR="006E280B" w:rsidRPr="009B071E">
        <w:rPr>
          <w:lang w:val="fr-FR"/>
        </w:rPr>
        <w:t>autres critères où le rôle des communautés n</w:t>
      </w:r>
      <w:r w:rsidR="00521B04" w:rsidRPr="009B071E">
        <w:rPr>
          <w:lang w:val="fr-FR"/>
        </w:rPr>
        <w:t>’</w:t>
      </w:r>
      <w:r w:rsidR="006E280B" w:rsidRPr="009B071E">
        <w:rPr>
          <w:lang w:val="fr-FR"/>
        </w:rPr>
        <w:t>avait peut-être pas été entièrement expliqué.</w:t>
      </w:r>
    </w:p>
    <w:p w14:paraId="3F3A48B3" w14:textId="6D3E71F1" w:rsidR="006E280B" w:rsidRPr="009B071E" w:rsidRDefault="006E280B" w:rsidP="002F27EF">
      <w:pPr>
        <w:pStyle w:val="COMPara"/>
        <w:numPr>
          <w:ilvl w:val="1"/>
          <w:numId w:val="7"/>
        </w:numPr>
        <w:ind w:left="1276" w:hanging="556"/>
        <w:jc w:val="both"/>
        <w:rPr>
          <w:rFonts w:eastAsiaTheme="minorEastAsia"/>
          <w:bCs/>
          <w:iCs/>
          <w:lang w:val="fr-FR"/>
        </w:rPr>
      </w:pPr>
      <w:r w:rsidRPr="009B071E">
        <w:rPr>
          <w:rFonts w:eastAsiaTheme="minorEastAsia"/>
          <w:b/>
          <w:bCs/>
          <w:lang w:val="fr-FR"/>
        </w:rPr>
        <w:t>Transparence sur les défis</w:t>
      </w:r>
      <w:r w:rsidRPr="009B071E">
        <w:rPr>
          <w:rFonts w:eastAsiaTheme="minorEastAsia"/>
          <w:lang w:val="fr-FR"/>
        </w:rPr>
        <w:t>. Ce cycle comprend des dossiers dans lesquels les États parties ont fait preuve de divers degrés de transparence concernant les défis à relever pour assurer la viabilité de l</w:t>
      </w:r>
      <w:r w:rsidR="00521B04" w:rsidRPr="009B071E">
        <w:rPr>
          <w:rFonts w:eastAsiaTheme="minorEastAsia"/>
          <w:lang w:val="fr-FR"/>
        </w:rPr>
        <w:t>’</w:t>
      </w:r>
      <w:r w:rsidRPr="009B071E">
        <w:rPr>
          <w:rFonts w:eastAsiaTheme="minorEastAsia"/>
          <w:lang w:val="fr-FR"/>
        </w:rPr>
        <w:t>élément. L</w:t>
      </w:r>
      <w:r w:rsidR="00521B04" w:rsidRPr="009B071E">
        <w:rPr>
          <w:rFonts w:eastAsiaTheme="minorEastAsia"/>
          <w:lang w:val="fr-FR"/>
        </w:rPr>
        <w:t>’</w:t>
      </w:r>
      <w:r w:rsidRPr="009B071E">
        <w:rPr>
          <w:rFonts w:eastAsiaTheme="minorEastAsia"/>
          <w:lang w:val="fr-FR"/>
        </w:rPr>
        <w:t>Organe d</w:t>
      </w:r>
      <w:r w:rsidR="00521B04" w:rsidRPr="009B071E">
        <w:rPr>
          <w:rFonts w:eastAsiaTheme="minorEastAsia"/>
          <w:lang w:val="fr-FR"/>
        </w:rPr>
        <w:t>’</w:t>
      </w:r>
      <w:r w:rsidRPr="009B071E">
        <w:rPr>
          <w:rFonts w:eastAsiaTheme="minorEastAsia"/>
          <w:lang w:val="fr-FR"/>
        </w:rPr>
        <w:t>évaluation s</w:t>
      </w:r>
      <w:r w:rsidR="00521B04" w:rsidRPr="009B071E">
        <w:rPr>
          <w:rFonts w:eastAsiaTheme="minorEastAsia"/>
          <w:lang w:val="fr-FR"/>
        </w:rPr>
        <w:t>’</w:t>
      </w:r>
      <w:r w:rsidRPr="009B071E">
        <w:rPr>
          <w:rFonts w:eastAsiaTheme="minorEastAsia"/>
          <w:lang w:val="fr-FR"/>
        </w:rPr>
        <w:t>est félicité de la transparence dont ont fait preuve les États p</w:t>
      </w:r>
      <w:r w:rsidR="009C22BF" w:rsidRPr="009B071E">
        <w:rPr>
          <w:rFonts w:eastAsiaTheme="minorEastAsia"/>
          <w:lang w:val="fr-FR"/>
        </w:rPr>
        <w:t>a</w:t>
      </w:r>
      <w:r w:rsidRPr="009B071E">
        <w:rPr>
          <w:rFonts w:eastAsiaTheme="minorEastAsia"/>
          <w:lang w:val="fr-FR"/>
        </w:rPr>
        <w:t>rties dans leur explication de ces défis ; il encourage donc les États parties à maintenir cette pratique afin que les questions soulevées puissent devenir des points de discussion et d</w:t>
      </w:r>
      <w:r w:rsidR="00521B04" w:rsidRPr="009B071E">
        <w:rPr>
          <w:rFonts w:eastAsiaTheme="minorEastAsia"/>
          <w:lang w:val="fr-FR"/>
        </w:rPr>
        <w:t>’</w:t>
      </w:r>
      <w:r w:rsidRPr="009B071E">
        <w:rPr>
          <w:rFonts w:eastAsiaTheme="minorEastAsia"/>
          <w:lang w:val="fr-FR"/>
        </w:rPr>
        <w:t>apprentissage pour la sauvegarde du patrimoine culturel immatériel dans son ensemble.</w:t>
      </w:r>
    </w:p>
    <w:p w14:paraId="3A03DF22" w14:textId="3BAFAB6F" w:rsidR="006E280B" w:rsidRPr="009B071E" w:rsidRDefault="006E280B" w:rsidP="002F27EF">
      <w:pPr>
        <w:pStyle w:val="COMPara"/>
        <w:numPr>
          <w:ilvl w:val="1"/>
          <w:numId w:val="7"/>
        </w:numPr>
        <w:ind w:left="1276" w:hanging="556"/>
        <w:jc w:val="both"/>
        <w:rPr>
          <w:rFonts w:eastAsiaTheme="minorEastAsia"/>
          <w:bCs/>
          <w:iCs/>
          <w:lang w:val="fr-FR"/>
        </w:rPr>
      </w:pPr>
      <w:r w:rsidRPr="009B071E">
        <w:rPr>
          <w:rFonts w:eastAsiaTheme="minorEastAsia"/>
          <w:b/>
          <w:bCs/>
          <w:lang w:val="fr-FR"/>
        </w:rPr>
        <w:t>Décontextualisation</w:t>
      </w:r>
      <w:r w:rsidRPr="009B071E">
        <w:rPr>
          <w:rFonts w:eastAsiaTheme="minorEastAsia"/>
          <w:lang w:val="fr-FR"/>
        </w:rPr>
        <w:t>. Afin d</w:t>
      </w:r>
      <w:r w:rsidR="00521B04" w:rsidRPr="009B071E">
        <w:rPr>
          <w:rFonts w:eastAsiaTheme="minorEastAsia"/>
          <w:lang w:val="fr-FR"/>
        </w:rPr>
        <w:t>’</w:t>
      </w:r>
      <w:r w:rsidRPr="009B071E">
        <w:rPr>
          <w:rFonts w:eastAsiaTheme="minorEastAsia"/>
          <w:lang w:val="fr-FR"/>
        </w:rPr>
        <w:t>assurer la sauvegarde des éléments, quelques dossiers de candidature ont inclus des mesures qui pouvaient être perçues comme une décontextualisation de l</w:t>
      </w:r>
      <w:r w:rsidR="00521B04" w:rsidRPr="009B071E">
        <w:rPr>
          <w:rFonts w:eastAsiaTheme="minorEastAsia"/>
          <w:lang w:val="fr-FR"/>
        </w:rPr>
        <w:t>’</w:t>
      </w:r>
      <w:r w:rsidRPr="009B071E">
        <w:rPr>
          <w:rFonts w:eastAsiaTheme="minorEastAsia"/>
          <w:lang w:val="fr-FR"/>
        </w:rPr>
        <w:t>élément. Les États parties sont encouragés à examiner attentivement le contexte dans lequel les fonctions et les significations sociales et culturelles associées à l</w:t>
      </w:r>
      <w:r w:rsidR="00521B04" w:rsidRPr="009B071E">
        <w:rPr>
          <w:rFonts w:eastAsiaTheme="minorEastAsia"/>
          <w:lang w:val="fr-FR"/>
        </w:rPr>
        <w:t>’</w:t>
      </w:r>
      <w:r w:rsidRPr="009B071E">
        <w:rPr>
          <w:rFonts w:eastAsiaTheme="minorEastAsia"/>
          <w:lang w:val="fr-FR"/>
        </w:rPr>
        <w:t>élément sont évidentes et à veiller à ce que les mesures de sauvegarde ne les mettent pas en péril.</w:t>
      </w:r>
    </w:p>
    <w:p w14:paraId="4193E89A" w14:textId="18B8E0BA" w:rsidR="006E280B" w:rsidRPr="009B071E" w:rsidRDefault="006E280B" w:rsidP="002F27EF">
      <w:pPr>
        <w:pStyle w:val="COMPara"/>
        <w:numPr>
          <w:ilvl w:val="1"/>
          <w:numId w:val="7"/>
        </w:numPr>
        <w:ind w:left="1276" w:hanging="556"/>
        <w:jc w:val="both"/>
        <w:rPr>
          <w:rFonts w:eastAsiaTheme="minorEastAsia"/>
          <w:bCs/>
          <w:iCs/>
          <w:lang w:val="fr-FR"/>
        </w:rPr>
      </w:pPr>
      <w:r w:rsidRPr="009B071E">
        <w:rPr>
          <w:rFonts w:eastAsiaTheme="minorEastAsia"/>
          <w:b/>
          <w:bCs/>
          <w:lang w:val="fr-FR"/>
        </w:rPr>
        <w:t>Mesures de sauvegarde passées, en cours et futures</w:t>
      </w:r>
      <w:r w:rsidRPr="009B071E">
        <w:rPr>
          <w:rFonts w:eastAsiaTheme="minorEastAsia"/>
          <w:lang w:val="fr-FR"/>
        </w:rPr>
        <w:t>. Dans plusieurs cas, les dossiers de candidature faisaient référence à des mesures de sauvegarde que l</w:t>
      </w:r>
      <w:r w:rsidR="00521B04" w:rsidRPr="009B071E">
        <w:rPr>
          <w:rFonts w:eastAsiaTheme="minorEastAsia"/>
          <w:lang w:val="fr-FR"/>
        </w:rPr>
        <w:t>’</w:t>
      </w:r>
      <w:r w:rsidRPr="009B071E">
        <w:rPr>
          <w:rFonts w:eastAsiaTheme="minorEastAsia"/>
          <w:lang w:val="fr-FR"/>
        </w:rPr>
        <w:t>Organe d</w:t>
      </w:r>
      <w:r w:rsidR="00521B04" w:rsidRPr="009B071E">
        <w:rPr>
          <w:rFonts w:eastAsiaTheme="minorEastAsia"/>
          <w:lang w:val="fr-FR"/>
        </w:rPr>
        <w:t>’</w:t>
      </w:r>
      <w:r w:rsidRPr="009B071E">
        <w:rPr>
          <w:rFonts w:eastAsiaTheme="minorEastAsia"/>
          <w:lang w:val="fr-FR"/>
        </w:rPr>
        <w:t>évaluation a perçues comme des déclarations génériques. Il était donc difficile de comprendre quelles étaient les mesures spécifiques et s</w:t>
      </w:r>
      <w:r w:rsidR="00521B04" w:rsidRPr="009B071E">
        <w:rPr>
          <w:rFonts w:eastAsiaTheme="minorEastAsia"/>
          <w:lang w:val="fr-FR"/>
        </w:rPr>
        <w:t>’</w:t>
      </w:r>
      <w:r w:rsidRPr="009B071E">
        <w:rPr>
          <w:rFonts w:eastAsiaTheme="minorEastAsia"/>
          <w:lang w:val="fr-FR"/>
        </w:rPr>
        <w:t>il s</w:t>
      </w:r>
      <w:r w:rsidR="00521B04" w:rsidRPr="009B071E">
        <w:rPr>
          <w:rFonts w:eastAsiaTheme="minorEastAsia"/>
          <w:lang w:val="fr-FR"/>
        </w:rPr>
        <w:t>’</w:t>
      </w:r>
      <w:r w:rsidRPr="009B071E">
        <w:rPr>
          <w:rFonts w:eastAsiaTheme="minorEastAsia"/>
          <w:lang w:val="fr-FR"/>
        </w:rPr>
        <w:t>agissait de mesures passées, en cours ou futures. Les États parties doivent être aussi précis que possible sur les mesures énoncées et distinguer clairement les mesures passées, en cours et futures.</w:t>
      </w:r>
    </w:p>
    <w:p w14:paraId="624F4033" w14:textId="5064A235" w:rsidR="006E280B" w:rsidRPr="009B071E" w:rsidRDefault="006E280B" w:rsidP="002F27EF">
      <w:pPr>
        <w:pStyle w:val="COMPara"/>
        <w:numPr>
          <w:ilvl w:val="1"/>
          <w:numId w:val="7"/>
        </w:numPr>
        <w:ind w:left="1276" w:hanging="556"/>
        <w:jc w:val="both"/>
        <w:rPr>
          <w:rFonts w:eastAsiaTheme="minorEastAsia"/>
          <w:bCs/>
          <w:iCs/>
          <w:lang w:val="fr-FR"/>
        </w:rPr>
      </w:pPr>
      <w:r w:rsidRPr="009B071E">
        <w:rPr>
          <w:rFonts w:eastAsiaTheme="minorEastAsia"/>
          <w:b/>
          <w:bCs/>
          <w:lang w:val="fr-FR"/>
        </w:rPr>
        <w:t>Risques futurs</w:t>
      </w:r>
      <w:r w:rsidRPr="009B071E">
        <w:rPr>
          <w:rFonts w:eastAsiaTheme="minorEastAsia"/>
          <w:lang w:val="fr-FR"/>
        </w:rPr>
        <w:t>. En tenant compte des contextes locaux de l</w:t>
      </w:r>
      <w:r w:rsidR="00521B04" w:rsidRPr="009B071E">
        <w:rPr>
          <w:rFonts w:eastAsiaTheme="minorEastAsia"/>
          <w:lang w:val="fr-FR"/>
        </w:rPr>
        <w:t>’</w:t>
      </w:r>
      <w:r w:rsidRPr="009B071E">
        <w:rPr>
          <w:rFonts w:eastAsiaTheme="minorEastAsia"/>
          <w:lang w:val="fr-FR"/>
        </w:rPr>
        <w:t xml:space="preserve">élément et de son inscription éventuelle sur les </w:t>
      </w:r>
      <w:r w:rsidR="001B2E0D" w:rsidRPr="009B071E">
        <w:rPr>
          <w:rFonts w:eastAsiaTheme="minorEastAsia"/>
          <w:lang w:val="fr-FR"/>
        </w:rPr>
        <w:t>L</w:t>
      </w:r>
      <w:r w:rsidRPr="009B071E">
        <w:rPr>
          <w:rFonts w:eastAsiaTheme="minorEastAsia"/>
          <w:lang w:val="fr-FR"/>
        </w:rPr>
        <w:t>istes de la Convention, les États parties devraient s</w:t>
      </w:r>
      <w:r w:rsidR="00521B04" w:rsidRPr="009B071E">
        <w:rPr>
          <w:rFonts w:eastAsiaTheme="minorEastAsia"/>
          <w:lang w:val="fr-FR"/>
        </w:rPr>
        <w:t>’</w:t>
      </w:r>
      <w:r w:rsidRPr="009B071E">
        <w:rPr>
          <w:rFonts w:eastAsiaTheme="minorEastAsia"/>
          <w:lang w:val="fr-FR"/>
        </w:rPr>
        <w:t>efforcer d</w:t>
      </w:r>
      <w:r w:rsidR="00521B04" w:rsidRPr="009B071E">
        <w:rPr>
          <w:rFonts w:eastAsiaTheme="minorEastAsia"/>
          <w:lang w:val="fr-FR"/>
        </w:rPr>
        <w:t>’</w:t>
      </w:r>
      <w:r w:rsidRPr="009B071E">
        <w:rPr>
          <w:rFonts w:eastAsiaTheme="minorEastAsia"/>
          <w:lang w:val="fr-FR"/>
        </w:rPr>
        <w:t>évaluer les risques futurs pour la viabilité de l</w:t>
      </w:r>
      <w:r w:rsidR="00521B04" w:rsidRPr="009B071E">
        <w:rPr>
          <w:rFonts w:eastAsiaTheme="minorEastAsia"/>
          <w:lang w:val="fr-FR"/>
        </w:rPr>
        <w:t>’</w:t>
      </w:r>
      <w:r w:rsidRPr="009B071E">
        <w:rPr>
          <w:rFonts w:eastAsiaTheme="minorEastAsia"/>
          <w:lang w:val="fr-FR"/>
        </w:rPr>
        <w:t xml:space="preserve">élément et la manière dont ils prévoient de les traiter. </w:t>
      </w:r>
    </w:p>
    <w:p w14:paraId="7CDFEF5D" w14:textId="790FBAE9" w:rsidR="006E280B" w:rsidRPr="009B071E" w:rsidRDefault="006E280B" w:rsidP="002F27EF">
      <w:pPr>
        <w:pStyle w:val="COMPara"/>
        <w:numPr>
          <w:ilvl w:val="1"/>
          <w:numId w:val="7"/>
        </w:numPr>
        <w:ind w:left="1276" w:hanging="556"/>
        <w:jc w:val="both"/>
        <w:rPr>
          <w:lang w:val="fr-FR"/>
        </w:rPr>
      </w:pPr>
      <w:r w:rsidRPr="009B071E">
        <w:rPr>
          <w:rFonts w:eastAsiaTheme="minorEastAsia"/>
          <w:b/>
          <w:bCs/>
          <w:lang w:val="fr-FR"/>
        </w:rPr>
        <w:t>« Liste » des organisations impliquées dans la sauvegarde</w:t>
      </w:r>
      <w:r w:rsidRPr="009B071E">
        <w:rPr>
          <w:rFonts w:eastAsiaTheme="minorEastAsia"/>
          <w:lang w:val="fr-FR"/>
        </w:rPr>
        <w:t>. Dans les réponses relatives à la planification et à la mise en œuvre des mesures de sauvegarde, plusieurs États se sont contentés d</w:t>
      </w:r>
      <w:r w:rsidR="00521B04" w:rsidRPr="009B071E">
        <w:rPr>
          <w:rFonts w:eastAsiaTheme="minorEastAsia"/>
          <w:lang w:val="fr-FR"/>
        </w:rPr>
        <w:t>’</w:t>
      </w:r>
      <w:r w:rsidRPr="009B071E">
        <w:rPr>
          <w:rFonts w:eastAsiaTheme="minorEastAsia"/>
          <w:lang w:val="fr-FR"/>
        </w:rPr>
        <w:t>énumérer les organisations ou entités concernées par les mesures. L</w:t>
      </w:r>
      <w:r w:rsidR="00521B04" w:rsidRPr="009B071E">
        <w:rPr>
          <w:rFonts w:eastAsiaTheme="minorEastAsia"/>
          <w:lang w:val="fr-FR"/>
        </w:rPr>
        <w:t>’</w:t>
      </w:r>
      <w:r w:rsidRPr="009B071E">
        <w:rPr>
          <w:rFonts w:eastAsiaTheme="minorEastAsia"/>
          <w:lang w:val="fr-FR"/>
        </w:rPr>
        <w:t>Organe d</w:t>
      </w:r>
      <w:r w:rsidR="00521B04" w:rsidRPr="009B071E">
        <w:rPr>
          <w:rFonts w:eastAsiaTheme="minorEastAsia"/>
          <w:lang w:val="fr-FR"/>
        </w:rPr>
        <w:t>’</w:t>
      </w:r>
      <w:r w:rsidRPr="009B071E">
        <w:rPr>
          <w:rFonts w:eastAsiaTheme="minorEastAsia"/>
          <w:lang w:val="fr-FR"/>
        </w:rPr>
        <w:t>évaluation a jugé cette approche insuffisante et encourage les États parties à expliquer précisément comment les organisations et entités mentionnées ont été impliquées dans l</w:t>
      </w:r>
      <w:r w:rsidR="00521B04" w:rsidRPr="009B071E">
        <w:rPr>
          <w:rFonts w:eastAsiaTheme="minorEastAsia"/>
          <w:lang w:val="fr-FR"/>
        </w:rPr>
        <w:t>’</w:t>
      </w:r>
      <w:r w:rsidRPr="009B071E">
        <w:rPr>
          <w:rFonts w:eastAsiaTheme="minorEastAsia"/>
          <w:lang w:val="fr-FR"/>
        </w:rPr>
        <w:t>élaboration des plans et à décrire comment elles seront impliquées dans leur mise en œuvre. Si l</w:t>
      </w:r>
      <w:r w:rsidR="00521B04" w:rsidRPr="009B071E">
        <w:rPr>
          <w:rFonts w:eastAsiaTheme="minorEastAsia"/>
          <w:lang w:val="fr-FR"/>
        </w:rPr>
        <w:t>’</w:t>
      </w:r>
      <w:r w:rsidRPr="009B071E">
        <w:rPr>
          <w:rFonts w:eastAsiaTheme="minorEastAsia"/>
          <w:lang w:val="fr-FR"/>
        </w:rPr>
        <w:t>Organe d</w:t>
      </w:r>
      <w:r w:rsidR="00521B04" w:rsidRPr="009B071E">
        <w:rPr>
          <w:rFonts w:eastAsiaTheme="minorEastAsia"/>
          <w:lang w:val="fr-FR"/>
        </w:rPr>
        <w:t>’</w:t>
      </w:r>
      <w:r w:rsidRPr="009B071E">
        <w:rPr>
          <w:rFonts w:eastAsiaTheme="minorEastAsia"/>
          <w:lang w:val="fr-FR"/>
        </w:rPr>
        <w:t>évaluation a fait preuve d</w:t>
      </w:r>
      <w:r w:rsidR="00521B04" w:rsidRPr="009B071E">
        <w:rPr>
          <w:rFonts w:eastAsiaTheme="minorEastAsia"/>
          <w:lang w:val="fr-FR"/>
        </w:rPr>
        <w:t>’</w:t>
      </w:r>
      <w:r w:rsidRPr="009B071E">
        <w:rPr>
          <w:rFonts w:eastAsiaTheme="minorEastAsia"/>
          <w:lang w:val="fr-FR"/>
        </w:rPr>
        <w:t>indulgence dans le traitement des dossiers où cela s</w:t>
      </w:r>
      <w:r w:rsidR="00521B04" w:rsidRPr="009B071E">
        <w:rPr>
          <w:rFonts w:eastAsiaTheme="minorEastAsia"/>
          <w:lang w:val="fr-FR"/>
        </w:rPr>
        <w:t>’</w:t>
      </w:r>
      <w:r w:rsidRPr="009B071E">
        <w:rPr>
          <w:rFonts w:eastAsiaTheme="minorEastAsia"/>
          <w:lang w:val="fr-FR"/>
        </w:rPr>
        <w:t>est produit, cela pourrait ne plus être le cas à l</w:t>
      </w:r>
      <w:r w:rsidR="00521B04" w:rsidRPr="009B071E">
        <w:rPr>
          <w:rFonts w:eastAsiaTheme="minorEastAsia"/>
          <w:lang w:val="fr-FR"/>
        </w:rPr>
        <w:t>’</w:t>
      </w:r>
      <w:r w:rsidRPr="009B071E">
        <w:rPr>
          <w:rFonts w:eastAsiaTheme="minorEastAsia"/>
          <w:lang w:val="fr-FR"/>
        </w:rPr>
        <w:t xml:space="preserve">avenir. </w:t>
      </w:r>
    </w:p>
    <w:p w14:paraId="4E436B23" w14:textId="5A4E66E6" w:rsidR="00A6713C" w:rsidRPr="009B071E" w:rsidRDefault="00A6713C" w:rsidP="00A6713C">
      <w:pPr>
        <w:pStyle w:val="COMPara"/>
        <w:numPr>
          <w:ilvl w:val="0"/>
          <w:numId w:val="7"/>
        </w:numPr>
        <w:ind w:left="567" w:hanging="567"/>
        <w:jc w:val="both"/>
        <w:rPr>
          <w:lang w:val="fr-FR"/>
        </w:rPr>
      </w:pPr>
      <w:r w:rsidRPr="009B071E">
        <w:rPr>
          <w:b/>
          <w:bCs/>
          <w:lang w:val="fr-FR"/>
        </w:rPr>
        <w:t>Renforcement des capacités.</w:t>
      </w:r>
      <w:r w:rsidRPr="009B071E">
        <w:rPr>
          <w:lang w:val="fr-FR"/>
        </w:rPr>
        <w:t xml:space="preserve"> L</w:t>
      </w:r>
      <w:r w:rsidR="00521B04" w:rsidRPr="009B071E">
        <w:rPr>
          <w:lang w:val="fr-FR"/>
        </w:rPr>
        <w:t>’</w:t>
      </w:r>
      <w:r w:rsidRPr="009B071E">
        <w:rPr>
          <w:lang w:val="fr-FR"/>
        </w:rPr>
        <w:t>Organe d</w:t>
      </w:r>
      <w:r w:rsidR="00521B04" w:rsidRPr="009B071E">
        <w:rPr>
          <w:lang w:val="fr-FR"/>
        </w:rPr>
        <w:t>’</w:t>
      </w:r>
      <w:r w:rsidRPr="009B071E">
        <w:rPr>
          <w:lang w:val="fr-FR"/>
        </w:rPr>
        <w:t>évaluation a constaté une amélioration générale de la qualité des dossiers de candidature soumis par les États parties. Toutefois, des faiblesses subsistent en ce qui concerne la suffisance des informations en réponse aux critères, et la qualité de la rédaction. L</w:t>
      </w:r>
      <w:r w:rsidR="00521B04" w:rsidRPr="009B071E">
        <w:rPr>
          <w:lang w:val="fr-FR"/>
        </w:rPr>
        <w:t>’</w:t>
      </w:r>
      <w:r w:rsidRPr="009B071E">
        <w:rPr>
          <w:lang w:val="fr-FR"/>
        </w:rPr>
        <w:t>Organe d</w:t>
      </w:r>
      <w:r w:rsidR="00521B04" w:rsidRPr="009B071E">
        <w:rPr>
          <w:lang w:val="fr-FR"/>
        </w:rPr>
        <w:t>’</w:t>
      </w:r>
      <w:r w:rsidRPr="009B071E">
        <w:rPr>
          <w:lang w:val="fr-FR"/>
        </w:rPr>
        <w:t xml:space="preserve">évaluation conseille vivement aux </w:t>
      </w:r>
      <w:r w:rsidRPr="0050051F">
        <w:rPr>
          <w:lang w:val="fr-FR"/>
        </w:rPr>
        <w:t>États</w:t>
      </w:r>
      <w:r w:rsidR="00637B8B" w:rsidRPr="0050051F">
        <w:rPr>
          <w:lang w:val="fr-FR"/>
        </w:rPr>
        <w:t xml:space="preserve"> parties</w:t>
      </w:r>
      <w:r w:rsidRPr="009B071E">
        <w:rPr>
          <w:lang w:val="fr-FR"/>
        </w:rPr>
        <w:t xml:space="preserve"> d</w:t>
      </w:r>
      <w:r w:rsidR="00521B04" w:rsidRPr="009B071E">
        <w:rPr>
          <w:lang w:val="fr-FR"/>
        </w:rPr>
        <w:t>’</w:t>
      </w:r>
      <w:r w:rsidRPr="009B071E">
        <w:rPr>
          <w:lang w:val="fr-FR"/>
        </w:rPr>
        <w:t>utiliser les mécanismes et les ressources prévus par la Convention, y compris la possibilité de demander une assistance préparatoire dans le cadre du mécanisme d</w:t>
      </w:r>
      <w:r w:rsidR="00521B04" w:rsidRPr="009B071E">
        <w:rPr>
          <w:lang w:val="fr-FR"/>
        </w:rPr>
        <w:t>’</w:t>
      </w:r>
      <w:r w:rsidRPr="009B071E">
        <w:rPr>
          <w:lang w:val="fr-FR"/>
        </w:rPr>
        <w:t xml:space="preserve">assistance internationale pour </w:t>
      </w:r>
      <w:r w:rsidR="00B94EB4" w:rsidRPr="009B071E">
        <w:rPr>
          <w:lang w:val="fr-FR"/>
        </w:rPr>
        <w:t>l’élaboration de candidatures</w:t>
      </w:r>
      <w:r w:rsidRPr="009B071E">
        <w:rPr>
          <w:lang w:val="fr-FR"/>
        </w:rPr>
        <w:t xml:space="preserve"> </w:t>
      </w:r>
      <w:r w:rsidR="00B94EB4" w:rsidRPr="009B071E">
        <w:rPr>
          <w:lang w:val="fr-FR"/>
        </w:rPr>
        <w:t xml:space="preserve">à </w:t>
      </w:r>
      <w:r w:rsidRPr="009B071E">
        <w:rPr>
          <w:lang w:val="fr-FR"/>
        </w:rPr>
        <w:t xml:space="preserve">la Liste de sauvegarde urgente et </w:t>
      </w:r>
      <w:r w:rsidR="00B94EB4" w:rsidRPr="009B071E">
        <w:rPr>
          <w:lang w:val="fr-FR"/>
        </w:rPr>
        <w:t xml:space="preserve">au </w:t>
      </w:r>
      <w:r w:rsidRPr="009B071E">
        <w:rPr>
          <w:lang w:val="fr-FR"/>
        </w:rPr>
        <w:t>Registre de bonnes pratiques de sauvegarde, conformément aux paragraphes 21 et 22 des Directives opérationnelles. L</w:t>
      </w:r>
      <w:r w:rsidR="00521B04" w:rsidRPr="009B071E">
        <w:rPr>
          <w:lang w:val="fr-FR"/>
        </w:rPr>
        <w:t>’</w:t>
      </w:r>
      <w:r w:rsidRPr="009B071E">
        <w:rPr>
          <w:lang w:val="fr-FR"/>
        </w:rPr>
        <w:t>Organe d</w:t>
      </w:r>
      <w:r w:rsidR="00521B04" w:rsidRPr="009B071E">
        <w:rPr>
          <w:lang w:val="fr-FR"/>
        </w:rPr>
        <w:t>’</w:t>
      </w:r>
      <w:r w:rsidRPr="009B071E">
        <w:rPr>
          <w:lang w:val="fr-FR"/>
        </w:rPr>
        <w:t>évaluation note en outre que la présente session du Comité examinera une proposition d</w:t>
      </w:r>
      <w:r w:rsidR="00521B04" w:rsidRPr="009B071E">
        <w:rPr>
          <w:lang w:val="fr-FR"/>
        </w:rPr>
        <w:t>’</w:t>
      </w:r>
      <w:r w:rsidRPr="009B071E">
        <w:rPr>
          <w:lang w:val="fr-FR"/>
        </w:rPr>
        <w:t>amendement aux Directives opérationnelles, permettant aux États parties n</w:t>
      </w:r>
      <w:r w:rsidR="00521B04" w:rsidRPr="009B071E">
        <w:rPr>
          <w:lang w:val="fr-FR"/>
        </w:rPr>
        <w:t>’</w:t>
      </w:r>
      <w:r w:rsidRPr="009B071E">
        <w:rPr>
          <w:lang w:val="fr-FR"/>
        </w:rPr>
        <w:t>ayant pas d</w:t>
      </w:r>
      <w:r w:rsidR="00521B04" w:rsidRPr="009B071E">
        <w:rPr>
          <w:lang w:val="fr-FR"/>
        </w:rPr>
        <w:t>’</w:t>
      </w:r>
      <w:r w:rsidRPr="009B071E">
        <w:rPr>
          <w:lang w:val="fr-FR"/>
        </w:rPr>
        <w:t xml:space="preserve">éléments inscrits sur la Liste représentative </w:t>
      </w:r>
      <w:r w:rsidRPr="009B071E">
        <w:rPr>
          <w:lang w:val="fr-FR"/>
        </w:rPr>
        <w:lastRenderedPageBreak/>
        <w:t xml:space="preserve">(Décision </w:t>
      </w:r>
      <w:hyperlink r:id="rId28" w:history="1">
        <w:r w:rsidRPr="009B071E">
          <w:rPr>
            <w:rStyle w:val="Lienhypertexte"/>
            <w:lang w:val="fr-FR"/>
          </w:rPr>
          <w:t>17.COM 7</w:t>
        </w:r>
      </w:hyperlink>
      <w:r w:rsidRPr="009B071E">
        <w:rPr>
          <w:lang w:val="fr-FR"/>
        </w:rPr>
        <w:t xml:space="preserve">, paragraphe 14 ; voir document </w:t>
      </w:r>
      <w:hyperlink r:id="rId29" w:history="1">
        <w:r w:rsidRPr="009B071E">
          <w:rPr>
            <w:rStyle w:val="Lienhypertexte"/>
            <w:lang w:val="fr-FR"/>
          </w:rPr>
          <w:t>LHE/23/18.COM 10</w:t>
        </w:r>
      </w:hyperlink>
      <w:r w:rsidRPr="009B071E">
        <w:rPr>
          <w:lang w:val="fr-FR"/>
        </w:rPr>
        <w:t>) de demander une assistance préparatoire pour préparer des dossiers pour la Liste représentative.</w:t>
      </w:r>
    </w:p>
    <w:p w14:paraId="0A25BB19" w14:textId="349ACA57" w:rsidR="006E280B" w:rsidRPr="009B071E" w:rsidRDefault="006E280B" w:rsidP="006E280B">
      <w:pPr>
        <w:pStyle w:val="COMPara"/>
        <w:numPr>
          <w:ilvl w:val="0"/>
          <w:numId w:val="7"/>
        </w:numPr>
        <w:ind w:left="567" w:hanging="567"/>
        <w:jc w:val="both"/>
        <w:rPr>
          <w:lang w:val="fr-FR"/>
        </w:rPr>
      </w:pPr>
      <w:r w:rsidRPr="009B071E">
        <w:rPr>
          <w:b/>
          <w:bCs/>
          <w:lang w:val="fr-FR"/>
        </w:rPr>
        <w:t>Candidatures multinationales.</w:t>
      </w:r>
      <w:r w:rsidRPr="009B071E">
        <w:rPr>
          <w:lang w:val="fr-FR"/>
        </w:rPr>
        <w:t xml:space="preserve"> L</w:t>
      </w:r>
      <w:r w:rsidR="00521B04" w:rsidRPr="009B071E">
        <w:rPr>
          <w:lang w:val="fr-FR"/>
        </w:rPr>
        <w:t>’</w:t>
      </w:r>
      <w:r w:rsidRPr="009B071E">
        <w:rPr>
          <w:lang w:val="fr-FR"/>
        </w:rPr>
        <w:t>Organe d</w:t>
      </w:r>
      <w:r w:rsidR="00521B04" w:rsidRPr="009B071E">
        <w:rPr>
          <w:lang w:val="fr-FR"/>
        </w:rPr>
        <w:t>’</w:t>
      </w:r>
      <w:r w:rsidRPr="009B071E">
        <w:rPr>
          <w:lang w:val="fr-FR"/>
        </w:rPr>
        <w:t>évaluation a eu le plaisir d</w:t>
      </w:r>
      <w:r w:rsidR="00521B04" w:rsidRPr="009B071E">
        <w:rPr>
          <w:lang w:val="fr-FR"/>
        </w:rPr>
        <w:t>’</w:t>
      </w:r>
      <w:r w:rsidRPr="009B071E">
        <w:rPr>
          <w:lang w:val="fr-FR"/>
        </w:rPr>
        <w:t>examiner treize candidatures multinationales au cours de ce cycle. Ce nombre de dossiers est similaire à celui du cycle 2022 (quatorze dossiers), ce qui continue d</w:t>
      </w:r>
      <w:r w:rsidR="00521B04" w:rsidRPr="009B071E">
        <w:rPr>
          <w:lang w:val="fr-FR"/>
        </w:rPr>
        <w:t>’</w:t>
      </w:r>
      <w:r w:rsidRPr="009B071E">
        <w:rPr>
          <w:lang w:val="fr-FR"/>
        </w:rPr>
        <w:t>indiquer la capacité et l</w:t>
      </w:r>
      <w:r w:rsidR="00521B04" w:rsidRPr="009B071E">
        <w:rPr>
          <w:lang w:val="fr-FR"/>
        </w:rPr>
        <w:t>’</w:t>
      </w:r>
      <w:r w:rsidRPr="009B071E">
        <w:rPr>
          <w:lang w:val="fr-FR"/>
        </w:rPr>
        <w:t xml:space="preserve">intérêt accrus des États parties pour le patrimoine culturel immatériel partagé. </w:t>
      </w:r>
      <w:r w:rsidR="00B94EB4" w:rsidRPr="009B071E">
        <w:rPr>
          <w:lang w:val="fr-FR"/>
        </w:rPr>
        <w:t>L’Organe a noté, dans certains cas, un déséquilibre dans la manière dont les États parties ont expliqué leur rôle dans le processus de candidature dans son ensemble. C’est pourquoi, dans quelques cas, l’Organe a eu recours au processus de dialogue pour obtenir des éclaircissements par les États individuels, notamment en ce qui concerne les critères R</w:t>
      </w:r>
      <w:r w:rsidR="00287E39" w:rsidRPr="009B071E">
        <w:rPr>
          <w:lang w:val="fr-FR"/>
        </w:rPr>
        <w:t>.</w:t>
      </w:r>
      <w:r w:rsidR="00B94EB4" w:rsidRPr="009B071E">
        <w:rPr>
          <w:lang w:val="fr-FR"/>
        </w:rPr>
        <w:t>3 et R</w:t>
      </w:r>
      <w:r w:rsidR="00287E39" w:rsidRPr="009B071E">
        <w:rPr>
          <w:lang w:val="fr-FR"/>
        </w:rPr>
        <w:t>.</w:t>
      </w:r>
      <w:r w:rsidR="00B94EB4" w:rsidRPr="009B071E">
        <w:rPr>
          <w:lang w:val="fr-FR"/>
        </w:rPr>
        <w:t xml:space="preserve">4. À l’avenir, il est rappelé aux États parties de préparer le dossier de manière à expliquer le rôle de tous les États soumissionnaires dans le processus de candidature lorsque les critères nécessitent une explication. </w:t>
      </w:r>
      <w:r w:rsidRPr="009B071E">
        <w:rPr>
          <w:lang w:val="fr-FR"/>
        </w:rPr>
        <w:t>L</w:t>
      </w:r>
      <w:r w:rsidR="00521B04" w:rsidRPr="009B071E">
        <w:rPr>
          <w:lang w:val="fr-FR"/>
        </w:rPr>
        <w:t>’</w:t>
      </w:r>
      <w:r w:rsidRPr="009B071E">
        <w:rPr>
          <w:lang w:val="fr-FR"/>
        </w:rPr>
        <w:t>Organe d</w:t>
      </w:r>
      <w:r w:rsidR="00521B04" w:rsidRPr="009B071E">
        <w:rPr>
          <w:lang w:val="fr-FR"/>
        </w:rPr>
        <w:t>’</w:t>
      </w:r>
      <w:r w:rsidRPr="009B071E">
        <w:rPr>
          <w:lang w:val="fr-FR"/>
        </w:rPr>
        <w:t>évaluation reconnaît la complexité de la préparation de tels dossiers et salue les efforts déployés par les États parties pour y parvenir. L</w:t>
      </w:r>
      <w:r w:rsidR="00521B04" w:rsidRPr="009B071E">
        <w:rPr>
          <w:lang w:val="fr-FR"/>
        </w:rPr>
        <w:t>’</w:t>
      </w:r>
      <w:r w:rsidRPr="009B071E">
        <w:rPr>
          <w:lang w:val="fr-FR"/>
        </w:rPr>
        <w:t>Organe d</w:t>
      </w:r>
      <w:r w:rsidR="00521B04" w:rsidRPr="009B071E">
        <w:rPr>
          <w:lang w:val="fr-FR"/>
        </w:rPr>
        <w:t>’</w:t>
      </w:r>
      <w:r w:rsidRPr="009B071E">
        <w:rPr>
          <w:lang w:val="fr-FR"/>
        </w:rPr>
        <w:t>évaluation est heureux de constater que le Secrétariat est en train de préparer une note d</w:t>
      </w:r>
      <w:r w:rsidR="00521B04" w:rsidRPr="009B071E">
        <w:rPr>
          <w:lang w:val="fr-FR"/>
        </w:rPr>
        <w:t>’</w:t>
      </w:r>
      <w:r w:rsidRPr="009B071E">
        <w:rPr>
          <w:lang w:val="fr-FR"/>
        </w:rPr>
        <w:t xml:space="preserve">orientation pour aider les États parties, conformément à la </w:t>
      </w:r>
      <w:r w:rsidR="007B66BE" w:rsidRPr="009B071E">
        <w:rPr>
          <w:lang w:val="fr-FR"/>
        </w:rPr>
        <w:t xml:space="preserve">décision </w:t>
      </w:r>
      <w:hyperlink r:id="rId30" w:history="1">
        <w:r w:rsidRPr="009B071E">
          <w:rPr>
            <w:rStyle w:val="Lienhypertexte"/>
            <w:lang w:val="fr-FR"/>
          </w:rPr>
          <w:t>15.COM 8</w:t>
        </w:r>
      </w:hyperlink>
      <w:r w:rsidRPr="009B071E">
        <w:rPr>
          <w:lang w:val="fr-FR"/>
        </w:rPr>
        <w:t xml:space="preserve"> et fournira d</w:t>
      </w:r>
      <w:r w:rsidR="00521B04" w:rsidRPr="009B071E">
        <w:rPr>
          <w:lang w:val="fr-FR"/>
        </w:rPr>
        <w:t>’</w:t>
      </w:r>
      <w:r w:rsidRPr="009B071E">
        <w:rPr>
          <w:lang w:val="fr-FR"/>
        </w:rPr>
        <w:t>autres mises à jour aux États parties en temps voulu.</w:t>
      </w:r>
    </w:p>
    <w:p w14:paraId="7FBEE2A0" w14:textId="00665E5A" w:rsidR="006E280B" w:rsidRPr="009B071E" w:rsidRDefault="006E280B" w:rsidP="006E280B">
      <w:pPr>
        <w:pStyle w:val="COMPara"/>
        <w:numPr>
          <w:ilvl w:val="0"/>
          <w:numId w:val="7"/>
        </w:numPr>
        <w:ind w:left="567" w:hanging="567"/>
        <w:jc w:val="both"/>
        <w:rPr>
          <w:lang w:val="fr-FR"/>
        </w:rPr>
      </w:pPr>
      <w:r w:rsidRPr="009B071E">
        <w:rPr>
          <w:b/>
          <w:bCs/>
          <w:lang w:val="fr-FR"/>
        </w:rPr>
        <w:t xml:space="preserve">Questions relatives à la qualité textuelle des </w:t>
      </w:r>
      <w:r w:rsidR="00946609" w:rsidRPr="009B071E">
        <w:rPr>
          <w:b/>
          <w:bCs/>
          <w:lang w:val="fr-FR"/>
        </w:rPr>
        <w:t>candidatures</w:t>
      </w:r>
      <w:r w:rsidRPr="009B071E">
        <w:rPr>
          <w:lang w:val="fr-FR"/>
        </w:rPr>
        <w:t>. Comme lors des cycles précédents, de nombreux dossiers de candidature présentaient des problèmes linguistiques, notamment un langage peu clair et imprécis, des phrases difficiles à comprendre (probablement dues à de mauvaises traductions de la langue d</w:t>
      </w:r>
      <w:r w:rsidR="00521B04" w:rsidRPr="009B071E">
        <w:rPr>
          <w:lang w:val="fr-FR"/>
        </w:rPr>
        <w:t>’</w:t>
      </w:r>
      <w:r w:rsidRPr="009B071E">
        <w:rPr>
          <w:lang w:val="fr-FR"/>
        </w:rPr>
        <w:t>origine), des erreurs typographiques et des informations mal placées dans les mauvaises sections. L</w:t>
      </w:r>
      <w:r w:rsidR="00521B04" w:rsidRPr="009B071E">
        <w:rPr>
          <w:lang w:val="fr-FR"/>
        </w:rPr>
        <w:t>’</w:t>
      </w:r>
      <w:r w:rsidRPr="009B071E">
        <w:rPr>
          <w:lang w:val="fr-FR"/>
        </w:rPr>
        <w:t>Organe d</w:t>
      </w:r>
      <w:r w:rsidR="00521B04" w:rsidRPr="009B071E">
        <w:rPr>
          <w:lang w:val="fr-FR"/>
        </w:rPr>
        <w:t>’</w:t>
      </w:r>
      <w:r w:rsidRPr="009B071E">
        <w:rPr>
          <w:lang w:val="fr-FR"/>
        </w:rPr>
        <w:t>évaluation a noté que ce problème persistait depuis les cycles précédents et souhaite souligner les poi</w:t>
      </w:r>
      <w:r w:rsidR="009B071E" w:rsidRPr="009B071E">
        <w:rPr>
          <w:lang w:val="fr-FR"/>
        </w:rPr>
        <w:t>n</w:t>
      </w:r>
      <w:r w:rsidRPr="009B071E">
        <w:rPr>
          <w:lang w:val="fr-FR"/>
        </w:rPr>
        <w:t>ts suivants pour le cycle de cette année :</w:t>
      </w:r>
    </w:p>
    <w:p w14:paraId="59090604" w14:textId="324A9BE4" w:rsidR="006E280B" w:rsidRPr="009B071E" w:rsidRDefault="006E280B" w:rsidP="006E280B">
      <w:pPr>
        <w:pStyle w:val="COMPara"/>
        <w:numPr>
          <w:ilvl w:val="0"/>
          <w:numId w:val="26"/>
        </w:numPr>
        <w:ind w:hanging="630"/>
        <w:jc w:val="both"/>
        <w:rPr>
          <w:rFonts w:eastAsiaTheme="minorEastAsia"/>
          <w:bCs/>
          <w:lang w:val="fr-FR"/>
        </w:rPr>
      </w:pPr>
      <w:r w:rsidRPr="009B071E">
        <w:rPr>
          <w:rFonts w:eastAsiaTheme="minorEastAsia"/>
          <w:b/>
          <w:bCs/>
          <w:lang w:val="fr-FR"/>
        </w:rPr>
        <w:t>Utilisation d</w:t>
      </w:r>
      <w:r w:rsidR="00521B04" w:rsidRPr="009B071E">
        <w:rPr>
          <w:rFonts w:eastAsiaTheme="minorEastAsia"/>
          <w:b/>
          <w:bCs/>
          <w:lang w:val="fr-FR"/>
        </w:rPr>
        <w:t>’</w:t>
      </w:r>
      <w:r w:rsidRPr="009B071E">
        <w:rPr>
          <w:rFonts w:eastAsiaTheme="minorEastAsia"/>
          <w:b/>
          <w:bCs/>
          <w:lang w:val="fr-FR"/>
        </w:rPr>
        <w:t>un langage inapproprié</w:t>
      </w:r>
      <w:r w:rsidRPr="009B071E">
        <w:rPr>
          <w:rFonts w:eastAsiaTheme="minorEastAsia"/>
          <w:lang w:val="fr-FR"/>
        </w:rPr>
        <w:t>. L</w:t>
      </w:r>
      <w:r w:rsidR="00521B04" w:rsidRPr="009B071E">
        <w:rPr>
          <w:rFonts w:eastAsiaTheme="minorEastAsia"/>
          <w:lang w:val="fr-FR"/>
        </w:rPr>
        <w:t>’</w:t>
      </w:r>
      <w:r w:rsidRPr="009B071E">
        <w:rPr>
          <w:rFonts w:eastAsiaTheme="minorEastAsia"/>
          <w:lang w:val="fr-FR"/>
        </w:rPr>
        <w:t>utilisation d</w:t>
      </w:r>
      <w:r w:rsidR="00521B04" w:rsidRPr="009B071E">
        <w:rPr>
          <w:rFonts w:eastAsiaTheme="minorEastAsia"/>
          <w:lang w:val="fr-FR"/>
        </w:rPr>
        <w:t>’</w:t>
      </w:r>
      <w:r w:rsidRPr="009B071E">
        <w:rPr>
          <w:rFonts w:eastAsiaTheme="minorEastAsia"/>
          <w:lang w:val="fr-FR"/>
        </w:rPr>
        <w:t>un langage inapproprié est un problème récurrent dans la préparation des dossiers de candidature. Les infractions comprennent l</w:t>
      </w:r>
      <w:r w:rsidR="00521B04" w:rsidRPr="009B071E">
        <w:rPr>
          <w:rFonts w:eastAsiaTheme="minorEastAsia"/>
          <w:lang w:val="fr-FR"/>
        </w:rPr>
        <w:t>’</w:t>
      </w:r>
      <w:r w:rsidRPr="009B071E">
        <w:rPr>
          <w:rFonts w:eastAsiaTheme="minorEastAsia"/>
          <w:lang w:val="fr-FR"/>
        </w:rPr>
        <w:t>utilisation de termes tels que « </w:t>
      </w:r>
      <w:r w:rsidRPr="009B071E">
        <w:rPr>
          <w:rFonts w:eastAsiaTheme="minorEastAsia"/>
          <w:i/>
          <w:iCs/>
          <w:lang w:val="fr-FR"/>
        </w:rPr>
        <w:t>originalité »</w:t>
      </w:r>
      <w:r w:rsidRPr="009B071E">
        <w:rPr>
          <w:rFonts w:eastAsiaTheme="minorEastAsia"/>
          <w:lang w:val="fr-FR"/>
        </w:rPr>
        <w:t xml:space="preserve">, </w:t>
      </w:r>
      <w:r w:rsidR="00802394" w:rsidRPr="009B071E">
        <w:rPr>
          <w:rFonts w:eastAsiaTheme="minorEastAsia"/>
          <w:i/>
          <w:iCs/>
          <w:lang w:val="fr-FR"/>
        </w:rPr>
        <w:t>« authenticité »</w:t>
      </w:r>
      <w:r w:rsidR="000F2CD7" w:rsidRPr="009B071E">
        <w:rPr>
          <w:rFonts w:eastAsiaTheme="minorEastAsia"/>
          <w:i/>
          <w:iCs/>
          <w:lang w:val="fr-FR"/>
        </w:rPr>
        <w:t>,</w:t>
      </w:r>
      <w:r w:rsidR="00802394" w:rsidRPr="009B071E">
        <w:rPr>
          <w:rFonts w:eastAsiaTheme="minorEastAsia"/>
          <w:lang w:val="fr-FR"/>
        </w:rPr>
        <w:t xml:space="preserve"> </w:t>
      </w:r>
      <w:r w:rsidRPr="009B071E">
        <w:rPr>
          <w:rFonts w:eastAsiaTheme="minorEastAsia"/>
          <w:lang w:val="fr-FR"/>
        </w:rPr>
        <w:t>« </w:t>
      </w:r>
      <w:r w:rsidRPr="009B071E">
        <w:rPr>
          <w:rFonts w:eastAsiaTheme="minorEastAsia"/>
          <w:i/>
          <w:iCs/>
          <w:lang w:val="fr-FR"/>
        </w:rPr>
        <w:t>unique », « étranger » ou « pureté »</w:t>
      </w:r>
      <w:r w:rsidRPr="009B071E">
        <w:rPr>
          <w:rFonts w:eastAsiaTheme="minorEastAsia"/>
          <w:lang w:val="fr-FR"/>
        </w:rPr>
        <w:t xml:space="preserve">, qui peuvent impliquer </w:t>
      </w:r>
      <w:r w:rsidR="00B94EB4" w:rsidRPr="009B071E">
        <w:rPr>
          <w:rFonts w:eastAsiaTheme="minorEastAsia"/>
          <w:lang w:val="fr-FR"/>
        </w:rPr>
        <w:t>le gel</w:t>
      </w:r>
      <w:r w:rsidR="006609D6" w:rsidRPr="009B071E">
        <w:rPr>
          <w:rFonts w:eastAsiaTheme="minorEastAsia"/>
          <w:lang w:val="fr-FR"/>
        </w:rPr>
        <w:t xml:space="preserve"> </w:t>
      </w:r>
      <w:r w:rsidR="00B94EB4" w:rsidRPr="009B071E">
        <w:rPr>
          <w:rFonts w:eastAsiaTheme="minorEastAsia"/>
          <w:lang w:val="fr-FR"/>
        </w:rPr>
        <w:t>d’</w:t>
      </w:r>
      <w:r w:rsidRPr="009B071E">
        <w:rPr>
          <w:rFonts w:eastAsiaTheme="minorEastAsia"/>
          <w:lang w:val="fr-FR"/>
        </w:rPr>
        <w:t>un élément ; ou l</w:t>
      </w:r>
      <w:r w:rsidR="00521B04" w:rsidRPr="009B071E">
        <w:rPr>
          <w:rFonts w:eastAsiaTheme="minorEastAsia"/>
          <w:lang w:val="fr-FR"/>
        </w:rPr>
        <w:t>’</w:t>
      </w:r>
      <w:r w:rsidRPr="009B071E">
        <w:rPr>
          <w:rFonts w:eastAsiaTheme="minorEastAsia"/>
          <w:lang w:val="fr-FR"/>
        </w:rPr>
        <w:t>utilisation de déclarations qui suggèrent l</w:t>
      </w:r>
      <w:r w:rsidR="00521B04" w:rsidRPr="009B071E">
        <w:rPr>
          <w:rFonts w:eastAsiaTheme="minorEastAsia"/>
          <w:lang w:val="fr-FR"/>
        </w:rPr>
        <w:t>’</w:t>
      </w:r>
      <w:r w:rsidRPr="009B071E">
        <w:rPr>
          <w:rFonts w:eastAsiaTheme="minorEastAsia"/>
          <w:lang w:val="fr-FR"/>
        </w:rPr>
        <w:t>exclusivité ou la propriété d</w:t>
      </w:r>
      <w:r w:rsidR="00521B04" w:rsidRPr="009B071E">
        <w:rPr>
          <w:rFonts w:eastAsiaTheme="minorEastAsia"/>
          <w:lang w:val="fr-FR"/>
        </w:rPr>
        <w:t>’</w:t>
      </w:r>
      <w:r w:rsidRPr="009B071E">
        <w:rPr>
          <w:rFonts w:eastAsiaTheme="minorEastAsia"/>
          <w:lang w:val="fr-FR"/>
        </w:rPr>
        <w:t>un élément. Ce type de langage et de déclarations n</w:t>
      </w:r>
      <w:r w:rsidR="00521B04" w:rsidRPr="009B071E">
        <w:rPr>
          <w:rFonts w:eastAsiaTheme="minorEastAsia"/>
          <w:lang w:val="fr-FR"/>
        </w:rPr>
        <w:t>’</w:t>
      </w:r>
      <w:r w:rsidRPr="009B071E">
        <w:rPr>
          <w:rFonts w:eastAsiaTheme="minorEastAsia"/>
          <w:lang w:val="fr-FR"/>
        </w:rPr>
        <w:t>est pas conforme à l</w:t>
      </w:r>
      <w:r w:rsidR="00521B04" w:rsidRPr="009B071E">
        <w:rPr>
          <w:rFonts w:eastAsiaTheme="minorEastAsia"/>
          <w:lang w:val="fr-FR"/>
        </w:rPr>
        <w:t>’</w:t>
      </w:r>
      <w:r w:rsidRPr="009B071E">
        <w:rPr>
          <w:rFonts w:eastAsiaTheme="minorEastAsia"/>
          <w:lang w:val="fr-FR"/>
        </w:rPr>
        <w:t>esprit de la Convention et ne devrait pas être inclus dans la rédaction des dossiers de candidature.</w:t>
      </w:r>
    </w:p>
    <w:p w14:paraId="4A38A4E3" w14:textId="4EA54390" w:rsidR="006E280B" w:rsidRPr="009B071E" w:rsidRDefault="006E280B" w:rsidP="006E280B">
      <w:pPr>
        <w:pStyle w:val="COMPara"/>
        <w:numPr>
          <w:ilvl w:val="0"/>
          <w:numId w:val="26"/>
        </w:numPr>
        <w:ind w:hanging="630"/>
        <w:jc w:val="both"/>
        <w:rPr>
          <w:rFonts w:eastAsiaTheme="minorEastAsia"/>
          <w:bCs/>
          <w:lang w:val="fr-FR"/>
        </w:rPr>
      </w:pPr>
      <w:r w:rsidRPr="009B071E">
        <w:rPr>
          <w:rFonts w:eastAsiaTheme="minorEastAsia"/>
          <w:b/>
          <w:bCs/>
          <w:lang w:val="fr-FR"/>
        </w:rPr>
        <w:t>Titres des éléments</w:t>
      </w:r>
      <w:r w:rsidRPr="009B071E">
        <w:rPr>
          <w:rFonts w:eastAsiaTheme="minorEastAsia"/>
          <w:lang w:val="fr-FR"/>
        </w:rPr>
        <w:t>. L</w:t>
      </w:r>
      <w:r w:rsidR="00521B04" w:rsidRPr="009B071E">
        <w:rPr>
          <w:rFonts w:eastAsiaTheme="minorEastAsia"/>
          <w:lang w:val="fr-FR"/>
        </w:rPr>
        <w:t>’</w:t>
      </w:r>
      <w:r w:rsidRPr="009B071E">
        <w:rPr>
          <w:rFonts w:eastAsiaTheme="minorEastAsia"/>
          <w:lang w:val="fr-FR"/>
        </w:rPr>
        <w:t>Organe d</w:t>
      </w:r>
      <w:r w:rsidR="00521B04" w:rsidRPr="009B071E">
        <w:rPr>
          <w:rFonts w:eastAsiaTheme="minorEastAsia"/>
          <w:lang w:val="fr-FR"/>
        </w:rPr>
        <w:t>’</w:t>
      </w:r>
      <w:r w:rsidRPr="009B071E">
        <w:rPr>
          <w:rFonts w:eastAsiaTheme="minorEastAsia"/>
          <w:lang w:val="fr-FR"/>
        </w:rPr>
        <w:t>évaluation n</w:t>
      </w:r>
      <w:r w:rsidR="00521B04" w:rsidRPr="009B071E">
        <w:rPr>
          <w:rFonts w:eastAsiaTheme="minorEastAsia"/>
          <w:lang w:val="fr-FR"/>
        </w:rPr>
        <w:t>’</w:t>
      </w:r>
      <w:r w:rsidRPr="009B071E">
        <w:rPr>
          <w:rFonts w:eastAsiaTheme="minorEastAsia"/>
          <w:lang w:val="fr-FR"/>
        </w:rPr>
        <w:t>a recommandé des changements de titre que dans quelques cas. Cependant, l</w:t>
      </w:r>
      <w:r w:rsidR="00521B04" w:rsidRPr="009B071E">
        <w:rPr>
          <w:rFonts w:eastAsiaTheme="minorEastAsia"/>
          <w:lang w:val="fr-FR"/>
        </w:rPr>
        <w:t>’</w:t>
      </w:r>
      <w:r w:rsidRPr="009B071E">
        <w:rPr>
          <w:rFonts w:eastAsiaTheme="minorEastAsia"/>
          <w:lang w:val="fr-FR"/>
        </w:rPr>
        <w:t>Organe d</w:t>
      </w:r>
      <w:r w:rsidR="00521B04" w:rsidRPr="009B071E">
        <w:rPr>
          <w:rFonts w:eastAsiaTheme="minorEastAsia"/>
          <w:lang w:val="fr-FR"/>
        </w:rPr>
        <w:t>’</w:t>
      </w:r>
      <w:r w:rsidRPr="009B071E">
        <w:rPr>
          <w:rFonts w:eastAsiaTheme="minorEastAsia"/>
          <w:lang w:val="fr-FR"/>
        </w:rPr>
        <w:t>évaluation a pris note de la tendance générale positive selon laquelle les États parties ont fourni des titres qui correspondent à la nature et aux caractéristiques de l</w:t>
      </w:r>
      <w:r w:rsidR="00521B04" w:rsidRPr="009B071E">
        <w:rPr>
          <w:rFonts w:eastAsiaTheme="minorEastAsia"/>
          <w:lang w:val="fr-FR"/>
        </w:rPr>
        <w:t>’</w:t>
      </w:r>
      <w:r w:rsidRPr="009B071E">
        <w:rPr>
          <w:rFonts w:eastAsiaTheme="minorEastAsia"/>
          <w:lang w:val="fr-FR"/>
        </w:rPr>
        <w:t>élément proposé.</w:t>
      </w:r>
    </w:p>
    <w:p w14:paraId="7A18F460" w14:textId="723E49BB" w:rsidR="007D3823" w:rsidRPr="009B071E" w:rsidRDefault="006E280B" w:rsidP="009F5362">
      <w:pPr>
        <w:pStyle w:val="COMPara"/>
        <w:numPr>
          <w:ilvl w:val="0"/>
          <w:numId w:val="26"/>
        </w:numPr>
        <w:ind w:hanging="630"/>
        <w:jc w:val="both"/>
        <w:rPr>
          <w:lang w:val="fr-FR"/>
        </w:rPr>
      </w:pPr>
      <w:r w:rsidRPr="009B071E">
        <w:rPr>
          <w:rFonts w:eastAsiaTheme="minorEastAsia"/>
          <w:b/>
          <w:bCs/>
          <w:lang w:val="fr-FR"/>
        </w:rPr>
        <w:t>Duplication ou perte d</w:t>
      </w:r>
      <w:r w:rsidR="00521B04" w:rsidRPr="009B071E">
        <w:rPr>
          <w:rFonts w:eastAsiaTheme="minorEastAsia"/>
          <w:b/>
          <w:bCs/>
          <w:lang w:val="fr-FR"/>
        </w:rPr>
        <w:t>’</w:t>
      </w:r>
      <w:r w:rsidRPr="009B071E">
        <w:rPr>
          <w:rFonts w:eastAsiaTheme="minorEastAsia"/>
          <w:b/>
          <w:bCs/>
          <w:lang w:val="fr-FR"/>
        </w:rPr>
        <w:t>informations</w:t>
      </w:r>
      <w:r w:rsidRPr="009B071E">
        <w:rPr>
          <w:rFonts w:eastAsiaTheme="minorEastAsia"/>
          <w:lang w:val="fr-FR"/>
        </w:rPr>
        <w:t>. Dans plusieurs cas, l</w:t>
      </w:r>
      <w:r w:rsidR="00521B04" w:rsidRPr="009B071E">
        <w:rPr>
          <w:rFonts w:eastAsiaTheme="minorEastAsia"/>
          <w:lang w:val="fr-FR"/>
        </w:rPr>
        <w:t>’</w:t>
      </w:r>
      <w:r w:rsidRPr="009B071E">
        <w:rPr>
          <w:rFonts w:eastAsiaTheme="minorEastAsia"/>
          <w:lang w:val="fr-FR"/>
        </w:rPr>
        <w:t>Organe d</w:t>
      </w:r>
      <w:r w:rsidR="00521B04" w:rsidRPr="009B071E">
        <w:rPr>
          <w:rFonts w:eastAsiaTheme="minorEastAsia"/>
          <w:lang w:val="fr-FR"/>
        </w:rPr>
        <w:t>’</w:t>
      </w:r>
      <w:r w:rsidRPr="009B071E">
        <w:rPr>
          <w:rFonts w:eastAsiaTheme="minorEastAsia"/>
          <w:lang w:val="fr-FR"/>
        </w:rPr>
        <w:t>évaluation a observé que les informations censées répondre à un critère étaient dupliquées en réponse à un autre critère. De même, des informations qui auraient été plus appropriées pour répondre à un critère ont été utilisées pour répondre à des critères non liés, selon la méthode du « </w:t>
      </w:r>
      <w:r w:rsidRPr="009B071E">
        <w:rPr>
          <w:rFonts w:eastAsiaTheme="minorEastAsia"/>
          <w:i/>
          <w:iCs/>
          <w:lang w:val="fr-FR"/>
        </w:rPr>
        <w:t>copier-coller »</w:t>
      </w:r>
      <w:r w:rsidRPr="009B071E">
        <w:rPr>
          <w:rFonts w:eastAsiaTheme="minorEastAsia"/>
          <w:lang w:val="fr-FR"/>
        </w:rPr>
        <w:t>. Bien que l</w:t>
      </w:r>
      <w:r w:rsidR="00521B04" w:rsidRPr="009B071E">
        <w:rPr>
          <w:rFonts w:eastAsiaTheme="minorEastAsia"/>
          <w:lang w:val="fr-FR"/>
        </w:rPr>
        <w:t>’</w:t>
      </w:r>
      <w:r w:rsidRPr="009B071E">
        <w:rPr>
          <w:rFonts w:eastAsiaTheme="minorEastAsia"/>
          <w:lang w:val="fr-FR"/>
        </w:rPr>
        <w:t>Organe d</w:t>
      </w:r>
      <w:r w:rsidR="00521B04" w:rsidRPr="009B071E">
        <w:rPr>
          <w:rFonts w:eastAsiaTheme="minorEastAsia"/>
          <w:lang w:val="fr-FR"/>
        </w:rPr>
        <w:t>’</w:t>
      </w:r>
      <w:r w:rsidRPr="009B071E">
        <w:rPr>
          <w:rFonts w:eastAsiaTheme="minorEastAsia"/>
          <w:lang w:val="fr-FR"/>
        </w:rPr>
        <w:t>évaluation ait fait preuve d</w:t>
      </w:r>
      <w:r w:rsidR="00521B04" w:rsidRPr="009B071E">
        <w:rPr>
          <w:rFonts w:eastAsiaTheme="minorEastAsia"/>
          <w:lang w:val="fr-FR"/>
        </w:rPr>
        <w:t>’</w:t>
      </w:r>
      <w:r w:rsidRPr="009B071E">
        <w:rPr>
          <w:rFonts w:eastAsiaTheme="minorEastAsia"/>
          <w:lang w:val="fr-FR"/>
        </w:rPr>
        <w:t xml:space="preserve">indulgence sur ce point, les États soumissionnaires sont encouragés à </w:t>
      </w:r>
      <w:r w:rsidR="0057440E" w:rsidRPr="009B071E">
        <w:rPr>
          <w:rFonts w:eastAsiaTheme="minorEastAsia"/>
          <w:lang w:val="fr-FR"/>
        </w:rPr>
        <w:t>veiller à ce que</w:t>
      </w:r>
      <w:r w:rsidRPr="009B071E">
        <w:rPr>
          <w:rFonts w:eastAsiaTheme="minorEastAsia"/>
          <w:lang w:val="fr-FR"/>
        </w:rPr>
        <w:t xml:space="preserve"> les réponses ne so</w:t>
      </w:r>
      <w:r w:rsidR="0057440E" w:rsidRPr="009B071E">
        <w:rPr>
          <w:rFonts w:eastAsiaTheme="minorEastAsia"/>
          <w:lang w:val="fr-FR"/>
        </w:rPr>
        <w:t>ie</w:t>
      </w:r>
      <w:r w:rsidRPr="009B071E">
        <w:rPr>
          <w:rFonts w:eastAsiaTheme="minorEastAsia"/>
          <w:lang w:val="fr-FR"/>
        </w:rPr>
        <w:t xml:space="preserve">nt pas dupliquées et </w:t>
      </w:r>
      <w:r w:rsidR="0057440E" w:rsidRPr="009B071E">
        <w:rPr>
          <w:rFonts w:eastAsiaTheme="minorEastAsia"/>
          <w:lang w:val="fr-FR"/>
        </w:rPr>
        <w:t xml:space="preserve">à ce </w:t>
      </w:r>
      <w:r w:rsidRPr="009B071E">
        <w:rPr>
          <w:rFonts w:eastAsiaTheme="minorEastAsia"/>
          <w:lang w:val="fr-FR"/>
        </w:rPr>
        <w:t>qu</w:t>
      </w:r>
      <w:r w:rsidR="00521B04" w:rsidRPr="009B071E">
        <w:rPr>
          <w:rFonts w:eastAsiaTheme="minorEastAsia"/>
          <w:lang w:val="fr-FR"/>
        </w:rPr>
        <w:t>’</w:t>
      </w:r>
      <w:r w:rsidRPr="009B071E">
        <w:rPr>
          <w:rFonts w:eastAsiaTheme="minorEastAsia"/>
          <w:lang w:val="fr-FR"/>
        </w:rPr>
        <w:t>elles so</w:t>
      </w:r>
      <w:r w:rsidR="0057440E" w:rsidRPr="009B071E">
        <w:rPr>
          <w:rFonts w:eastAsiaTheme="minorEastAsia"/>
          <w:lang w:val="fr-FR"/>
        </w:rPr>
        <w:t>ie</w:t>
      </w:r>
      <w:r w:rsidRPr="009B071E">
        <w:rPr>
          <w:rFonts w:eastAsiaTheme="minorEastAsia"/>
          <w:lang w:val="fr-FR"/>
        </w:rPr>
        <w:t xml:space="preserve">nt </w:t>
      </w:r>
      <w:r w:rsidR="0057440E" w:rsidRPr="009B071E">
        <w:rPr>
          <w:rFonts w:eastAsiaTheme="minorEastAsia"/>
          <w:lang w:val="fr-FR"/>
        </w:rPr>
        <w:t>bien développées en réponse au critère spécifique</w:t>
      </w:r>
      <w:r w:rsidRPr="009B071E">
        <w:rPr>
          <w:rFonts w:eastAsiaTheme="minorEastAsia"/>
          <w:lang w:val="fr-FR"/>
        </w:rPr>
        <w:t>.</w:t>
      </w:r>
    </w:p>
    <w:p w14:paraId="65EC7FC2" w14:textId="4DC1446F" w:rsidR="009078B5" w:rsidRPr="009B071E" w:rsidRDefault="009078B5" w:rsidP="00637684">
      <w:pPr>
        <w:pStyle w:val="COMPara"/>
        <w:numPr>
          <w:ilvl w:val="0"/>
          <w:numId w:val="0"/>
        </w:numPr>
        <w:spacing w:before="240"/>
        <w:rPr>
          <w:rFonts w:eastAsiaTheme="minorEastAsia"/>
          <w:b/>
          <w:i/>
          <w:lang w:val="fr-FR"/>
        </w:rPr>
      </w:pPr>
      <w:r w:rsidRPr="009B071E">
        <w:rPr>
          <w:rFonts w:eastAsiaTheme="minorEastAsia"/>
          <w:b/>
          <w:bCs/>
          <w:i/>
          <w:iCs/>
          <w:lang w:val="fr-FR"/>
        </w:rPr>
        <w:t>Bons exemples</w:t>
      </w:r>
    </w:p>
    <w:p w14:paraId="3CEE22CC" w14:textId="4218ADE0" w:rsidR="009078B5" w:rsidRPr="009B071E" w:rsidRDefault="009078B5" w:rsidP="009078B5">
      <w:pPr>
        <w:pStyle w:val="COMPara"/>
        <w:numPr>
          <w:ilvl w:val="0"/>
          <w:numId w:val="7"/>
        </w:numPr>
        <w:ind w:left="567" w:hanging="567"/>
        <w:jc w:val="both"/>
        <w:rPr>
          <w:lang w:val="fr-FR"/>
        </w:rPr>
      </w:pPr>
      <w:r w:rsidRPr="009B071E">
        <w:rPr>
          <w:lang w:val="fr-FR"/>
        </w:rPr>
        <w:t>L</w:t>
      </w:r>
      <w:r w:rsidR="00521B04" w:rsidRPr="009B071E">
        <w:rPr>
          <w:lang w:val="fr-FR"/>
        </w:rPr>
        <w:t>’</w:t>
      </w:r>
      <w:r w:rsidRPr="009B071E">
        <w:rPr>
          <w:lang w:val="fr-FR"/>
        </w:rPr>
        <w:t>Organe d</w:t>
      </w:r>
      <w:r w:rsidR="00521B04" w:rsidRPr="009B071E">
        <w:rPr>
          <w:lang w:val="fr-FR"/>
        </w:rPr>
        <w:t>’</w:t>
      </w:r>
      <w:r w:rsidRPr="009B071E">
        <w:rPr>
          <w:lang w:val="fr-FR"/>
        </w:rPr>
        <w:t xml:space="preserve">évaluation félicite les nombreuses communautés, groupes et individus dont le patrimoine culturel immatériel a été proposé. Au cours de ce cycle, </w:t>
      </w:r>
      <w:r w:rsidR="00AC5D05" w:rsidRPr="009B071E">
        <w:rPr>
          <w:lang w:val="fr-FR"/>
        </w:rPr>
        <w:t>le</w:t>
      </w:r>
      <w:r w:rsidRPr="009B071E">
        <w:rPr>
          <w:lang w:val="fr-FR"/>
        </w:rPr>
        <w:t xml:space="preserve"> nombre de dossiers bien préparés provenant d</w:t>
      </w:r>
      <w:r w:rsidR="00521B04" w:rsidRPr="009B071E">
        <w:rPr>
          <w:lang w:val="fr-FR"/>
        </w:rPr>
        <w:t>’</w:t>
      </w:r>
      <w:r w:rsidRPr="009B071E">
        <w:rPr>
          <w:lang w:val="fr-FR"/>
        </w:rPr>
        <w:t>un plus grand nombre de régions</w:t>
      </w:r>
      <w:r w:rsidR="00AC5D05" w:rsidRPr="009B071E">
        <w:rPr>
          <w:lang w:val="fr-FR"/>
        </w:rPr>
        <w:t xml:space="preserve"> a augmenté. Cela reflète la capacité accrue des États soumissionnaires. L’Organe a également noté que de nombreux dossiers de ce cycle mettent en évidence le rôle du patrimoine vivant dans le rapprochement de diverses communautés et dans la démonstration de l’inclusivité. </w:t>
      </w:r>
      <w:r w:rsidRPr="009B071E">
        <w:rPr>
          <w:lang w:val="fr-FR"/>
        </w:rPr>
        <w:t>L</w:t>
      </w:r>
      <w:r w:rsidR="00521B04" w:rsidRPr="009B071E">
        <w:rPr>
          <w:lang w:val="fr-FR"/>
        </w:rPr>
        <w:t>’</w:t>
      </w:r>
      <w:r w:rsidRPr="009B071E">
        <w:rPr>
          <w:lang w:val="fr-FR"/>
        </w:rPr>
        <w:t>Organe d</w:t>
      </w:r>
      <w:r w:rsidR="00521B04" w:rsidRPr="009B071E">
        <w:rPr>
          <w:lang w:val="fr-FR"/>
        </w:rPr>
        <w:t>’</w:t>
      </w:r>
      <w:r w:rsidRPr="009B071E">
        <w:rPr>
          <w:lang w:val="fr-FR"/>
        </w:rPr>
        <w:t>évaluation est heureux de recommander certaines candidatures de ce cycle comme de bons exemples :</w:t>
      </w:r>
    </w:p>
    <w:p w14:paraId="16B9C67A" w14:textId="75400B33" w:rsidR="009078B5" w:rsidRPr="009B071E" w:rsidRDefault="009078B5" w:rsidP="009078B5">
      <w:pPr>
        <w:pStyle w:val="COMPara"/>
        <w:keepNext/>
        <w:numPr>
          <w:ilvl w:val="2"/>
          <w:numId w:val="7"/>
        </w:numPr>
        <w:spacing w:before="240"/>
        <w:ind w:left="1170" w:hanging="450"/>
        <w:jc w:val="both"/>
        <w:rPr>
          <w:rFonts w:eastAsiaTheme="minorEastAsia"/>
          <w:b/>
          <w:bCs/>
          <w:lang w:val="fr-FR"/>
        </w:rPr>
      </w:pPr>
      <w:r w:rsidRPr="009B071E">
        <w:rPr>
          <w:rFonts w:eastAsiaTheme="minorEastAsia"/>
          <w:b/>
          <w:bCs/>
          <w:lang w:val="fr-FR"/>
        </w:rPr>
        <w:lastRenderedPageBreak/>
        <w:t xml:space="preserve">Registre de bonnes pratiques de sauvegarde </w:t>
      </w:r>
      <w:r w:rsidR="006609D6" w:rsidRPr="009B071E">
        <w:rPr>
          <w:rFonts w:eastAsiaTheme="minorEastAsia"/>
          <w:b/>
          <w:bCs/>
          <w:lang w:val="fr-FR"/>
        </w:rPr>
        <w:t>–</w:t>
      </w:r>
      <w:r w:rsidRPr="009B071E">
        <w:rPr>
          <w:rFonts w:eastAsiaTheme="minorEastAsia"/>
          <w:b/>
          <w:bCs/>
          <w:lang w:val="fr-FR"/>
        </w:rPr>
        <w:t xml:space="preserve"> Dossiers</w:t>
      </w:r>
      <w:r w:rsidR="006609D6" w:rsidRPr="009B071E">
        <w:rPr>
          <w:rFonts w:eastAsiaTheme="minorEastAsia"/>
          <w:b/>
          <w:bCs/>
          <w:lang w:val="fr-FR"/>
        </w:rPr>
        <w:t xml:space="preserve"> </w:t>
      </w:r>
      <w:r w:rsidRPr="009B071E">
        <w:rPr>
          <w:rFonts w:eastAsiaTheme="minorEastAsia"/>
          <w:b/>
          <w:bCs/>
          <w:lang w:val="fr-FR"/>
        </w:rPr>
        <w:t>généraux</w:t>
      </w:r>
    </w:p>
    <w:p w14:paraId="6FFFEC0B" w14:textId="32CB06DB" w:rsidR="009078B5" w:rsidRPr="009B071E" w:rsidRDefault="009078B5" w:rsidP="00764CAB">
      <w:pPr>
        <w:pStyle w:val="COMPara"/>
        <w:numPr>
          <w:ilvl w:val="0"/>
          <w:numId w:val="0"/>
        </w:numPr>
        <w:ind w:left="590" w:hanging="43"/>
        <w:jc w:val="both"/>
        <w:rPr>
          <w:lang w:val="fr-FR"/>
        </w:rPr>
      </w:pPr>
      <w:r w:rsidRPr="009B071E">
        <w:rPr>
          <w:lang w:val="fr-FR"/>
        </w:rPr>
        <w:t>« </w:t>
      </w:r>
      <w:r w:rsidR="00245C22" w:rsidRPr="009B071E">
        <w:rPr>
          <w:i/>
          <w:iCs/>
          <w:lang w:val="fr-FR"/>
        </w:rPr>
        <w:t xml:space="preserve">Le réseau dédié au </w:t>
      </w:r>
      <w:proofErr w:type="spellStart"/>
      <w:r w:rsidR="00245C22" w:rsidRPr="009B071E">
        <w:rPr>
          <w:i/>
          <w:iCs/>
          <w:lang w:val="fr-FR"/>
        </w:rPr>
        <w:t>nyckelharpa</w:t>
      </w:r>
      <w:proofErr w:type="spellEnd"/>
      <w:r w:rsidR="00245C22" w:rsidRPr="009B071E">
        <w:rPr>
          <w:i/>
          <w:iCs/>
          <w:lang w:val="fr-FR"/>
        </w:rPr>
        <w:t xml:space="preserve">, diffusion innovante d’une tradition musicale et de lutherie ayant ses racines en Suède </w:t>
      </w:r>
      <w:r w:rsidRPr="009B071E">
        <w:rPr>
          <w:i/>
          <w:iCs/>
          <w:lang w:val="fr-FR"/>
        </w:rPr>
        <w:t xml:space="preserve">», </w:t>
      </w:r>
      <w:r w:rsidRPr="009B071E">
        <w:rPr>
          <w:lang w:val="fr-FR"/>
        </w:rPr>
        <w:t>présenté par la Suède, est un bon exemple de modèle de sauvegarde qui présente des méthodes de sauvegarde innovantes et à multiples facettes, y compris des plans financiers et techniques clairs, et qui démontre le pouvoir d</w:t>
      </w:r>
      <w:r w:rsidR="00521B04" w:rsidRPr="009B071E">
        <w:rPr>
          <w:lang w:val="fr-FR"/>
        </w:rPr>
        <w:t>’</w:t>
      </w:r>
      <w:r w:rsidRPr="009B071E">
        <w:rPr>
          <w:lang w:val="fr-FR"/>
        </w:rPr>
        <w:t>une communauté à revitaliser un élément.</w:t>
      </w:r>
    </w:p>
    <w:p w14:paraId="0CD322C5" w14:textId="0CAD629A" w:rsidR="009078B5" w:rsidRPr="009B071E" w:rsidRDefault="009078B5" w:rsidP="00764CAB">
      <w:pPr>
        <w:pStyle w:val="COMPara"/>
        <w:keepNext/>
        <w:numPr>
          <w:ilvl w:val="2"/>
          <w:numId w:val="7"/>
        </w:numPr>
        <w:spacing w:before="240"/>
        <w:ind w:left="1166" w:hanging="446"/>
        <w:jc w:val="both"/>
        <w:rPr>
          <w:rFonts w:eastAsiaTheme="minorEastAsia"/>
          <w:b/>
          <w:bCs/>
          <w:lang w:val="fr-FR"/>
        </w:rPr>
      </w:pPr>
      <w:r w:rsidRPr="009B071E">
        <w:rPr>
          <w:rFonts w:eastAsiaTheme="minorEastAsia"/>
          <w:b/>
          <w:bCs/>
          <w:lang w:val="fr-FR"/>
        </w:rPr>
        <w:t>Liste représentative du patrimoine culturel immatériel de l</w:t>
      </w:r>
      <w:r w:rsidR="00521B04" w:rsidRPr="009B071E">
        <w:rPr>
          <w:rFonts w:eastAsiaTheme="minorEastAsia"/>
          <w:b/>
          <w:bCs/>
          <w:lang w:val="fr-FR"/>
        </w:rPr>
        <w:t>’</w:t>
      </w:r>
      <w:r w:rsidRPr="009B071E">
        <w:rPr>
          <w:rFonts w:eastAsiaTheme="minorEastAsia"/>
          <w:b/>
          <w:bCs/>
          <w:lang w:val="fr-FR"/>
        </w:rPr>
        <w:t xml:space="preserve">humanité </w:t>
      </w:r>
      <w:r w:rsidR="006609D6" w:rsidRPr="009B071E">
        <w:rPr>
          <w:rFonts w:eastAsiaTheme="minorEastAsia"/>
          <w:b/>
          <w:bCs/>
          <w:lang w:val="fr-FR"/>
        </w:rPr>
        <w:t>–</w:t>
      </w:r>
      <w:r w:rsidRPr="009B071E">
        <w:rPr>
          <w:rFonts w:eastAsiaTheme="minorEastAsia"/>
          <w:b/>
          <w:bCs/>
          <w:lang w:val="fr-FR"/>
        </w:rPr>
        <w:t xml:space="preserve"> Dossiers</w:t>
      </w:r>
      <w:r w:rsidR="006609D6" w:rsidRPr="009B071E">
        <w:rPr>
          <w:rFonts w:eastAsiaTheme="minorEastAsia"/>
          <w:b/>
          <w:bCs/>
          <w:lang w:val="fr-FR"/>
        </w:rPr>
        <w:t xml:space="preserve"> </w:t>
      </w:r>
      <w:r w:rsidR="00764CAB" w:rsidRPr="009B071E">
        <w:rPr>
          <w:rFonts w:eastAsiaTheme="minorEastAsia"/>
          <w:b/>
          <w:bCs/>
          <w:lang w:val="fr-FR"/>
        </w:rPr>
        <w:t>généraux</w:t>
      </w:r>
      <w:r w:rsidR="00764CAB" w:rsidRPr="009B071E" w:rsidDel="00340ED4">
        <w:rPr>
          <w:rFonts w:eastAsiaTheme="minorEastAsia"/>
          <w:b/>
          <w:bCs/>
          <w:lang w:val="fr-FR"/>
        </w:rPr>
        <w:t xml:space="preserve"> </w:t>
      </w:r>
    </w:p>
    <w:p w14:paraId="1AE992AC" w14:textId="72AC5667" w:rsidR="009078B5" w:rsidRPr="009B071E" w:rsidRDefault="009078B5" w:rsidP="009078B5">
      <w:pPr>
        <w:pStyle w:val="COMPara"/>
        <w:numPr>
          <w:ilvl w:val="0"/>
          <w:numId w:val="0"/>
        </w:numPr>
        <w:ind w:left="547"/>
        <w:jc w:val="both"/>
        <w:rPr>
          <w:rFonts w:eastAsiaTheme="minorEastAsia"/>
          <w:bCs/>
          <w:lang w:val="fr-FR"/>
        </w:rPr>
      </w:pPr>
      <w:r w:rsidRPr="009B071E">
        <w:rPr>
          <w:lang w:val="fr-FR"/>
        </w:rPr>
        <w:t>« </w:t>
      </w:r>
      <w:r w:rsidRPr="009B071E">
        <w:rPr>
          <w:i/>
          <w:iCs/>
          <w:lang w:val="fr-FR"/>
        </w:rPr>
        <w:t>Saison d</w:t>
      </w:r>
      <w:r w:rsidR="00521B04" w:rsidRPr="009B071E">
        <w:rPr>
          <w:i/>
          <w:iCs/>
          <w:lang w:val="fr-FR"/>
        </w:rPr>
        <w:t>’</w:t>
      </w:r>
      <w:r w:rsidRPr="009B071E">
        <w:rPr>
          <w:i/>
          <w:iCs/>
          <w:lang w:val="fr-FR"/>
        </w:rPr>
        <w:t>alpage</w:t>
      </w:r>
      <w:r w:rsidRPr="009B071E">
        <w:rPr>
          <w:lang w:val="fr-FR"/>
        </w:rPr>
        <w:t> »</w:t>
      </w:r>
      <w:r w:rsidRPr="009B071E">
        <w:rPr>
          <w:i/>
          <w:iCs/>
          <w:lang w:val="fr-FR"/>
        </w:rPr>
        <w:t>,</w:t>
      </w:r>
      <w:r w:rsidRPr="009B071E">
        <w:rPr>
          <w:lang w:val="fr-FR"/>
        </w:rPr>
        <w:t xml:space="preserve"> proposé par la Suisse, est </w:t>
      </w:r>
      <w:r w:rsidRPr="009B071E">
        <w:rPr>
          <w:color w:val="000000"/>
          <w:lang w:val="fr-FR"/>
        </w:rPr>
        <w:t>un dossier bien préparé qui démontre le lien entre l</w:t>
      </w:r>
      <w:r w:rsidR="00521B04" w:rsidRPr="009B071E">
        <w:rPr>
          <w:color w:val="000000"/>
          <w:lang w:val="fr-FR"/>
        </w:rPr>
        <w:t>’</w:t>
      </w:r>
      <w:r w:rsidRPr="009B071E">
        <w:rPr>
          <w:color w:val="000000"/>
          <w:lang w:val="fr-FR"/>
        </w:rPr>
        <w:t>élément et la durabilité de l</w:t>
      </w:r>
      <w:r w:rsidR="00521B04" w:rsidRPr="009B071E">
        <w:rPr>
          <w:color w:val="000000"/>
          <w:lang w:val="fr-FR"/>
        </w:rPr>
        <w:t>’</w:t>
      </w:r>
      <w:r w:rsidRPr="009B071E">
        <w:rPr>
          <w:color w:val="000000"/>
          <w:lang w:val="fr-FR"/>
        </w:rPr>
        <w:t>environnement et de l</w:t>
      </w:r>
      <w:r w:rsidR="00521B04" w:rsidRPr="009B071E">
        <w:rPr>
          <w:color w:val="000000"/>
          <w:lang w:val="fr-FR"/>
        </w:rPr>
        <w:t>’</w:t>
      </w:r>
      <w:r w:rsidRPr="009B071E">
        <w:rPr>
          <w:color w:val="000000"/>
          <w:lang w:val="fr-FR"/>
        </w:rPr>
        <w:t>agriculture</w:t>
      </w:r>
      <w:r w:rsidRPr="009B071E">
        <w:rPr>
          <w:lang w:val="fr-FR"/>
        </w:rPr>
        <w:t>.</w:t>
      </w:r>
    </w:p>
    <w:p w14:paraId="0DAC7F51" w14:textId="0AEBC63A" w:rsidR="009078B5" w:rsidRPr="009B071E" w:rsidRDefault="009078B5" w:rsidP="009078B5">
      <w:pPr>
        <w:pStyle w:val="COMPara"/>
        <w:numPr>
          <w:ilvl w:val="0"/>
          <w:numId w:val="0"/>
        </w:numPr>
        <w:ind w:left="547"/>
        <w:jc w:val="both"/>
        <w:rPr>
          <w:lang w:val="fr-FR"/>
        </w:rPr>
      </w:pPr>
      <w:r w:rsidRPr="009B071E">
        <w:rPr>
          <w:rFonts w:eastAsiaTheme="minorEastAsia"/>
          <w:lang w:val="fr-FR"/>
        </w:rPr>
        <w:t>« </w:t>
      </w:r>
      <w:r w:rsidRPr="009B071E">
        <w:rPr>
          <w:rFonts w:eastAsiaTheme="minorEastAsia"/>
          <w:i/>
          <w:iCs/>
          <w:lang w:val="fr-FR"/>
        </w:rPr>
        <w:t>Le savoir-faire lié à l</w:t>
      </w:r>
      <w:r w:rsidR="00521B04" w:rsidRPr="009B071E">
        <w:rPr>
          <w:rFonts w:eastAsiaTheme="minorEastAsia"/>
          <w:i/>
          <w:iCs/>
          <w:lang w:val="fr-FR"/>
        </w:rPr>
        <w:t>’</w:t>
      </w:r>
      <w:r w:rsidRPr="009B071E">
        <w:rPr>
          <w:rFonts w:eastAsiaTheme="minorEastAsia"/>
          <w:i/>
          <w:iCs/>
          <w:lang w:val="fr-FR"/>
        </w:rPr>
        <w:t>incrustation de nacre</w:t>
      </w:r>
      <w:r w:rsidRPr="009B071E">
        <w:rPr>
          <w:rFonts w:eastAsiaTheme="minorEastAsia"/>
          <w:lang w:val="fr-FR"/>
        </w:rPr>
        <w:t> »</w:t>
      </w:r>
      <w:r w:rsidRPr="009B071E">
        <w:rPr>
          <w:rFonts w:eastAsiaTheme="minorEastAsia"/>
          <w:i/>
          <w:iCs/>
          <w:lang w:val="fr-FR"/>
        </w:rPr>
        <w:t>,</w:t>
      </w:r>
      <w:r w:rsidRPr="009B071E">
        <w:rPr>
          <w:rFonts w:eastAsiaTheme="minorEastAsia"/>
          <w:lang w:val="fr-FR"/>
        </w:rPr>
        <w:t xml:space="preserve"> proposé par l</w:t>
      </w:r>
      <w:r w:rsidR="00521B04" w:rsidRPr="009B071E">
        <w:rPr>
          <w:rFonts w:eastAsiaTheme="minorEastAsia"/>
          <w:lang w:val="fr-FR"/>
        </w:rPr>
        <w:t>’</w:t>
      </w:r>
      <w:r w:rsidRPr="009B071E">
        <w:rPr>
          <w:rFonts w:eastAsiaTheme="minorEastAsia"/>
          <w:lang w:val="fr-FR"/>
        </w:rPr>
        <w:t xml:space="preserve">Azerbaïdjan et la </w:t>
      </w:r>
      <w:r w:rsidR="003549FE" w:rsidRPr="009B071E">
        <w:rPr>
          <w:rFonts w:eastAsiaTheme="minorEastAsia"/>
          <w:lang w:val="fr-FR"/>
        </w:rPr>
        <w:t>Türkiye</w:t>
      </w:r>
      <w:r w:rsidRPr="009B071E">
        <w:rPr>
          <w:rFonts w:eastAsiaTheme="minorEastAsia"/>
          <w:lang w:val="fr-FR"/>
        </w:rPr>
        <w:t>, est un dossier bien préparé qui témoigne d</w:t>
      </w:r>
      <w:r w:rsidR="00521B04" w:rsidRPr="009B071E">
        <w:rPr>
          <w:rFonts w:eastAsiaTheme="minorEastAsia"/>
          <w:lang w:val="fr-FR"/>
        </w:rPr>
        <w:t>’</w:t>
      </w:r>
      <w:r w:rsidRPr="009B071E">
        <w:rPr>
          <w:rFonts w:eastAsiaTheme="minorEastAsia"/>
          <w:lang w:val="fr-FR"/>
        </w:rPr>
        <w:t xml:space="preserve">une forte coopération technique entre les deux États dans le processus de </w:t>
      </w:r>
      <w:r w:rsidR="000D2403" w:rsidRPr="009B071E">
        <w:rPr>
          <w:rFonts w:eastAsiaTheme="minorEastAsia"/>
          <w:lang w:val="fr-FR"/>
        </w:rPr>
        <w:t>candidature</w:t>
      </w:r>
      <w:r w:rsidRPr="009B071E">
        <w:rPr>
          <w:rFonts w:eastAsiaTheme="minorEastAsia"/>
          <w:lang w:val="fr-FR"/>
        </w:rPr>
        <w:t xml:space="preserve"> et dans la proposition de mesures de sauvegarde conjointes.</w:t>
      </w:r>
    </w:p>
    <w:p w14:paraId="2D9D0E0F" w14:textId="68A64139" w:rsidR="009078B5" w:rsidRPr="009B071E" w:rsidRDefault="009078B5" w:rsidP="009078B5">
      <w:pPr>
        <w:pStyle w:val="COMPara"/>
        <w:numPr>
          <w:ilvl w:val="0"/>
          <w:numId w:val="0"/>
        </w:numPr>
        <w:ind w:left="547"/>
        <w:jc w:val="both"/>
        <w:rPr>
          <w:rFonts w:eastAsiaTheme="minorEastAsia"/>
          <w:bCs/>
          <w:lang w:val="fr-FR"/>
        </w:rPr>
      </w:pPr>
      <w:r w:rsidRPr="009B071E">
        <w:rPr>
          <w:rFonts w:eastAsiaTheme="minorEastAsia"/>
          <w:lang w:val="fr-FR"/>
        </w:rPr>
        <w:t>« </w:t>
      </w:r>
      <w:r w:rsidRPr="009B071E">
        <w:rPr>
          <w:rFonts w:eastAsiaTheme="minorEastAsia"/>
          <w:i/>
          <w:iCs/>
          <w:lang w:val="fr-FR"/>
        </w:rPr>
        <w:t>La maïeutique : connaissances, savoir-faire et pratiques</w:t>
      </w:r>
      <w:r w:rsidRPr="009B071E">
        <w:rPr>
          <w:rFonts w:eastAsiaTheme="minorEastAsia"/>
          <w:lang w:val="fr-FR"/>
        </w:rPr>
        <w:t> »</w:t>
      </w:r>
      <w:r w:rsidRPr="009B071E">
        <w:rPr>
          <w:rFonts w:eastAsiaTheme="minorEastAsia"/>
          <w:i/>
          <w:iCs/>
          <w:lang w:val="fr-FR"/>
        </w:rPr>
        <w:t>,</w:t>
      </w:r>
      <w:r w:rsidRPr="009B071E">
        <w:rPr>
          <w:rFonts w:eastAsiaTheme="minorEastAsia"/>
          <w:lang w:val="fr-FR"/>
        </w:rPr>
        <w:t xml:space="preserve"> proposé par </w:t>
      </w:r>
      <w:r w:rsidR="006609D6" w:rsidRPr="009B071E">
        <w:rPr>
          <w:rFonts w:eastAsiaTheme="minorEastAsia"/>
          <w:lang w:val="fr-FR"/>
        </w:rPr>
        <w:t xml:space="preserve">la Colombie, Chypre, </w:t>
      </w:r>
      <w:r w:rsidRPr="009B071E">
        <w:rPr>
          <w:rFonts w:eastAsiaTheme="minorEastAsia"/>
          <w:lang w:val="fr-FR"/>
        </w:rPr>
        <w:t>l</w:t>
      </w:r>
      <w:r w:rsidR="00521B04" w:rsidRPr="009B071E">
        <w:rPr>
          <w:rFonts w:eastAsiaTheme="minorEastAsia"/>
          <w:lang w:val="fr-FR"/>
        </w:rPr>
        <w:t>’</w:t>
      </w:r>
      <w:r w:rsidRPr="009B071E">
        <w:rPr>
          <w:rFonts w:eastAsiaTheme="minorEastAsia"/>
          <w:lang w:val="fr-FR"/>
        </w:rPr>
        <w:t>Allemagne, le Kirghiz</w:t>
      </w:r>
      <w:r w:rsidR="006609D6" w:rsidRPr="009B071E">
        <w:rPr>
          <w:rFonts w:eastAsiaTheme="minorEastAsia"/>
          <w:lang w:val="fr-FR"/>
        </w:rPr>
        <w:t>i</w:t>
      </w:r>
      <w:r w:rsidRPr="009B071E">
        <w:rPr>
          <w:rFonts w:eastAsiaTheme="minorEastAsia"/>
          <w:lang w:val="fr-FR"/>
        </w:rPr>
        <w:t>stan, le Luxembourg, le Nig</w:t>
      </w:r>
      <w:r w:rsidR="006609D6" w:rsidRPr="009B071E">
        <w:rPr>
          <w:rFonts w:eastAsiaTheme="minorEastAsia"/>
          <w:lang w:val="fr-FR"/>
        </w:rPr>
        <w:t>é</w:t>
      </w:r>
      <w:r w:rsidRPr="009B071E">
        <w:rPr>
          <w:rFonts w:eastAsiaTheme="minorEastAsia"/>
          <w:lang w:val="fr-FR"/>
        </w:rPr>
        <w:t>ria, la Slovénie et le Togo, est un dossier bien préparé qui présente un élément lié à tous les domaines du patrimoine vivant et qui promeut l</w:t>
      </w:r>
      <w:r w:rsidR="00521B04" w:rsidRPr="009B071E">
        <w:rPr>
          <w:rFonts w:eastAsiaTheme="minorEastAsia"/>
          <w:lang w:val="fr-FR"/>
        </w:rPr>
        <w:t>’</w:t>
      </w:r>
      <w:r w:rsidRPr="009B071E">
        <w:rPr>
          <w:rFonts w:eastAsiaTheme="minorEastAsia"/>
          <w:lang w:val="fr-FR"/>
        </w:rPr>
        <w:t xml:space="preserve">égalité des </w:t>
      </w:r>
      <w:r w:rsidR="006609D6" w:rsidRPr="009B071E">
        <w:rPr>
          <w:rFonts w:eastAsiaTheme="minorEastAsia"/>
          <w:lang w:val="fr-FR"/>
        </w:rPr>
        <w:t>genres</w:t>
      </w:r>
      <w:r w:rsidRPr="009B071E">
        <w:rPr>
          <w:rFonts w:eastAsiaTheme="minorEastAsia"/>
          <w:lang w:val="fr-FR"/>
        </w:rPr>
        <w:t>, les soins de santé pour les femmes et les savoirs traditionnels. Proposé par un large éventail de pays</w:t>
      </w:r>
      <w:r w:rsidR="000D2403" w:rsidRPr="009B071E">
        <w:rPr>
          <w:rFonts w:eastAsiaTheme="minorEastAsia"/>
          <w:lang w:val="fr-FR"/>
        </w:rPr>
        <w:t xml:space="preserve"> issus de plusieurs groupes électoraux</w:t>
      </w:r>
      <w:r w:rsidRPr="009B071E">
        <w:rPr>
          <w:rFonts w:eastAsiaTheme="minorEastAsia"/>
          <w:lang w:val="fr-FR"/>
        </w:rPr>
        <w:t>, il constitue un exemple pour les dossiers multinationaux et montre comment le patrimoine vivant et la Convention de 2003 favorisent la coopération à travers le monde.</w:t>
      </w:r>
    </w:p>
    <w:p w14:paraId="7D3121CC" w14:textId="44981965" w:rsidR="009078B5" w:rsidRPr="009B071E" w:rsidRDefault="009078B5" w:rsidP="009078B5">
      <w:pPr>
        <w:pStyle w:val="COMPara"/>
        <w:numPr>
          <w:ilvl w:val="0"/>
          <w:numId w:val="0"/>
        </w:numPr>
        <w:ind w:left="547"/>
        <w:jc w:val="both"/>
        <w:rPr>
          <w:lang w:val="fr-FR"/>
        </w:rPr>
      </w:pPr>
      <w:r w:rsidRPr="009B071E">
        <w:rPr>
          <w:rFonts w:eastAsiaTheme="minorEastAsia"/>
          <w:i/>
          <w:iCs/>
          <w:lang w:val="fr-FR"/>
        </w:rPr>
        <w:t>« Le boléro, identité, émotion et poésie en chanson</w:t>
      </w:r>
      <w:r w:rsidRPr="009B071E">
        <w:rPr>
          <w:rFonts w:eastAsiaTheme="minorEastAsia"/>
          <w:lang w:val="fr-FR"/>
        </w:rPr>
        <w:t> »</w:t>
      </w:r>
      <w:r w:rsidRPr="009B071E">
        <w:rPr>
          <w:rFonts w:eastAsiaTheme="minorEastAsia"/>
          <w:i/>
          <w:iCs/>
          <w:lang w:val="fr-FR"/>
        </w:rPr>
        <w:t>,</w:t>
      </w:r>
      <w:r w:rsidRPr="009B071E">
        <w:rPr>
          <w:rFonts w:eastAsiaTheme="minorEastAsia"/>
          <w:lang w:val="fr-FR"/>
        </w:rPr>
        <w:t xml:space="preserve"> proposé par Cuba et le Mexique, est un dossier bien préparé avec un excellent film d</w:t>
      </w:r>
      <w:r w:rsidR="00521B04" w:rsidRPr="009B071E">
        <w:rPr>
          <w:rFonts w:eastAsiaTheme="minorEastAsia"/>
          <w:lang w:val="fr-FR"/>
        </w:rPr>
        <w:t>’</w:t>
      </w:r>
      <w:r w:rsidRPr="009B071E">
        <w:rPr>
          <w:rFonts w:eastAsiaTheme="minorEastAsia"/>
          <w:lang w:val="fr-FR"/>
        </w:rPr>
        <w:t>accompagnement et un plan de sauvegarde bien structuré.</w:t>
      </w:r>
    </w:p>
    <w:p w14:paraId="220FDBCF" w14:textId="32795AF2" w:rsidR="009078B5" w:rsidRPr="009B071E" w:rsidRDefault="009078B5" w:rsidP="009078B5">
      <w:pPr>
        <w:pStyle w:val="COMPara"/>
        <w:keepNext/>
        <w:numPr>
          <w:ilvl w:val="2"/>
          <w:numId w:val="7"/>
        </w:numPr>
        <w:spacing w:before="240"/>
        <w:ind w:left="1168" w:hanging="448"/>
        <w:jc w:val="both"/>
        <w:rPr>
          <w:rFonts w:eastAsiaTheme="minorEastAsia"/>
          <w:b/>
          <w:bCs/>
          <w:lang w:val="fr-FR"/>
        </w:rPr>
      </w:pPr>
      <w:r w:rsidRPr="009B071E">
        <w:rPr>
          <w:rFonts w:eastAsiaTheme="minorEastAsia"/>
          <w:b/>
          <w:bCs/>
          <w:lang w:val="fr-FR"/>
        </w:rPr>
        <w:t>Liste représentative du patrimoine culturel immatériel de l</w:t>
      </w:r>
      <w:r w:rsidR="00521B04" w:rsidRPr="009B071E">
        <w:rPr>
          <w:rFonts w:eastAsiaTheme="minorEastAsia"/>
          <w:b/>
          <w:bCs/>
          <w:lang w:val="fr-FR"/>
        </w:rPr>
        <w:t>’</w:t>
      </w:r>
      <w:r w:rsidRPr="009B071E">
        <w:rPr>
          <w:rFonts w:eastAsiaTheme="minorEastAsia"/>
          <w:b/>
          <w:bCs/>
          <w:lang w:val="fr-FR"/>
        </w:rPr>
        <w:t xml:space="preserve">humanité </w:t>
      </w:r>
      <w:r w:rsidR="006609D6" w:rsidRPr="009B071E">
        <w:rPr>
          <w:rFonts w:eastAsiaTheme="minorEastAsia"/>
          <w:b/>
          <w:bCs/>
          <w:lang w:val="fr-FR"/>
        </w:rPr>
        <w:t>–</w:t>
      </w:r>
      <w:r w:rsidRPr="009B071E">
        <w:rPr>
          <w:rFonts w:eastAsiaTheme="minorEastAsia"/>
          <w:b/>
          <w:bCs/>
          <w:lang w:val="fr-FR"/>
        </w:rPr>
        <w:t xml:space="preserve"> Aspects</w:t>
      </w:r>
      <w:r w:rsidR="006609D6" w:rsidRPr="009B071E">
        <w:rPr>
          <w:rFonts w:eastAsiaTheme="minorEastAsia"/>
          <w:b/>
          <w:bCs/>
          <w:lang w:val="fr-FR"/>
        </w:rPr>
        <w:t xml:space="preserve"> </w:t>
      </w:r>
      <w:r w:rsidRPr="009B071E">
        <w:rPr>
          <w:rFonts w:eastAsiaTheme="minorEastAsia"/>
          <w:b/>
          <w:bCs/>
          <w:lang w:val="fr-FR"/>
        </w:rPr>
        <w:t>spécifiques</w:t>
      </w:r>
    </w:p>
    <w:p w14:paraId="5570534A" w14:textId="122058D8" w:rsidR="009078B5" w:rsidRPr="009B071E" w:rsidRDefault="009078B5" w:rsidP="009078B5">
      <w:pPr>
        <w:pStyle w:val="COMPara"/>
        <w:numPr>
          <w:ilvl w:val="0"/>
          <w:numId w:val="0"/>
        </w:numPr>
        <w:ind w:left="547"/>
        <w:jc w:val="both"/>
        <w:rPr>
          <w:rFonts w:eastAsiaTheme="minorEastAsia"/>
          <w:bCs/>
          <w:lang w:val="fr-FR"/>
        </w:rPr>
      </w:pPr>
      <w:r w:rsidRPr="009B071E">
        <w:rPr>
          <w:rFonts w:eastAsiaTheme="minorEastAsia"/>
          <w:lang w:val="fr-FR"/>
        </w:rPr>
        <w:t>« </w:t>
      </w:r>
      <w:r w:rsidRPr="009B071E">
        <w:rPr>
          <w:rFonts w:eastAsiaTheme="minorEastAsia"/>
          <w:i/>
          <w:iCs/>
          <w:lang w:val="fr-FR"/>
        </w:rPr>
        <w:t>Le carnaval d</w:t>
      </w:r>
      <w:r w:rsidR="00521B04" w:rsidRPr="009B071E">
        <w:rPr>
          <w:rFonts w:eastAsiaTheme="minorEastAsia"/>
          <w:i/>
          <w:iCs/>
          <w:lang w:val="fr-FR"/>
        </w:rPr>
        <w:t>’</w:t>
      </w:r>
      <w:r w:rsidRPr="009B071E">
        <w:rPr>
          <w:rFonts w:eastAsiaTheme="minorEastAsia"/>
          <w:i/>
          <w:iCs/>
          <w:lang w:val="fr-FR"/>
        </w:rPr>
        <w:t>été de Rotterdam</w:t>
      </w:r>
      <w:r w:rsidRPr="009B071E">
        <w:rPr>
          <w:rFonts w:eastAsiaTheme="minorEastAsia"/>
          <w:lang w:val="fr-FR"/>
        </w:rPr>
        <w:t> », proposé par les Pays-Bas, est un dossier qui promeut la cohésion sociale et montre comment différentes communautés peuvent créer ensemble un élément du patrimoine vivant, servant d</w:t>
      </w:r>
      <w:r w:rsidR="00521B04" w:rsidRPr="009B071E">
        <w:rPr>
          <w:rFonts w:eastAsiaTheme="minorEastAsia"/>
          <w:lang w:val="fr-FR"/>
        </w:rPr>
        <w:t>’</w:t>
      </w:r>
      <w:r w:rsidRPr="009B071E">
        <w:rPr>
          <w:rFonts w:eastAsiaTheme="minorEastAsia"/>
          <w:lang w:val="fr-FR"/>
        </w:rPr>
        <w:t xml:space="preserve">exemple à la façon dont la </w:t>
      </w:r>
      <w:r w:rsidR="00886AA7" w:rsidRPr="009B071E">
        <w:rPr>
          <w:rFonts w:eastAsiaTheme="minorEastAsia"/>
          <w:lang w:val="fr-FR"/>
        </w:rPr>
        <w:t>c</w:t>
      </w:r>
      <w:r w:rsidRPr="009B071E">
        <w:rPr>
          <w:rFonts w:eastAsiaTheme="minorEastAsia"/>
          <w:lang w:val="fr-FR"/>
        </w:rPr>
        <w:t>ulture peut rassembler les gens dans le respect de la diversité.</w:t>
      </w:r>
    </w:p>
    <w:p w14:paraId="1699FF78" w14:textId="74A2CC74" w:rsidR="00F45D79" w:rsidRPr="009B071E" w:rsidRDefault="00F45D79" w:rsidP="00F45D79">
      <w:pPr>
        <w:pStyle w:val="COMPara"/>
        <w:numPr>
          <w:ilvl w:val="0"/>
          <w:numId w:val="0"/>
        </w:numPr>
        <w:ind w:left="547"/>
        <w:jc w:val="both"/>
        <w:rPr>
          <w:rFonts w:eastAsiaTheme="minorEastAsia"/>
          <w:bCs/>
          <w:lang w:val="fr-FR"/>
        </w:rPr>
      </w:pPr>
      <w:r w:rsidRPr="009B071E">
        <w:rPr>
          <w:rFonts w:eastAsiaTheme="minorEastAsia"/>
          <w:lang w:val="fr-FR"/>
        </w:rPr>
        <w:t>« </w:t>
      </w:r>
      <w:r w:rsidRPr="009B071E">
        <w:rPr>
          <w:rFonts w:eastAsiaTheme="minorEastAsia"/>
          <w:i/>
          <w:iCs/>
          <w:lang w:val="fr-FR"/>
        </w:rPr>
        <w:t>Le festival de Sango</w:t>
      </w:r>
      <w:r w:rsidR="00764CAB" w:rsidRPr="009B071E">
        <w:rPr>
          <w:rFonts w:eastAsiaTheme="minorEastAsia"/>
          <w:i/>
          <w:iCs/>
          <w:lang w:val="fr-FR"/>
        </w:rPr>
        <w:t>, Oyo</w:t>
      </w:r>
      <w:r w:rsidRPr="009B071E">
        <w:rPr>
          <w:rFonts w:eastAsiaTheme="minorEastAsia"/>
          <w:lang w:val="fr-FR"/>
        </w:rPr>
        <w:t> »</w:t>
      </w:r>
      <w:r w:rsidRPr="009B071E">
        <w:rPr>
          <w:rFonts w:eastAsiaTheme="minorEastAsia"/>
          <w:i/>
          <w:iCs/>
          <w:lang w:val="fr-FR"/>
        </w:rPr>
        <w:t>,</w:t>
      </w:r>
      <w:r w:rsidRPr="009B071E">
        <w:rPr>
          <w:rFonts w:eastAsiaTheme="minorEastAsia"/>
          <w:lang w:val="fr-FR"/>
        </w:rPr>
        <w:t xml:space="preserve"> proposé par le Nig</w:t>
      </w:r>
      <w:r w:rsidR="006609D6" w:rsidRPr="009B071E">
        <w:rPr>
          <w:rFonts w:eastAsiaTheme="minorEastAsia"/>
          <w:lang w:val="fr-FR"/>
        </w:rPr>
        <w:t>é</w:t>
      </w:r>
      <w:r w:rsidRPr="009B071E">
        <w:rPr>
          <w:rFonts w:eastAsiaTheme="minorEastAsia"/>
          <w:lang w:val="fr-FR"/>
        </w:rPr>
        <w:t>ria, est un dossier dans lequel les institutions publiques jouent un rôle positif en reliant l</w:t>
      </w:r>
      <w:r w:rsidR="00521B04" w:rsidRPr="009B071E">
        <w:rPr>
          <w:rFonts w:eastAsiaTheme="minorEastAsia"/>
          <w:lang w:val="fr-FR"/>
        </w:rPr>
        <w:t>’</w:t>
      </w:r>
      <w:r w:rsidRPr="009B071E">
        <w:rPr>
          <w:rFonts w:eastAsiaTheme="minorEastAsia"/>
          <w:lang w:val="fr-FR"/>
        </w:rPr>
        <w:t>élément aux institutions sociales, politiques et culturelles du pays.</w:t>
      </w:r>
    </w:p>
    <w:p w14:paraId="0C95ABA6" w14:textId="4D8AC2A1" w:rsidR="00C91966" w:rsidRPr="009B071E" w:rsidRDefault="00C91966" w:rsidP="00C91966">
      <w:pPr>
        <w:pStyle w:val="COMPara"/>
        <w:numPr>
          <w:ilvl w:val="0"/>
          <w:numId w:val="0"/>
        </w:numPr>
        <w:ind w:left="547"/>
        <w:jc w:val="both"/>
        <w:rPr>
          <w:rFonts w:eastAsiaTheme="minorEastAsia"/>
          <w:bCs/>
          <w:lang w:val="fr-FR"/>
        </w:rPr>
      </w:pPr>
      <w:r w:rsidRPr="009B071E">
        <w:rPr>
          <w:lang w:val="fr-FR"/>
        </w:rPr>
        <w:t>« </w:t>
      </w:r>
      <w:r w:rsidR="00870D4B" w:rsidRPr="009B071E">
        <w:rPr>
          <w:i/>
          <w:iCs/>
          <w:lang w:val="fr-FR"/>
        </w:rPr>
        <w:t xml:space="preserve">Les pratiques et significations associées à la préparation et à la consommation du ceviche, une expression de la cuisine traditionnelle péruvienne </w:t>
      </w:r>
      <w:r w:rsidRPr="009B071E">
        <w:rPr>
          <w:i/>
          <w:iCs/>
          <w:lang w:val="fr-FR"/>
        </w:rPr>
        <w:t>»,</w:t>
      </w:r>
      <w:r w:rsidRPr="009B071E">
        <w:rPr>
          <w:lang w:val="fr-FR"/>
        </w:rPr>
        <w:t xml:space="preserve"> proposé par le Pérou, est un dossier qui démontre une large compréhension des pratiques entourant l</w:t>
      </w:r>
      <w:r w:rsidR="00521B04" w:rsidRPr="009B071E">
        <w:rPr>
          <w:lang w:val="fr-FR"/>
        </w:rPr>
        <w:t>’</w:t>
      </w:r>
      <w:r w:rsidRPr="009B071E">
        <w:rPr>
          <w:lang w:val="fr-FR"/>
        </w:rPr>
        <w:t>élément culinaire, y compris dans les espaces culturels et le contexte social, culturel et naturel. L</w:t>
      </w:r>
      <w:r w:rsidR="00521B04" w:rsidRPr="009B071E">
        <w:rPr>
          <w:lang w:val="fr-FR"/>
        </w:rPr>
        <w:t>’</w:t>
      </w:r>
      <w:r w:rsidRPr="009B071E">
        <w:rPr>
          <w:lang w:val="fr-FR"/>
        </w:rPr>
        <w:t>élément souligne également l</w:t>
      </w:r>
      <w:r w:rsidR="00521B04" w:rsidRPr="009B071E">
        <w:rPr>
          <w:lang w:val="fr-FR"/>
        </w:rPr>
        <w:t>’</w:t>
      </w:r>
      <w:r w:rsidRPr="009B071E">
        <w:rPr>
          <w:lang w:val="fr-FR"/>
        </w:rPr>
        <w:t>importance de la sécurité alimentaire.</w:t>
      </w:r>
    </w:p>
    <w:p w14:paraId="51381579" w14:textId="1365A66C" w:rsidR="009078B5" w:rsidRPr="009B071E" w:rsidRDefault="009078B5" w:rsidP="009078B5">
      <w:pPr>
        <w:pStyle w:val="COMPara"/>
        <w:numPr>
          <w:ilvl w:val="0"/>
          <w:numId w:val="0"/>
        </w:numPr>
        <w:ind w:left="547"/>
        <w:jc w:val="both"/>
        <w:rPr>
          <w:rFonts w:eastAsiaTheme="minorEastAsia"/>
          <w:bCs/>
          <w:lang w:val="fr-FR"/>
        </w:rPr>
      </w:pPr>
      <w:r w:rsidRPr="009B071E">
        <w:rPr>
          <w:rFonts w:eastAsiaTheme="minorEastAsia"/>
          <w:i/>
          <w:iCs/>
          <w:lang w:val="fr-FR"/>
        </w:rPr>
        <w:t>« </w:t>
      </w:r>
      <w:r w:rsidR="0069380D" w:rsidRPr="009B071E">
        <w:rPr>
          <w:rFonts w:eastAsiaTheme="minorEastAsia"/>
          <w:i/>
          <w:iCs/>
          <w:lang w:val="fr-FR"/>
        </w:rPr>
        <w:t xml:space="preserve">Le tissage à la main de la </w:t>
      </w:r>
      <w:proofErr w:type="spellStart"/>
      <w:r w:rsidR="0069380D" w:rsidRPr="009B071E">
        <w:rPr>
          <w:rFonts w:eastAsiaTheme="minorEastAsia"/>
          <w:i/>
          <w:iCs/>
          <w:lang w:val="fr-FR"/>
        </w:rPr>
        <w:t>piña</w:t>
      </w:r>
      <w:proofErr w:type="spellEnd"/>
      <w:r w:rsidR="0069380D" w:rsidRPr="009B071E">
        <w:rPr>
          <w:rFonts w:eastAsiaTheme="minorEastAsia"/>
          <w:i/>
          <w:iCs/>
          <w:lang w:val="fr-FR"/>
        </w:rPr>
        <w:t xml:space="preserve"> des Aklanons </w:t>
      </w:r>
      <w:r w:rsidRPr="009B071E">
        <w:rPr>
          <w:rFonts w:eastAsiaTheme="minorEastAsia"/>
          <w:i/>
          <w:iCs/>
          <w:lang w:val="fr-FR"/>
        </w:rPr>
        <w:t>»,</w:t>
      </w:r>
      <w:r w:rsidRPr="009B071E">
        <w:rPr>
          <w:rFonts w:eastAsiaTheme="minorEastAsia"/>
          <w:lang w:val="fr-FR"/>
        </w:rPr>
        <w:t xml:space="preserve"> proposé par les Philippines, est un dossier bien rédigé qui démontre une participation étendue et inclusive de la communauté et de la famille.</w:t>
      </w:r>
    </w:p>
    <w:p w14:paraId="1FB3ED11" w14:textId="6EEFF55E" w:rsidR="00A177BB" w:rsidRPr="009B071E" w:rsidRDefault="00A177BB" w:rsidP="00A177BB">
      <w:pPr>
        <w:pStyle w:val="COMPara"/>
        <w:numPr>
          <w:ilvl w:val="0"/>
          <w:numId w:val="0"/>
        </w:numPr>
        <w:ind w:left="547"/>
        <w:jc w:val="both"/>
        <w:rPr>
          <w:rFonts w:eastAsiaTheme="minorEastAsia"/>
          <w:bCs/>
          <w:lang w:val="fr-FR"/>
        </w:rPr>
      </w:pPr>
      <w:r w:rsidRPr="009B071E">
        <w:rPr>
          <w:i/>
          <w:iCs/>
          <w:lang w:val="fr-FR"/>
        </w:rPr>
        <w:t>« </w:t>
      </w:r>
      <w:r w:rsidR="0069380D" w:rsidRPr="009B071E">
        <w:rPr>
          <w:i/>
          <w:iCs/>
          <w:lang w:val="fr-FR"/>
        </w:rPr>
        <w:t xml:space="preserve">Les connaissances et savoir-faire traditionnels liés à la fabrication des tissus atlas et </w:t>
      </w:r>
      <w:proofErr w:type="spellStart"/>
      <w:r w:rsidR="0069380D" w:rsidRPr="009B071E">
        <w:rPr>
          <w:i/>
          <w:iCs/>
          <w:lang w:val="fr-FR"/>
        </w:rPr>
        <w:t>adras</w:t>
      </w:r>
      <w:proofErr w:type="spellEnd"/>
      <w:r w:rsidR="006609D6" w:rsidRPr="009B071E">
        <w:rPr>
          <w:i/>
          <w:iCs/>
          <w:lang w:val="fr-FR"/>
        </w:rPr>
        <w:t> </w:t>
      </w:r>
      <w:r w:rsidRPr="009B071E">
        <w:rPr>
          <w:i/>
          <w:iCs/>
          <w:lang w:val="fr-FR"/>
        </w:rPr>
        <w:t>»,</w:t>
      </w:r>
      <w:r w:rsidRPr="009B071E">
        <w:rPr>
          <w:lang w:val="fr-FR"/>
        </w:rPr>
        <w:t xml:space="preserve"> proposé par le Tadjikistan, est un dossier qui aborde plusieurs questions relatives à la réduction de la pauvreté, à l</w:t>
      </w:r>
      <w:r w:rsidR="00521B04" w:rsidRPr="009B071E">
        <w:rPr>
          <w:lang w:val="fr-FR"/>
        </w:rPr>
        <w:t>’</w:t>
      </w:r>
      <w:r w:rsidRPr="009B071E">
        <w:rPr>
          <w:lang w:val="fr-FR"/>
        </w:rPr>
        <w:t>emploi des femmes, à l</w:t>
      </w:r>
      <w:r w:rsidR="00521B04" w:rsidRPr="009B071E">
        <w:rPr>
          <w:lang w:val="fr-FR"/>
        </w:rPr>
        <w:t>’</w:t>
      </w:r>
      <w:r w:rsidRPr="009B071E">
        <w:rPr>
          <w:lang w:val="fr-FR"/>
        </w:rPr>
        <w:t xml:space="preserve">égalité des </w:t>
      </w:r>
      <w:r w:rsidR="006609D6" w:rsidRPr="009B071E">
        <w:rPr>
          <w:lang w:val="fr-FR"/>
        </w:rPr>
        <w:t xml:space="preserve">genres </w:t>
      </w:r>
      <w:r w:rsidRPr="009B071E">
        <w:rPr>
          <w:lang w:val="fr-FR"/>
        </w:rPr>
        <w:t>et aux pratiques respectueuses de l</w:t>
      </w:r>
      <w:r w:rsidR="00521B04" w:rsidRPr="009B071E">
        <w:rPr>
          <w:lang w:val="fr-FR"/>
        </w:rPr>
        <w:t>’</w:t>
      </w:r>
      <w:r w:rsidRPr="009B071E">
        <w:rPr>
          <w:lang w:val="fr-FR"/>
        </w:rPr>
        <w:t>environnement.</w:t>
      </w:r>
    </w:p>
    <w:p w14:paraId="13FBDEE7" w14:textId="6FB5779C" w:rsidR="00C91966" w:rsidRPr="009B071E" w:rsidRDefault="00C91966" w:rsidP="00C91966">
      <w:pPr>
        <w:pStyle w:val="COMPara"/>
        <w:numPr>
          <w:ilvl w:val="0"/>
          <w:numId w:val="0"/>
        </w:numPr>
        <w:ind w:left="547"/>
        <w:jc w:val="both"/>
        <w:rPr>
          <w:rFonts w:eastAsiaTheme="minorEastAsia"/>
          <w:bCs/>
          <w:lang w:val="fr-FR"/>
        </w:rPr>
      </w:pPr>
      <w:r w:rsidRPr="009B071E">
        <w:rPr>
          <w:lang w:val="fr-FR"/>
        </w:rPr>
        <w:t>« </w:t>
      </w:r>
      <w:proofErr w:type="spellStart"/>
      <w:r w:rsidR="0069380D" w:rsidRPr="009B071E">
        <w:rPr>
          <w:i/>
          <w:iCs/>
          <w:lang w:val="fr-FR"/>
        </w:rPr>
        <w:t>Songkran</w:t>
      </w:r>
      <w:proofErr w:type="spellEnd"/>
      <w:r w:rsidR="0069380D" w:rsidRPr="009B071E">
        <w:rPr>
          <w:i/>
          <w:iCs/>
          <w:lang w:val="fr-FR"/>
        </w:rPr>
        <w:t xml:space="preserve"> en Thaïlande, la fête du Nouvel An thaïlandais traditionnel </w:t>
      </w:r>
      <w:r w:rsidRPr="009B071E">
        <w:rPr>
          <w:lang w:val="fr-FR"/>
        </w:rPr>
        <w:t>»</w:t>
      </w:r>
      <w:r w:rsidRPr="009B071E">
        <w:rPr>
          <w:i/>
          <w:iCs/>
          <w:lang w:val="fr-FR"/>
        </w:rPr>
        <w:t>,</w:t>
      </w:r>
      <w:r w:rsidRPr="009B071E">
        <w:rPr>
          <w:lang w:val="fr-FR"/>
        </w:rPr>
        <w:t xml:space="preserve"> proposé par la Thaïlande, est un dossier clair et transparent sur les menaces qui pèsent sur l</w:t>
      </w:r>
      <w:r w:rsidR="00521B04" w:rsidRPr="009B071E">
        <w:rPr>
          <w:lang w:val="fr-FR"/>
        </w:rPr>
        <w:t>’</w:t>
      </w:r>
      <w:r w:rsidRPr="009B071E">
        <w:rPr>
          <w:lang w:val="fr-FR"/>
        </w:rPr>
        <w:t>élément, et qui montre comment l</w:t>
      </w:r>
      <w:r w:rsidR="00521B04" w:rsidRPr="009B071E">
        <w:rPr>
          <w:lang w:val="fr-FR"/>
        </w:rPr>
        <w:t>’</w:t>
      </w:r>
      <w:r w:rsidRPr="009B071E">
        <w:rPr>
          <w:lang w:val="fr-FR"/>
        </w:rPr>
        <w:t>État partie envisage de les traiter. Le dossier présente également un bon processus d</w:t>
      </w:r>
      <w:r w:rsidR="00521B04" w:rsidRPr="009B071E">
        <w:rPr>
          <w:lang w:val="fr-FR"/>
        </w:rPr>
        <w:t>’</w:t>
      </w:r>
      <w:r w:rsidRPr="009B071E">
        <w:rPr>
          <w:lang w:val="fr-FR"/>
        </w:rPr>
        <w:t xml:space="preserve">inventaire avec des lignes directrices </w:t>
      </w:r>
      <w:r w:rsidR="00886AA7" w:rsidRPr="009B071E">
        <w:rPr>
          <w:lang w:val="fr-FR"/>
        </w:rPr>
        <w:t xml:space="preserve">de mise à jour </w:t>
      </w:r>
      <w:r w:rsidRPr="009B071E">
        <w:rPr>
          <w:lang w:val="fr-FR"/>
        </w:rPr>
        <w:t>claire</w:t>
      </w:r>
      <w:r w:rsidR="00886AA7" w:rsidRPr="009B071E">
        <w:rPr>
          <w:lang w:val="fr-FR"/>
        </w:rPr>
        <w:t>s</w:t>
      </w:r>
      <w:r w:rsidRPr="009B071E">
        <w:rPr>
          <w:lang w:val="fr-FR"/>
        </w:rPr>
        <w:t>.</w:t>
      </w:r>
    </w:p>
    <w:p w14:paraId="0281D4D8" w14:textId="1FBA8972" w:rsidR="00A177BB" w:rsidRPr="009B071E" w:rsidRDefault="00432BFB" w:rsidP="00432BFB">
      <w:pPr>
        <w:pStyle w:val="COMPara"/>
        <w:numPr>
          <w:ilvl w:val="0"/>
          <w:numId w:val="0"/>
        </w:numPr>
        <w:ind w:left="547"/>
        <w:jc w:val="both"/>
        <w:rPr>
          <w:rFonts w:eastAsiaTheme="minorEastAsia"/>
          <w:bCs/>
          <w:lang w:val="fr-FR"/>
        </w:rPr>
      </w:pPr>
      <w:r w:rsidRPr="009B071E">
        <w:rPr>
          <w:lang w:val="fr-FR"/>
        </w:rPr>
        <w:lastRenderedPageBreak/>
        <w:t>« </w:t>
      </w:r>
      <w:r w:rsidR="0069380D" w:rsidRPr="009B071E">
        <w:rPr>
          <w:i/>
          <w:iCs/>
          <w:lang w:val="fr-FR"/>
        </w:rPr>
        <w:t xml:space="preserve">L’irrigation traditionnelle : connaissance, technique et organisation </w:t>
      </w:r>
      <w:r w:rsidRPr="009B071E">
        <w:rPr>
          <w:lang w:val="fr-FR"/>
        </w:rPr>
        <w:t>», proposé par l</w:t>
      </w:r>
      <w:r w:rsidR="00521B04" w:rsidRPr="009B071E">
        <w:rPr>
          <w:lang w:val="fr-FR"/>
        </w:rPr>
        <w:t>’</w:t>
      </w:r>
      <w:r w:rsidRPr="009B071E">
        <w:rPr>
          <w:lang w:val="fr-FR"/>
        </w:rPr>
        <w:t>Autriche, la Belgique, l</w:t>
      </w:r>
      <w:r w:rsidR="00521B04" w:rsidRPr="009B071E">
        <w:rPr>
          <w:lang w:val="fr-FR"/>
        </w:rPr>
        <w:t>’</w:t>
      </w:r>
      <w:r w:rsidRPr="009B071E">
        <w:rPr>
          <w:lang w:val="fr-FR"/>
        </w:rPr>
        <w:t>Allemagne, l</w:t>
      </w:r>
      <w:r w:rsidR="00521B04" w:rsidRPr="009B071E">
        <w:rPr>
          <w:lang w:val="fr-FR"/>
        </w:rPr>
        <w:t>’</w:t>
      </w:r>
      <w:r w:rsidRPr="009B071E">
        <w:rPr>
          <w:lang w:val="fr-FR"/>
        </w:rPr>
        <w:t>Italie, le Luxembourg, les Pays-Bas et la Suisse, est un bon exemple d</w:t>
      </w:r>
      <w:r w:rsidR="00521B04" w:rsidRPr="009B071E">
        <w:rPr>
          <w:lang w:val="fr-FR"/>
        </w:rPr>
        <w:t>’</w:t>
      </w:r>
      <w:r w:rsidRPr="009B071E">
        <w:rPr>
          <w:lang w:val="fr-FR"/>
        </w:rPr>
        <w:t>élément multinational qui contribue à l</w:t>
      </w:r>
      <w:r w:rsidR="00521B04" w:rsidRPr="009B071E">
        <w:rPr>
          <w:lang w:val="fr-FR"/>
        </w:rPr>
        <w:t>’</w:t>
      </w:r>
      <w:r w:rsidRPr="009B071E">
        <w:rPr>
          <w:lang w:val="fr-FR"/>
        </w:rPr>
        <w:t xml:space="preserve">avancement des </w:t>
      </w:r>
      <w:r w:rsidR="00886AA7" w:rsidRPr="009B071E">
        <w:rPr>
          <w:lang w:val="fr-FR"/>
        </w:rPr>
        <w:t>o</w:t>
      </w:r>
      <w:r w:rsidRPr="009B071E">
        <w:rPr>
          <w:lang w:val="fr-FR"/>
        </w:rPr>
        <w:t>bjectifs de développement durable (ODD) et promeut l</w:t>
      </w:r>
      <w:r w:rsidR="00521B04" w:rsidRPr="009B071E">
        <w:rPr>
          <w:lang w:val="fr-FR"/>
        </w:rPr>
        <w:t>’</w:t>
      </w:r>
      <w:r w:rsidRPr="009B071E">
        <w:rPr>
          <w:lang w:val="fr-FR"/>
        </w:rPr>
        <w:t>utilisation durable des ressources environnementales.</w:t>
      </w:r>
    </w:p>
    <w:p w14:paraId="1F833314" w14:textId="44246673" w:rsidR="00F45D79" w:rsidRPr="009B071E" w:rsidRDefault="00F45D79" w:rsidP="00F45D79">
      <w:pPr>
        <w:pStyle w:val="COMPara"/>
        <w:numPr>
          <w:ilvl w:val="0"/>
          <w:numId w:val="0"/>
        </w:numPr>
        <w:ind w:left="547"/>
        <w:jc w:val="both"/>
        <w:rPr>
          <w:rFonts w:eastAsiaTheme="minorEastAsia"/>
          <w:bCs/>
          <w:lang w:val="fr-FR"/>
        </w:rPr>
      </w:pPr>
      <w:bookmarkStart w:id="6" w:name="_Hlk145064475"/>
      <w:r w:rsidRPr="009B071E">
        <w:rPr>
          <w:lang w:val="fr-FR"/>
        </w:rPr>
        <w:t>« </w:t>
      </w:r>
      <w:r w:rsidR="0069380D" w:rsidRPr="009B071E">
        <w:rPr>
          <w:i/>
          <w:iCs/>
          <w:lang w:val="fr-FR"/>
        </w:rPr>
        <w:t xml:space="preserve">L’artisanat et l’art de jouer du </w:t>
      </w:r>
      <w:proofErr w:type="spellStart"/>
      <w:r w:rsidR="0069380D" w:rsidRPr="009B071E">
        <w:rPr>
          <w:i/>
          <w:iCs/>
          <w:lang w:val="fr-FR"/>
        </w:rPr>
        <w:t>balaban</w:t>
      </w:r>
      <w:proofErr w:type="spellEnd"/>
      <w:r w:rsidR="0069380D" w:rsidRPr="009B071E">
        <w:rPr>
          <w:i/>
          <w:iCs/>
          <w:lang w:val="fr-FR"/>
        </w:rPr>
        <w:t>/</w:t>
      </w:r>
      <w:proofErr w:type="spellStart"/>
      <w:r w:rsidR="0069380D" w:rsidRPr="009B071E">
        <w:rPr>
          <w:i/>
          <w:iCs/>
          <w:lang w:val="fr-FR"/>
        </w:rPr>
        <w:t>mey</w:t>
      </w:r>
      <w:proofErr w:type="spellEnd"/>
      <w:r w:rsidR="0069380D" w:rsidRPr="009B071E">
        <w:rPr>
          <w:i/>
          <w:iCs/>
          <w:lang w:val="fr-FR"/>
        </w:rPr>
        <w:t xml:space="preserve"> </w:t>
      </w:r>
      <w:r w:rsidRPr="009B071E">
        <w:rPr>
          <w:lang w:val="fr-FR"/>
        </w:rPr>
        <w:t>»</w:t>
      </w:r>
      <w:r w:rsidRPr="009B071E">
        <w:rPr>
          <w:i/>
          <w:iCs/>
          <w:lang w:val="fr-FR"/>
        </w:rPr>
        <w:t>,</w:t>
      </w:r>
      <w:r w:rsidRPr="009B071E">
        <w:rPr>
          <w:lang w:val="fr-FR"/>
        </w:rPr>
        <w:t xml:space="preserve"> proposé par l</w:t>
      </w:r>
      <w:r w:rsidR="00521B04" w:rsidRPr="009B071E">
        <w:rPr>
          <w:lang w:val="fr-FR"/>
        </w:rPr>
        <w:t>’</w:t>
      </w:r>
      <w:r w:rsidRPr="009B071E">
        <w:rPr>
          <w:lang w:val="fr-FR"/>
        </w:rPr>
        <w:t xml:space="preserve">Azerbaïdjan et la </w:t>
      </w:r>
      <w:r w:rsidR="00340ED4" w:rsidRPr="009B071E">
        <w:rPr>
          <w:lang w:val="fr-FR"/>
        </w:rPr>
        <w:t>Türkiye</w:t>
      </w:r>
      <w:r w:rsidRPr="009B071E">
        <w:rPr>
          <w:lang w:val="fr-FR"/>
        </w:rPr>
        <w:t>, est un dossier multinational qui peut servir de bon exemple de mesures de sauvegarde conjointes.</w:t>
      </w:r>
    </w:p>
    <w:bookmarkEnd w:id="6"/>
    <w:p w14:paraId="53D7A029" w14:textId="22BFFFEC" w:rsidR="00C91966" w:rsidRPr="009B071E" w:rsidRDefault="00C91966" w:rsidP="00C91966">
      <w:pPr>
        <w:pStyle w:val="COMPara"/>
        <w:numPr>
          <w:ilvl w:val="0"/>
          <w:numId w:val="0"/>
        </w:numPr>
        <w:ind w:left="547"/>
        <w:jc w:val="both"/>
        <w:rPr>
          <w:rFonts w:eastAsiaTheme="minorEastAsia"/>
          <w:bCs/>
          <w:lang w:val="fr-FR"/>
        </w:rPr>
      </w:pPr>
      <w:r w:rsidRPr="009B071E">
        <w:rPr>
          <w:lang w:val="fr-FR"/>
        </w:rPr>
        <w:t>« </w:t>
      </w:r>
      <w:r w:rsidRPr="009B071E">
        <w:rPr>
          <w:i/>
          <w:iCs/>
          <w:lang w:val="fr-FR"/>
        </w:rPr>
        <w:t xml:space="preserve">Le </w:t>
      </w:r>
      <w:proofErr w:type="spellStart"/>
      <w:r w:rsidRPr="009B071E">
        <w:rPr>
          <w:i/>
          <w:iCs/>
          <w:lang w:val="fr-FR"/>
        </w:rPr>
        <w:t>Nguon</w:t>
      </w:r>
      <w:proofErr w:type="spellEnd"/>
      <w:r w:rsidRPr="009B071E">
        <w:rPr>
          <w:i/>
          <w:iCs/>
          <w:lang w:val="fr-FR"/>
        </w:rPr>
        <w:t>, rituels de gouvernance et expressions associées dans la communauté Bamoun</w:t>
      </w:r>
      <w:r w:rsidRPr="009B071E">
        <w:rPr>
          <w:b/>
          <w:bCs/>
          <w:lang w:val="fr-FR"/>
        </w:rPr>
        <w:t> »</w:t>
      </w:r>
      <w:r w:rsidRPr="009B071E">
        <w:rPr>
          <w:lang w:val="fr-FR"/>
        </w:rPr>
        <w:t xml:space="preserve"> proposé par le Cameroun, est un dossier qui aborde des questions sociales et de développement telles que le VIH/SIDA et la réduction de la pauvreté.</w:t>
      </w:r>
    </w:p>
    <w:p w14:paraId="2FB955A9" w14:textId="125476AC" w:rsidR="00C91966" w:rsidRPr="009B071E" w:rsidRDefault="00C91966" w:rsidP="006609D6">
      <w:pPr>
        <w:pStyle w:val="COMPara"/>
        <w:numPr>
          <w:ilvl w:val="0"/>
          <w:numId w:val="0"/>
        </w:numPr>
        <w:ind w:left="547"/>
        <w:jc w:val="both"/>
        <w:rPr>
          <w:lang w:val="fr-FR"/>
        </w:rPr>
      </w:pPr>
      <w:r w:rsidRPr="009B071E">
        <w:rPr>
          <w:lang w:val="fr-FR"/>
        </w:rPr>
        <w:t>« </w:t>
      </w:r>
      <w:r w:rsidRPr="009B071E">
        <w:rPr>
          <w:i/>
          <w:iCs/>
          <w:lang w:val="fr-FR"/>
        </w:rPr>
        <w:t>Connaissances, techniques et savoir-faire du verre artisanal</w:t>
      </w:r>
      <w:r w:rsidRPr="009B071E">
        <w:rPr>
          <w:b/>
          <w:bCs/>
          <w:lang w:val="fr-FR"/>
        </w:rPr>
        <w:t> </w:t>
      </w:r>
      <w:r w:rsidRPr="009B071E">
        <w:rPr>
          <w:lang w:val="fr-FR"/>
        </w:rPr>
        <w:t>»</w:t>
      </w:r>
      <w:r w:rsidRPr="009B071E">
        <w:rPr>
          <w:i/>
          <w:iCs/>
          <w:lang w:val="fr-FR"/>
        </w:rPr>
        <w:t>,</w:t>
      </w:r>
      <w:r w:rsidRPr="009B071E">
        <w:rPr>
          <w:lang w:val="fr-FR"/>
        </w:rPr>
        <w:t xml:space="preserve"> proposé par</w:t>
      </w:r>
      <w:r w:rsidR="006609D6" w:rsidRPr="009B071E">
        <w:rPr>
          <w:lang w:val="fr-FR"/>
        </w:rPr>
        <w:t xml:space="preserve"> la Tchéquie,</w:t>
      </w:r>
      <w:r w:rsidRPr="009B071E">
        <w:rPr>
          <w:lang w:val="fr-FR"/>
        </w:rPr>
        <w:t xml:space="preserve"> </w:t>
      </w:r>
      <w:r w:rsidR="006609D6" w:rsidRPr="009B071E">
        <w:rPr>
          <w:lang w:val="fr-FR"/>
        </w:rPr>
        <w:t xml:space="preserve">la Finlande, la France, </w:t>
      </w:r>
      <w:r w:rsidRPr="009B071E">
        <w:rPr>
          <w:lang w:val="fr-FR"/>
        </w:rPr>
        <w:t>l</w:t>
      </w:r>
      <w:r w:rsidR="00521B04" w:rsidRPr="009B071E">
        <w:rPr>
          <w:lang w:val="fr-FR"/>
        </w:rPr>
        <w:t>’</w:t>
      </w:r>
      <w:r w:rsidR="006609D6" w:rsidRPr="009B071E">
        <w:rPr>
          <w:lang w:val="fr-FR"/>
        </w:rPr>
        <w:t>Allemagne</w:t>
      </w:r>
      <w:r w:rsidRPr="009B071E">
        <w:rPr>
          <w:lang w:val="fr-FR"/>
        </w:rPr>
        <w:t>, la Hongrie</w:t>
      </w:r>
      <w:r w:rsidR="006609D6" w:rsidRPr="009B071E">
        <w:rPr>
          <w:lang w:val="fr-FR"/>
        </w:rPr>
        <w:t xml:space="preserve"> et</w:t>
      </w:r>
      <w:r w:rsidRPr="009B071E">
        <w:rPr>
          <w:lang w:val="fr-FR"/>
        </w:rPr>
        <w:t xml:space="preserve"> l</w:t>
      </w:r>
      <w:r w:rsidR="00521B04" w:rsidRPr="009B071E">
        <w:rPr>
          <w:lang w:val="fr-FR"/>
        </w:rPr>
        <w:t>’</w:t>
      </w:r>
      <w:r w:rsidRPr="009B071E">
        <w:rPr>
          <w:lang w:val="fr-FR"/>
        </w:rPr>
        <w:t>Espagne, est un dossier qui met en évidence le rôle positif joué par les musées dans les efforts de sauvegarde, et présente une page Web qui promeut l</w:t>
      </w:r>
      <w:r w:rsidR="00521B04" w:rsidRPr="009B071E">
        <w:rPr>
          <w:lang w:val="fr-FR"/>
        </w:rPr>
        <w:t>’</w:t>
      </w:r>
      <w:r w:rsidRPr="009B071E">
        <w:rPr>
          <w:lang w:val="fr-FR"/>
        </w:rPr>
        <w:t>élément dans son ensemble ainsi que la diversité des communautés.</w:t>
      </w:r>
    </w:p>
    <w:p w14:paraId="46D70294" w14:textId="4D403729" w:rsidR="00F45D79" w:rsidRPr="009B071E" w:rsidRDefault="00F45D79" w:rsidP="00F45D79">
      <w:pPr>
        <w:pStyle w:val="COMPara"/>
        <w:numPr>
          <w:ilvl w:val="0"/>
          <w:numId w:val="0"/>
        </w:numPr>
        <w:ind w:left="547"/>
        <w:jc w:val="both"/>
        <w:rPr>
          <w:rFonts w:eastAsiaTheme="minorEastAsia"/>
          <w:bCs/>
          <w:lang w:val="fr-FR"/>
        </w:rPr>
      </w:pPr>
      <w:r w:rsidRPr="009B071E">
        <w:rPr>
          <w:lang w:val="fr-FR"/>
        </w:rPr>
        <w:t>« </w:t>
      </w:r>
      <w:r w:rsidRPr="009B071E">
        <w:rPr>
          <w:i/>
          <w:iCs/>
          <w:lang w:val="fr-FR"/>
        </w:rPr>
        <w:t xml:space="preserve">La célébration du </w:t>
      </w:r>
      <w:proofErr w:type="spellStart"/>
      <w:r w:rsidRPr="009B071E">
        <w:rPr>
          <w:i/>
          <w:iCs/>
          <w:lang w:val="fr-FR"/>
        </w:rPr>
        <w:t>Sadeh</w:t>
      </w:r>
      <w:proofErr w:type="spellEnd"/>
      <w:r w:rsidRPr="009B071E">
        <w:rPr>
          <w:i/>
          <w:iCs/>
          <w:lang w:val="fr-FR"/>
        </w:rPr>
        <w:t>/Sada</w:t>
      </w:r>
      <w:r w:rsidRPr="009B071E">
        <w:rPr>
          <w:lang w:val="fr-FR"/>
        </w:rPr>
        <w:t> »</w:t>
      </w:r>
      <w:r w:rsidRPr="009B071E">
        <w:rPr>
          <w:i/>
          <w:iCs/>
          <w:lang w:val="fr-FR"/>
        </w:rPr>
        <w:t>,</w:t>
      </w:r>
      <w:r w:rsidRPr="009B071E">
        <w:rPr>
          <w:lang w:val="fr-FR"/>
        </w:rPr>
        <w:t xml:space="preserve"> proposé par l</w:t>
      </w:r>
      <w:r w:rsidR="00521B04" w:rsidRPr="009B071E">
        <w:rPr>
          <w:lang w:val="fr-FR"/>
        </w:rPr>
        <w:t>’</w:t>
      </w:r>
      <w:r w:rsidRPr="009B071E">
        <w:rPr>
          <w:lang w:val="fr-FR"/>
        </w:rPr>
        <w:t>Iran (République islamique d</w:t>
      </w:r>
      <w:r w:rsidR="00521B04" w:rsidRPr="009B071E">
        <w:rPr>
          <w:lang w:val="fr-FR"/>
        </w:rPr>
        <w:t>’</w:t>
      </w:r>
      <w:r w:rsidRPr="009B071E">
        <w:rPr>
          <w:lang w:val="fr-FR"/>
        </w:rPr>
        <w:t>) et le Tadjikistan, est un dossier multinational qui peut servir de bon exemple de mesures de sauvegarde conjointes et qui tient compte des impacts négatifs possibles de l</w:t>
      </w:r>
      <w:r w:rsidR="00521B04" w:rsidRPr="009B071E">
        <w:rPr>
          <w:lang w:val="fr-FR"/>
        </w:rPr>
        <w:t>’</w:t>
      </w:r>
      <w:r w:rsidRPr="009B071E">
        <w:rPr>
          <w:lang w:val="fr-FR"/>
        </w:rPr>
        <w:t>inscription.</w:t>
      </w:r>
    </w:p>
    <w:p w14:paraId="658E4F40" w14:textId="448E7CC6" w:rsidR="00F45D79" w:rsidRPr="009B071E" w:rsidRDefault="00F45D79" w:rsidP="00C91966">
      <w:pPr>
        <w:pStyle w:val="COMPara"/>
        <w:numPr>
          <w:ilvl w:val="0"/>
          <w:numId w:val="0"/>
        </w:numPr>
        <w:ind w:left="547"/>
        <w:jc w:val="both"/>
        <w:rPr>
          <w:rFonts w:eastAsiaTheme="minorEastAsia"/>
          <w:bCs/>
          <w:lang w:val="fr-FR"/>
        </w:rPr>
      </w:pPr>
      <w:r w:rsidRPr="009B071E">
        <w:rPr>
          <w:lang w:val="fr-FR"/>
        </w:rPr>
        <w:t>« </w:t>
      </w:r>
      <w:r w:rsidR="0069380D" w:rsidRPr="009B071E">
        <w:rPr>
          <w:i/>
          <w:iCs/>
          <w:lang w:val="fr-FR"/>
        </w:rPr>
        <w:t>L’</w:t>
      </w:r>
      <w:proofErr w:type="spellStart"/>
      <w:r w:rsidR="0069380D" w:rsidRPr="009B071E">
        <w:rPr>
          <w:i/>
          <w:iCs/>
          <w:lang w:val="fr-FR"/>
        </w:rPr>
        <w:t>elechek</w:t>
      </w:r>
      <w:proofErr w:type="spellEnd"/>
      <w:r w:rsidR="0069380D" w:rsidRPr="009B071E">
        <w:rPr>
          <w:i/>
          <w:iCs/>
          <w:lang w:val="fr-FR"/>
        </w:rPr>
        <w:t xml:space="preserve">, la coiffe des femmes kirghizes : rituels et connaissances traditionnels </w:t>
      </w:r>
      <w:r w:rsidRPr="009B071E">
        <w:rPr>
          <w:lang w:val="fr-FR"/>
        </w:rPr>
        <w:t>»</w:t>
      </w:r>
      <w:r w:rsidRPr="009B071E">
        <w:rPr>
          <w:i/>
          <w:iCs/>
          <w:lang w:val="fr-FR"/>
        </w:rPr>
        <w:t>,</w:t>
      </w:r>
      <w:r w:rsidRPr="009B071E">
        <w:rPr>
          <w:lang w:val="fr-FR"/>
        </w:rPr>
        <w:t xml:space="preserve"> proposé par le Kirghiz</w:t>
      </w:r>
      <w:r w:rsidR="006609D6" w:rsidRPr="009B071E">
        <w:rPr>
          <w:lang w:val="fr-FR"/>
        </w:rPr>
        <w:t>i</w:t>
      </w:r>
      <w:r w:rsidRPr="009B071E">
        <w:rPr>
          <w:lang w:val="fr-FR"/>
        </w:rPr>
        <w:t>stan, est un dossier qui présente de bonnes mesures de sauvegarde.</w:t>
      </w:r>
    </w:p>
    <w:p w14:paraId="37FB86DE" w14:textId="523791EF" w:rsidR="00C91966" w:rsidRPr="009B071E" w:rsidRDefault="00C91966" w:rsidP="00C91966">
      <w:pPr>
        <w:pStyle w:val="COMPara"/>
        <w:numPr>
          <w:ilvl w:val="0"/>
          <w:numId w:val="0"/>
        </w:numPr>
        <w:ind w:left="547"/>
        <w:jc w:val="both"/>
        <w:rPr>
          <w:rFonts w:eastAsiaTheme="minorEastAsia"/>
          <w:bCs/>
          <w:lang w:val="fr-FR"/>
        </w:rPr>
      </w:pPr>
      <w:r w:rsidRPr="009B071E">
        <w:rPr>
          <w:lang w:val="fr-FR"/>
        </w:rPr>
        <w:t>« </w:t>
      </w:r>
      <w:r w:rsidRPr="009B071E">
        <w:rPr>
          <w:i/>
          <w:iCs/>
          <w:lang w:val="fr-FR"/>
        </w:rPr>
        <w:t xml:space="preserve">La </w:t>
      </w:r>
      <w:proofErr w:type="spellStart"/>
      <w:r w:rsidRPr="009B071E">
        <w:rPr>
          <w:i/>
          <w:iCs/>
          <w:lang w:val="fr-FR"/>
        </w:rPr>
        <w:t>festa</w:t>
      </w:r>
      <w:proofErr w:type="spellEnd"/>
      <w:r w:rsidRPr="009B071E">
        <w:rPr>
          <w:i/>
          <w:iCs/>
          <w:lang w:val="fr-FR"/>
        </w:rPr>
        <w:t xml:space="preserve"> villageoise maltaise, une célébration communautaire annuelle</w:t>
      </w:r>
      <w:r w:rsidRPr="009B071E">
        <w:rPr>
          <w:b/>
          <w:bCs/>
          <w:lang w:val="fr-FR"/>
        </w:rPr>
        <w:t> </w:t>
      </w:r>
      <w:r w:rsidRPr="009B071E">
        <w:rPr>
          <w:lang w:val="fr-FR"/>
        </w:rPr>
        <w:t>»</w:t>
      </w:r>
      <w:r w:rsidRPr="009B071E">
        <w:rPr>
          <w:i/>
          <w:iCs/>
          <w:lang w:val="fr-FR"/>
        </w:rPr>
        <w:t>,</w:t>
      </w:r>
      <w:r w:rsidRPr="009B071E">
        <w:rPr>
          <w:lang w:val="fr-FR"/>
        </w:rPr>
        <w:t xml:space="preserve"> proposé par Malte, est un dossier transparent quant aux menaces qui pèsent sur l</w:t>
      </w:r>
      <w:r w:rsidR="00521B04" w:rsidRPr="009B071E">
        <w:rPr>
          <w:lang w:val="fr-FR"/>
        </w:rPr>
        <w:t>’</w:t>
      </w:r>
      <w:r w:rsidRPr="009B071E">
        <w:rPr>
          <w:lang w:val="fr-FR"/>
        </w:rPr>
        <w:t xml:space="preserve">élément et comporte des mesures de sauvegarde qui tiennent compte des personnes </w:t>
      </w:r>
      <w:r w:rsidR="00886AA7" w:rsidRPr="009B071E">
        <w:rPr>
          <w:lang w:val="fr-FR"/>
        </w:rPr>
        <w:t>en situation d’handicap</w:t>
      </w:r>
      <w:r w:rsidRPr="009B071E">
        <w:rPr>
          <w:lang w:val="fr-FR"/>
        </w:rPr>
        <w:t>.</w:t>
      </w:r>
    </w:p>
    <w:p w14:paraId="704263BF" w14:textId="316DFFB1" w:rsidR="00A807F5" w:rsidRPr="009B071E" w:rsidRDefault="009E009E" w:rsidP="00BD6F27">
      <w:pPr>
        <w:pStyle w:val="COMPara"/>
        <w:keepNext/>
        <w:spacing w:before="240"/>
        <w:rPr>
          <w:b/>
          <w:bCs/>
          <w:lang w:val="fr-FR"/>
        </w:rPr>
      </w:pPr>
      <w:r w:rsidRPr="009B071E">
        <w:rPr>
          <w:b/>
          <w:bCs/>
          <w:lang w:val="fr-FR"/>
        </w:rPr>
        <w:t>Résumé des questions liées aux critères et récurrentes dans le cycle 2023</w:t>
      </w:r>
    </w:p>
    <w:p w14:paraId="047815AF" w14:textId="2B6F4223" w:rsidR="00891125" w:rsidRPr="009B071E" w:rsidRDefault="00891125" w:rsidP="00D832F0">
      <w:pPr>
        <w:pStyle w:val="COMPara"/>
        <w:keepNext/>
        <w:numPr>
          <w:ilvl w:val="0"/>
          <w:numId w:val="7"/>
        </w:numPr>
        <w:spacing w:before="120"/>
        <w:ind w:left="562" w:hanging="562"/>
        <w:jc w:val="both"/>
        <w:rPr>
          <w:lang w:val="fr-FR"/>
        </w:rPr>
      </w:pPr>
      <w:r w:rsidRPr="009B071E">
        <w:rPr>
          <w:lang w:val="fr-FR"/>
        </w:rPr>
        <w:t>L</w:t>
      </w:r>
      <w:r w:rsidR="00521B04" w:rsidRPr="009B071E">
        <w:rPr>
          <w:lang w:val="fr-FR"/>
        </w:rPr>
        <w:t>’</w:t>
      </w:r>
      <w:r w:rsidRPr="009B071E">
        <w:rPr>
          <w:lang w:val="fr-FR"/>
        </w:rPr>
        <w:t>Organe d</w:t>
      </w:r>
      <w:r w:rsidR="00521B04" w:rsidRPr="009B071E">
        <w:rPr>
          <w:lang w:val="fr-FR"/>
        </w:rPr>
        <w:t>’</w:t>
      </w:r>
      <w:r w:rsidRPr="009B071E">
        <w:rPr>
          <w:lang w:val="fr-FR"/>
        </w:rPr>
        <w:t xml:space="preserve">évaluation a noté que les États parties étaient confrontés à un certain nombre de défis étroitement liés aux critères spécifiques </w:t>
      </w:r>
      <w:r w:rsidR="006609D6" w:rsidRPr="009B071E">
        <w:rPr>
          <w:lang w:val="fr-FR"/>
        </w:rPr>
        <w:t>aux</w:t>
      </w:r>
      <w:r w:rsidRPr="009B071E">
        <w:rPr>
          <w:lang w:val="fr-FR"/>
        </w:rPr>
        <w:t xml:space="preserve"> Listes et Registre de la Convention. Bien que certaines de ces questions aient été identifiées lors des cycles précédents, l</w:t>
      </w:r>
      <w:r w:rsidR="00521B04" w:rsidRPr="009B071E">
        <w:rPr>
          <w:lang w:val="fr-FR"/>
        </w:rPr>
        <w:t>’</w:t>
      </w:r>
      <w:r w:rsidRPr="009B071E">
        <w:rPr>
          <w:lang w:val="fr-FR"/>
        </w:rPr>
        <w:t>Organe souhaite attirer l</w:t>
      </w:r>
      <w:r w:rsidR="00521B04" w:rsidRPr="009B071E">
        <w:rPr>
          <w:lang w:val="fr-FR"/>
        </w:rPr>
        <w:t>’</w:t>
      </w:r>
      <w:r w:rsidRPr="009B071E">
        <w:rPr>
          <w:lang w:val="fr-FR"/>
        </w:rPr>
        <w:t>attention sur les questions qui ont été mises en évidence lors du cycle de candidature de cette année, ce qui pourrait aider les États parties lors des cycles futurs.</w:t>
      </w:r>
    </w:p>
    <w:tbl>
      <w:tblPr>
        <w:tblStyle w:val="Grilledutableau"/>
        <w:tblW w:w="9180" w:type="dxa"/>
        <w:tblInd w:w="535" w:type="dxa"/>
        <w:tblLook w:val="04A0" w:firstRow="1" w:lastRow="0" w:firstColumn="1" w:lastColumn="0" w:noHBand="0" w:noVBand="1"/>
      </w:tblPr>
      <w:tblGrid>
        <w:gridCol w:w="1133"/>
        <w:gridCol w:w="8047"/>
      </w:tblGrid>
      <w:tr w:rsidR="001D58F4" w:rsidRPr="009B071E" w14:paraId="40106DCB" w14:textId="77777777" w:rsidTr="001D58F4">
        <w:tc>
          <w:tcPr>
            <w:tcW w:w="1133" w:type="dxa"/>
            <w:vAlign w:val="center"/>
          </w:tcPr>
          <w:p w14:paraId="69755693" w14:textId="77777777" w:rsidR="001D58F4" w:rsidRPr="009B071E" w:rsidRDefault="001D58F4" w:rsidP="00AC655D">
            <w:pPr>
              <w:spacing w:after="120"/>
              <w:rPr>
                <w:rFonts w:cs="Arial"/>
                <w:b/>
                <w:snapToGrid w:val="0"/>
                <w:sz w:val="22"/>
                <w:szCs w:val="22"/>
                <w:lang w:val="fr-FR"/>
              </w:rPr>
            </w:pPr>
            <w:r w:rsidRPr="009B071E">
              <w:rPr>
                <w:rFonts w:cs="Arial"/>
                <w:b/>
                <w:bCs/>
                <w:snapToGrid w:val="0"/>
                <w:sz w:val="22"/>
                <w:szCs w:val="22"/>
                <w:lang w:val="fr-FR"/>
              </w:rPr>
              <w:t>Critère</w:t>
            </w:r>
          </w:p>
        </w:tc>
        <w:tc>
          <w:tcPr>
            <w:tcW w:w="8047" w:type="dxa"/>
            <w:vAlign w:val="center"/>
          </w:tcPr>
          <w:p w14:paraId="55873BDD" w14:textId="77777777" w:rsidR="001D58F4" w:rsidRPr="009B071E" w:rsidRDefault="001D58F4" w:rsidP="00AC655D">
            <w:pPr>
              <w:spacing w:after="120"/>
              <w:jc w:val="center"/>
              <w:rPr>
                <w:rFonts w:cs="Arial"/>
                <w:b/>
                <w:snapToGrid w:val="0"/>
                <w:sz w:val="22"/>
                <w:szCs w:val="22"/>
                <w:lang w:val="fr-FR"/>
              </w:rPr>
            </w:pPr>
            <w:r w:rsidRPr="009B071E">
              <w:rPr>
                <w:rFonts w:cs="Arial"/>
                <w:b/>
                <w:bCs/>
                <w:snapToGrid w:val="0"/>
                <w:sz w:val="22"/>
                <w:szCs w:val="22"/>
                <w:lang w:val="fr-FR"/>
              </w:rPr>
              <w:t>Problèmes identifiés</w:t>
            </w:r>
          </w:p>
        </w:tc>
      </w:tr>
      <w:tr w:rsidR="001D58F4" w:rsidRPr="00620E80" w14:paraId="2632F545" w14:textId="77777777" w:rsidTr="00AC655D">
        <w:tc>
          <w:tcPr>
            <w:tcW w:w="9180" w:type="dxa"/>
            <w:gridSpan w:val="2"/>
            <w:shd w:val="clear" w:color="auto" w:fill="D6E3BC" w:themeFill="accent3" w:themeFillTint="66"/>
          </w:tcPr>
          <w:p w14:paraId="5150DCC9" w14:textId="35B59D27" w:rsidR="001D58F4" w:rsidRPr="009B071E" w:rsidRDefault="001D58F4" w:rsidP="00AC655D">
            <w:pPr>
              <w:pStyle w:val="COMPara"/>
              <w:numPr>
                <w:ilvl w:val="0"/>
                <w:numId w:val="0"/>
              </w:numPr>
              <w:ind w:left="360" w:hanging="360"/>
              <w:jc w:val="both"/>
              <w:rPr>
                <w:rFonts w:eastAsiaTheme="minorEastAsia"/>
                <w:bCs/>
                <w:lang w:val="fr-FR"/>
              </w:rPr>
            </w:pPr>
            <w:r w:rsidRPr="009B071E">
              <w:rPr>
                <w:b/>
                <w:bCs/>
                <w:lang w:val="fr-FR"/>
              </w:rPr>
              <w:t>Liste représentative</w:t>
            </w:r>
            <w:r w:rsidR="006609D6" w:rsidRPr="009B071E">
              <w:rPr>
                <w:b/>
                <w:bCs/>
                <w:lang w:val="fr-FR"/>
              </w:rPr>
              <w:t xml:space="preserve"> </w:t>
            </w:r>
            <w:r w:rsidRPr="009B071E">
              <w:rPr>
                <w:b/>
                <w:bCs/>
                <w:lang w:val="fr-FR"/>
              </w:rPr>
              <w:t>/</w:t>
            </w:r>
            <w:r w:rsidR="006609D6" w:rsidRPr="009B071E">
              <w:rPr>
                <w:b/>
                <w:bCs/>
                <w:lang w:val="fr-FR"/>
              </w:rPr>
              <w:t xml:space="preserve"> </w:t>
            </w:r>
            <w:r w:rsidRPr="009B071E">
              <w:rPr>
                <w:b/>
                <w:bCs/>
                <w:lang w:val="fr-FR"/>
              </w:rPr>
              <w:t>Liste de sauvegarde urgente</w:t>
            </w:r>
          </w:p>
        </w:tc>
      </w:tr>
      <w:tr w:rsidR="001D58F4" w:rsidRPr="00620E80" w14:paraId="1F0DE81F" w14:textId="77777777" w:rsidTr="001D58F4">
        <w:tc>
          <w:tcPr>
            <w:tcW w:w="1133" w:type="dxa"/>
            <w:vMerge w:val="restart"/>
          </w:tcPr>
          <w:p w14:paraId="0BF82146" w14:textId="77777777" w:rsidR="001D58F4" w:rsidRPr="009B071E" w:rsidRDefault="001D58F4" w:rsidP="00AC655D">
            <w:pPr>
              <w:spacing w:after="120"/>
              <w:jc w:val="center"/>
              <w:rPr>
                <w:rFonts w:cs="Arial"/>
                <w:snapToGrid w:val="0"/>
                <w:sz w:val="22"/>
                <w:szCs w:val="22"/>
                <w:lang w:val="fr-FR"/>
              </w:rPr>
            </w:pPr>
            <w:r w:rsidRPr="009B071E">
              <w:rPr>
                <w:rFonts w:cs="Arial"/>
                <w:snapToGrid w:val="0"/>
                <w:sz w:val="22"/>
                <w:szCs w:val="22"/>
                <w:lang w:val="fr-FR"/>
              </w:rPr>
              <w:t>R.1 / U.1</w:t>
            </w:r>
          </w:p>
        </w:tc>
        <w:tc>
          <w:tcPr>
            <w:tcW w:w="8047" w:type="dxa"/>
          </w:tcPr>
          <w:p w14:paraId="1B94304E" w14:textId="3391002E" w:rsidR="001D58F4" w:rsidRPr="009B071E" w:rsidRDefault="001D58F4" w:rsidP="00AC655D">
            <w:pPr>
              <w:spacing w:after="120"/>
              <w:jc w:val="both"/>
              <w:rPr>
                <w:rFonts w:cs="Arial"/>
                <w:snapToGrid w:val="0"/>
                <w:sz w:val="22"/>
                <w:szCs w:val="22"/>
                <w:lang w:val="fr-FR"/>
              </w:rPr>
            </w:pPr>
            <w:r w:rsidRPr="009B071E">
              <w:rPr>
                <w:rFonts w:cs="Arial"/>
                <w:b/>
                <w:bCs/>
                <w:snapToGrid w:val="0"/>
                <w:sz w:val="22"/>
                <w:szCs w:val="22"/>
                <w:lang w:val="fr-FR"/>
              </w:rPr>
              <w:t>Religion </w:t>
            </w:r>
            <w:r w:rsidRPr="009B071E">
              <w:rPr>
                <w:rFonts w:cs="Arial"/>
                <w:snapToGrid w:val="0"/>
                <w:sz w:val="22"/>
                <w:szCs w:val="22"/>
                <w:lang w:val="fr-FR"/>
              </w:rPr>
              <w:t>: pour les dossiers qui impliquent un rite ou une pratique religieuse, l</w:t>
            </w:r>
            <w:r w:rsidR="00521B04" w:rsidRPr="009B071E">
              <w:rPr>
                <w:rFonts w:cs="Arial"/>
                <w:snapToGrid w:val="0"/>
                <w:sz w:val="22"/>
                <w:szCs w:val="22"/>
                <w:lang w:val="fr-FR"/>
              </w:rPr>
              <w:t>’</w:t>
            </w:r>
            <w:r w:rsidRPr="009B071E">
              <w:rPr>
                <w:rFonts w:cs="Arial"/>
                <w:snapToGrid w:val="0"/>
                <w:sz w:val="22"/>
                <w:szCs w:val="22"/>
                <w:lang w:val="fr-FR"/>
              </w:rPr>
              <w:t>Organe souhaite souligner que les États parties doivent développer les aspects sociaux de l</w:t>
            </w:r>
            <w:r w:rsidR="00521B04" w:rsidRPr="009B071E">
              <w:rPr>
                <w:rFonts w:cs="Arial"/>
                <w:snapToGrid w:val="0"/>
                <w:sz w:val="22"/>
                <w:szCs w:val="22"/>
                <w:lang w:val="fr-FR"/>
              </w:rPr>
              <w:t>’</w:t>
            </w:r>
            <w:r w:rsidRPr="009B071E">
              <w:rPr>
                <w:rFonts w:cs="Arial"/>
                <w:snapToGrid w:val="0"/>
                <w:sz w:val="22"/>
                <w:szCs w:val="22"/>
                <w:lang w:val="fr-FR"/>
              </w:rPr>
              <w:t>élément pro</w:t>
            </w:r>
            <w:r w:rsidR="00340ED4" w:rsidRPr="009B071E">
              <w:rPr>
                <w:rFonts w:cs="Arial"/>
                <w:snapToGrid w:val="0"/>
                <w:sz w:val="22"/>
                <w:szCs w:val="22"/>
                <w:lang w:val="fr-FR"/>
              </w:rPr>
              <w:t>posé</w:t>
            </w:r>
            <w:r w:rsidRPr="009B071E">
              <w:rPr>
                <w:rFonts w:cs="Arial"/>
                <w:snapToGrid w:val="0"/>
                <w:sz w:val="22"/>
                <w:szCs w:val="22"/>
                <w:lang w:val="fr-FR"/>
              </w:rPr>
              <w:t>.</w:t>
            </w:r>
          </w:p>
        </w:tc>
      </w:tr>
      <w:tr w:rsidR="001D58F4" w:rsidRPr="00620E80" w14:paraId="1125C59E" w14:textId="77777777" w:rsidTr="001D58F4">
        <w:tc>
          <w:tcPr>
            <w:tcW w:w="1133" w:type="dxa"/>
            <w:vMerge/>
          </w:tcPr>
          <w:p w14:paraId="738EA12F" w14:textId="77777777" w:rsidR="001D58F4" w:rsidRPr="009B071E" w:rsidRDefault="001D58F4" w:rsidP="00AC655D">
            <w:pPr>
              <w:spacing w:after="120"/>
              <w:jc w:val="center"/>
              <w:rPr>
                <w:rFonts w:cs="Arial"/>
                <w:snapToGrid w:val="0"/>
                <w:sz w:val="22"/>
                <w:szCs w:val="22"/>
                <w:lang w:val="fr-FR"/>
              </w:rPr>
            </w:pPr>
          </w:p>
        </w:tc>
        <w:tc>
          <w:tcPr>
            <w:tcW w:w="8047" w:type="dxa"/>
          </w:tcPr>
          <w:p w14:paraId="41CA838E" w14:textId="0E334FEB" w:rsidR="001D58F4" w:rsidRPr="009B071E" w:rsidRDefault="001D58F4" w:rsidP="00AC655D">
            <w:pPr>
              <w:spacing w:after="120"/>
              <w:jc w:val="both"/>
              <w:rPr>
                <w:rFonts w:cs="Arial"/>
                <w:b/>
                <w:bCs/>
                <w:snapToGrid w:val="0"/>
                <w:sz w:val="22"/>
                <w:szCs w:val="22"/>
                <w:lang w:val="fr-FR"/>
              </w:rPr>
            </w:pPr>
            <w:r w:rsidRPr="009B071E">
              <w:rPr>
                <w:rFonts w:cs="Arial"/>
                <w:b/>
                <w:bCs/>
                <w:snapToGrid w:val="0"/>
                <w:sz w:val="22"/>
                <w:szCs w:val="22"/>
                <w:lang w:val="fr-FR"/>
              </w:rPr>
              <w:t xml:space="preserve">Genre : </w:t>
            </w:r>
            <w:r w:rsidRPr="009B071E">
              <w:rPr>
                <w:rFonts w:cs="Arial"/>
                <w:snapToGrid w:val="0"/>
                <w:sz w:val="22"/>
                <w:szCs w:val="22"/>
                <w:lang w:val="fr-FR"/>
              </w:rPr>
              <w:t xml:space="preserve">lorsque le dossier de candidature demande des informations sur les rôles </w:t>
            </w:r>
            <w:r w:rsidR="007B7BAF" w:rsidRPr="009B071E">
              <w:rPr>
                <w:rFonts w:cs="Arial"/>
                <w:snapToGrid w:val="0"/>
                <w:sz w:val="22"/>
                <w:szCs w:val="22"/>
                <w:lang w:val="fr-FR"/>
              </w:rPr>
              <w:t xml:space="preserve">liés au </w:t>
            </w:r>
            <w:r w:rsidR="009A2988" w:rsidRPr="009B071E">
              <w:rPr>
                <w:rFonts w:cs="Arial"/>
                <w:snapToGrid w:val="0"/>
                <w:sz w:val="22"/>
                <w:szCs w:val="22"/>
                <w:lang w:val="fr-FR"/>
              </w:rPr>
              <w:t>genre</w:t>
            </w:r>
            <w:r w:rsidRPr="009B071E">
              <w:rPr>
                <w:rFonts w:cs="Arial"/>
                <w:snapToGrid w:val="0"/>
                <w:sz w:val="22"/>
                <w:szCs w:val="22"/>
                <w:lang w:val="fr-FR"/>
              </w:rPr>
              <w:t xml:space="preserve">, les États parties sont encouragés à </w:t>
            </w:r>
            <w:r w:rsidR="007B7BAF" w:rsidRPr="009B071E">
              <w:rPr>
                <w:rFonts w:cs="Arial"/>
                <w:snapToGrid w:val="0"/>
                <w:sz w:val="22"/>
                <w:szCs w:val="22"/>
                <w:lang w:val="fr-FR"/>
              </w:rPr>
              <w:t>donner des détails sur l’ensemble</w:t>
            </w:r>
            <w:r w:rsidRPr="009B071E">
              <w:rPr>
                <w:rFonts w:cs="Arial"/>
                <w:snapToGrid w:val="0"/>
                <w:sz w:val="22"/>
                <w:szCs w:val="22"/>
                <w:lang w:val="fr-FR"/>
              </w:rPr>
              <w:t xml:space="preserve"> de ces rôles associés à la pratique et à la transmission de l</w:t>
            </w:r>
            <w:r w:rsidR="00521B04" w:rsidRPr="009B071E">
              <w:rPr>
                <w:rFonts w:cs="Arial"/>
                <w:snapToGrid w:val="0"/>
                <w:sz w:val="22"/>
                <w:szCs w:val="22"/>
                <w:lang w:val="fr-FR"/>
              </w:rPr>
              <w:t>’</w:t>
            </w:r>
            <w:r w:rsidRPr="009B071E">
              <w:rPr>
                <w:rFonts w:cs="Arial"/>
                <w:snapToGrid w:val="0"/>
                <w:sz w:val="22"/>
                <w:szCs w:val="22"/>
                <w:lang w:val="fr-FR"/>
              </w:rPr>
              <w:t>élément.</w:t>
            </w:r>
          </w:p>
        </w:tc>
      </w:tr>
      <w:tr w:rsidR="001D58F4" w:rsidRPr="00620E80" w14:paraId="064D217F" w14:textId="77777777" w:rsidTr="001D58F4">
        <w:tc>
          <w:tcPr>
            <w:tcW w:w="1133" w:type="dxa"/>
          </w:tcPr>
          <w:p w14:paraId="711AE881" w14:textId="77777777" w:rsidR="001D58F4" w:rsidRPr="009B071E" w:rsidRDefault="001D58F4" w:rsidP="00AC655D">
            <w:pPr>
              <w:snapToGrid w:val="0"/>
              <w:spacing w:after="120"/>
              <w:jc w:val="center"/>
              <w:rPr>
                <w:rFonts w:cs="Arial"/>
                <w:snapToGrid w:val="0"/>
                <w:sz w:val="22"/>
                <w:szCs w:val="22"/>
                <w:lang w:val="fr-FR"/>
              </w:rPr>
            </w:pPr>
            <w:r w:rsidRPr="009B071E">
              <w:rPr>
                <w:rFonts w:cs="Arial"/>
                <w:snapToGrid w:val="0"/>
                <w:sz w:val="22"/>
                <w:szCs w:val="22"/>
                <w:lang w:val="fr-FR"/>
              </w:rPr>
              <w:t>R.2 / U.2</w:t>
            </w:r>
          </w:p>
        </w:tc>
        <w:tc>
          <w:tcPr>
            <w:tcW w:w="8047" w:type="dxa"/>
          </w:tcPr>
          <w:p w14:paraId="3056A037" w14:textId="05661616" w:rsidR="001D58F4" w:rsidRPr="009B071E" w:rsidRDefault="001D58F4" w:rsidP="001D58F4">
            <w:pPr>
              <w:tabs>
                <w:tab w:val="left" w:pos="2962"/>
              </w:tabs>
              <w:spacing w:after="120"/>
              <w:jc w:val="both"/>
              <w:rPr>
                <w:rFonts w:cs="Arial"/>
                <w:sz w:val="22"/>
                <w:szCs w:val="22"/>
                <w:lang w:val="fr-FR"/>
              </w:rPr>
            </w:pPr>
            <w:r w:rsidRPr="009B071E">
              <w:rPr>
                <w:rFonts w:cs="Arial"/>
                <w:b/>
                <w:bCs/>
                <w:sz w:val="22"/>
                <w:szCs w:val="22"/>
                <w:lang w:val="fr-FR"/>
              </w:rPr>
              <w:t>Visibilité :</w:t>
            </w:r>
            <w:r w:rsidRPr="009B071E">
              <w:rPr>
                <w:rFonts w:cs="Arial"/>
                <w:sz w:val="22"/>
                <w:szCs w:val="22"/>
                <w:lang w:val="fr-FR"/>
              </w:rPr>
              <w:t xml:space="preserve"> compte tenu des modifications apportées aux Directives opérationnelles, l</w:t>
            </w:r>
            <w:r w:rsidR="00521B04" w:rsidRPr="009B071E">
              <w:rPr>
                <w:rFonts w:cs="Arial"/>
                <w:sz w:val="22"/>
                <w:szCs w:val="22"/>
                <w:lang w:val="fr-FR"/>
              </w:rPr>
              <w:t>’</w:t>
            </w:r>
            <w:r w:rsidRPr="009B071E">
              <w:rPr>
                <w:rFonts w:cs="Arial"/>
                <w:sz w:val="22"/>
                <w:szCs w:val="22"/>
                <w:lang w:val="fr-FR"/>
              </w:rPr>
              <w:t>Organe a fait preuve d</w:t>
            </w:r>
            <w:r w:rsidR="00521B04" w:rsidRPr="009B071E">
              <w:rPr>
                <w:rFonts w:cs="Arial"/>
                <w:sz w:val="22"/>
                <w:szCs w:val="22"/>
                <w:lang w:val="fr-FR"/>
              </w:rPr>
              <w:t>’</w:t>
            </w:r>
            <w:r w:rsidRPr="009B071E">
              <w:rPr>
                <w:rFonts w:cs="Arial"/>
                <w:sz w:val="22"/>
                <w:szCs w:val="22"/>
                <w:lang w:val="fr-FR"/>
              </w:rPr>
              <w:t>indulgence à l</w:t>
            </w:r>
            <w:r w:rsidR="00521B04" w:rsidRPr="009B071E">
              <w:rPr>
                <w:rFonts w:cs="Arial"/>
                <w:sz w:val="22"/>
                <w:szCs w:val="22"/>
                <w:lang w:val="fr-FR"/>
              </w:rPr>
              <w:t>’</w:t>
            </w:r>
            <w:r w:rsidRPr="009B071E">
              <w:rPr>
                <w:rFonts w:cs="Arial"/>
                <w:sz w:val="22"/>
                <w:szCs w:val="22"/>
                <w:lang w:val="fr-FR"/>
              </w:rPr>
              <w:t>égard d</w:t>
            </w:r>
            <w:r w:rsidR="006609D6" w:rsidRPr="009B071E">
              <w:rPr>
                <w:rFonts w:cs="Arial"/>
                <w:sz w:val="22"/>
                <w:szCs w:val="22"/>
                <w:lang w:val="fr-FR"/>
              </w:rPr>
              <w:t>e</w:t>
            </w:r>
            <w:r w:rsidRPr="009B071E">
              <w:rPr>
                <w:rFonts w:cs="Arial"/>
                <w:sz w:val="22"/>
                <w:szCs w:val="22"/>
                <w:lang w:val="fr-FR"/>
              </w:rPr>
              <w:t xml:space="preserve"> R.2. Les dossiers n</w:t>
            </w:r>
            <w:r w:rsidR="00521B04" w:rsidRPr="009B071E">
              <w:rPr>
                <w:rFonts w:cs="Arial"/>
                <w:sz w:val="22"/>
                <w:szCs w:val="22"/>
                <w:lang w:val="fr-FR"/>
              </w:rPr>
              <w:t>’</w:t>
            </w:r>
            <w:r w:rsidRPr="009B071E">
              <w:rPr>
                <w:rFonts w:cs="Arial"/>
                <w:sz w:val="22"/>
                <w:szCs w:val="22"/>
                <w:lang w:val="fr-FR"/>
              </w:rPr>
              <w:t>ont pas été re</w:t>
            </w:r>
            <w:r w:rsidR="009A2988" w:rsidRPr="009B071E">
              <w:rPr>
                <w:rFonts w:cs="Arial"/>
                <w:sz w:val="22"/>
                <w:szCs w:val="22"/>
                <w:lang w:val="fr-FR"/>
              </w:rPr>
              <w:t>nvoyés</w:t>
            </w:r>
            <w:r w:rsidRPr="009B071E">
              <w:rPr>
                <w:rFonts w:cs="Arial"/>
                <w:sz w:val="22"/>
                <w:szCs w:val="22"/>
                <w:lang w:val="fr-FR"/>
              </w:rPr>
              <w:t xml:space="preserve"> sur la base de ce critère.</w:t>
            </w:r>
          </w:p>
        </w:tc>
      </w:tr>
      <w:tr w:rsidR="001D58F4" w:rsidRPr="00620E80" w14:paraId="4C8C0647" w14:textId="77777777" w:rsidTr="00763931">
        <w:trPr>
          <w:trHeight w:val="649"/>
        </w:trPr>
        <w:tc>
          <w:tcPr>
            <w:tcW w:w="1133" w:type="dxa"/>
            <w:vMerge w:val="restart"/>
          </w:tcPr>
          <w:p w14:paraId="580AAB80" w14:textId="77777777" w:rsidR="001D58F4" w:rsidRPr="009B071E" w:rsidRDefault="001D58F4" w:rsidP="00AC655D">
            <w:pPr>
              <w:snapToGrid w:val="0"/>
              <w:spacing w:after="120"/>
              <w:jc w:val="center"/>
              <w:rPr>
                <w:rFonts w:cs="Arial"/>
                <w:snapToGrid w:val="0"/>
                <w:sz w:val="22"/>
                <w:szCs w:val="22"/>
                <w:lang w:val="fr-FR"/>
              </w:rPr>
            </w:pPr>
            <w:r w:rsidRPr="009B071E">
              <w:rPr>
                <w:rFonts w:cs="Arial"/>
                <w:snapToGrid w:val="0"/>
                <w:sz w:val="22"/>
                <w:szCs w:val="22"/>
                <w:lang w:val="fr-FR"/>
              </w:rPr>
              <w:t>R.3 / U.3</w:t>
            </w:r>
          </w:p>
        </w:tc>
        <w:tc>
          <w:tcPr>
            <w:tcW w:w="8047" w:type="dxa"/>
          </w:tcPr>
          <w:p w14:paraId="2C622757" w14:textId="32062585" w:rsidR="001D58F4" w:rsidRPr="009B071E" w:rsidRDefault="001D58F4" w:rsidP="00AC655D">
            <w:pPr>
              <w:spacing w:after="120"/>
              <w:jc w:val="both"/>
              <w:rPr>
                <w:rFonts w:cs="Arial"/>
                <w:sz w:val="22"/>
                <w:szCs w:val="22"/>
                <w:lang w:val="fr-FR"/>
              </w:rPr>
            </w:pPr>
            <w:r w:rsidRPr="009B071E">
              <w:rPr>
                <w:rFonts w:cs="Arial"/>
                <w:b/>
                <w:bCs/>
                <w:sz w:val="22"/>
                <w:szCs w:val="22"/>
                <w:lang w:val="fr-FR"/>
              </w:rPr>
              <w:t>Participation des communautés :</w:t>
            </w:r>
            <w:r w:rsidRPr="009B071E">
              <w:rPr>
                <w:rFonts w:cs="Arial"/>
                <w:sz w:val="22"/>
                <w:szCs w:val="22"/>
                <w:lang w:val="fr-FR"/>
              </w:rPr>
              <w:t xml:space="preserve"> la participation de la communauté est au cœur de l</w:t>
            </w:r>
            <w:r w:rsidR="00521B04" w:rsidRPr="009B071E">
              <w:rPr>
                <w:rFonts w:cs="Arial"/>
                <w:sz w:val="22"/>
                <w:szCs w:val="22"/>
                <w:lang w:val="fr-FR"/>
              </w:rPr>
              <w:t>’</w:t>
            </w:r>
            <w:r w:rsidRPr="009B071E">
              <w:rPr>
                <w:rFonts w:cs="Arial"/>
                <w:sz w:val="22"/>
                <w:szCs w:val="22"/>
                <w:lang w:val="fr-FR"/>
              </w:rPr>
              <w:t>évaluation de R.3/U.3. L</w:t>
            </w:r>
            <w:r w:rsidR="00521B04" w:rsidRPr="009B071E">
              <w:rPr>
                <w:rFonts w:cs="Arial"/>
                <w:sz w:val="22"/>
                <w:szCs w:val="22"/>
                <w:lang w:val="fr-FR"/>
              </w:rPr>
              <w:t>’</w:t>
            </w:r>
            <w:r w:rsidRPr="009B071E">
              <w:rPr>
                <w:rFonts w:cs="Arial"/>
                <w:sz w:val="22"/>
                <w:szCs w:val="22"/>
                <w:lang w:val="fr-FR"/>
              </w:rPr>
              <w:t>Organe a observé que la participation de la communauté à la planification et à la mise en œuvre des mesures de sauvegarde n</w:t>
            </w:r>
            <w:r w:rsidR="00521B04" w:rsidRPr="009B071E">
              <w:rPr>
                <w:rFonts w:cs="Arial"/>
                <w:sz w:val="22"/>
                <w:szCs w:val="22"/>
                <w:lang w:val="fr-FR"/>
              </w:rPr>
              <w:t>’</w:t>
            </w:r>
            <w:r w:rsidRPr="009B071E">
              <w:rPr>
                <w:rFonts w:cs="Arial"/>
                <w:sz w:val="22"/>
                <w:szCs w:val="22"/>
                <w:lang w:val="fr-FR"/>
              </w:rPr>
              <w:t>était pas toujours bien expliquée. Dans ces cas, on peut interpréter que les mesures ont été élaborées selon des approches descendantes. Pour éviter cela, les États parties sont encouragés à déployer des approches qui garantissent la participation la plus large possible des communautés à la planification des mesures de sauvegarde et à veiller à ce que le dossier explique clairement leur rôle dans la mise en œuvre des mesures proposées.</w:t>
            </w:r>
          </w:p>
        </w:tc>
      </w:tr>
      <w:tr w:rsidR="001D58F4" w:rsidRPr="00620E80" w14:paraId="4BA43538" w14:textId="77777777" w:rsidTr="00861388">
        <w:trPr>
          <w:trHeight w:val="647"/>
        </w:trPr>
        <w:tc>
          <w:tcPr>
            <w:tcW w:w="1133" w:type="dxa"/>
            <w:vMerge/>
          </w:tcPr>
          <w:p w14:paraId="2D38D0AA" w14:textId="77777777" w:rsidR="001D58F4" w:rsidRPr="009B071E" w:rsidRDefault="001D58F4" w:rsidP="00AC655D">
            <w:pPr>
              <w:snapToGrid w:val="0"/>
              <w:spacing w:after="120"/>
              <w:jc w:val="center"/>
              <w:rPr>
                <w:rFonts w:cs="Arial"/>
                <w:snapToGrid w:val="0"/>
                <w:sz w:val="22"/>
                <w:szCs w:val="22"/>
                <w:lang w:val="fr-FR"/>
              </w:rPr>
            </w:pPr>
          </w:p>
        </w:tc>
        <w:tc>
          <w:tcPr>
            <w:tcW w:w="8047" w:type="dxa"/>
          </w:tcPr>
          <w:p w14:paraId="77A9E431" w14:textId="477A2FFE" w:rsidR="001D58F4" w:rsidRPr="009B071E" w:rsidRDefault="001D58F4" w:rsidP="00AC655D">
            <w:pPr>
              <w:spacing w:after="120"/>
              <w:jc w:val="both"/>
              <w:rPr>
                <w:rFonts w:cs="Arial"/>
                <w:b/>
                <w:bCs/>
                <w:sz w:val="22"/>
                <w:szCs w:val="22"/>
                <w:lang w:val="fr-FR"/>
              </w:rPr>
            </w:pPr>
            <w:r w:rsidRPr="009B071E">
              <w:rPr>
                <w:rFonts w:cs="Arial"/>
                <w:b/>
                <w:bCs/>
                <w:sz w:val="22"/>
                <w:szCs w:val="22"/>
                <w:lang w:val="fr-FR"/>
              </w:rPr>
              <w:t>Plans de sauvegarde en relation avec U.2. :</w:t>
            </w:r>
            <w:r w:rsidRPr="009B071E">
              <w:rPr>
                <w:rFonts w:cs="Arial"/>
                <w:sz w:val="22"/>
                <w:szCs w:val="22"/>
                <w:lang w:val="fr-FR"/>
              </w:rPr>
              <w:t xml:space="preserve"> l</w:t>
            </w:r>
            <w:r w:rsidR="00521B04" w:rsidRPr="009B071E">
              <w:rPr>
                <w:rFonts w:cs="Arial"/>
                <w:sz w:val="22"/>
                <w:szCs w:val="22"/>
                <w:lang w:val="fr-FR"/>
              </w:rPr>
              <w:t>’</w:t>
            </w:r>
            <w:r w:rsidRPr="009B071E">
              <w:rPr>
                <w:rFonts w:cs="Arial"/>
                <w:sz w:val="22"/>
                <w:szCs w:val="22"/>
                <w:lang w:val="fr-FR"/>
              </w:rPr>
              <w:t>Organe a observé que, dans quelques cas, les plans de sauvegarde décrits à l</w:t>
            </w:r>
            <w:r w:rsidR="00521B04" w:rsidRPr="009B071E">
              <w:rPr>
                <w:rFonts w:cs="Arial"/>
                <w:sz w:val="22"/>
                <w:szCs w:val="22"/>
                <w:lang w:val="fr-FR"/>
              </w:rPr>
              <w:t>’</w:t>
            </w:r>
            <w:r w:rsidRPr="009B071E">
              <w:rPr>
                <w:rFonts w:cs="Arial"/>
                <w:sz w:val="22"/>
                <w:szCs w:val="22"/>
                <w:lang w:val="fr-FR"/>
              </w:rPr>
              <w:t xml:space="preserve">article U.3. </w:t>
            </w:r>
            <w:r w:rsidR="00C07562" w:rsidRPr="009B071E">
              <w:rPr>
                <w:rFonts w:cs="Arial"/>
                <w:sz w:val="22"/>
                <w:szCs w:val="22"/>
                <w:lang w:val="fr-FR"/>
              </w:rPr>
              <w:t xml:space="preserve">n’ont </w:t>
            </w:r>
            <w:r w:rsidRPr="009B071E">
              <w:rPr>
                <w:rFonts w:cs="Arial"/>
                <w:sz w:val="22"/>
                <w:szCs w:val="22"/>
                <w:lang w:val="fr-FR"/>
              </w:rPr>
              <w:t xml:space="preserve">pas toujours </w:t>
            </w:r>
            <w:r w:rsidR="00C07562" w:rsidRPr="009B071E">
              <w:rPr>
                <w:rFonts w:cs="Arial"/>
                <w:sz w:val="22"/>
                <w:szCs w:val="22"/>
                <w:lang w:val="fr-FR"/>
              </w:rPr>
              <w:t>répondu aux</w:t>
            </w:r>
            <w:r w:rsidRPr="009B071E">
              <w:rPr>
                <w:rFonts w:cs="Arial"/>
                <w:sz w:val="22"/>
                <w:szCs w:val="22"/>
                <w:lang w:val="fr-FR"/>
              </w:rPr>
              <w:t xml:space="preserve"> menaces mises en évidence à l</w:t>
            </w:r>
            <w:r w:rsidR="00521B04" w:rsidRPr="009B071E">
              <w:rPr>
                <w:rFonts w:cs="Arial"/>
                <w:sz w:val="22"/>
                <w:szCs w:val="22"/>
                <w:lang w:val="fr-FR"/>
              </w:rPr>
              <w:t>’</w:t>
            </w:r>
            <w:r w:rsidRPr="009B071E">
              <w:rPr>
                <w:rFonts w:cs="Arial"/>
                <w:sz w:val="22"/>
                <w:szCs w:val="22"/>
                <w:lang w:val="fr-FR"/>
              </w:rPr>
              <w:t xml:space="preserve">article U.2. Les États parties sont encouragés à veiller à ce que les plans de sauvegarde </w:t>
            </w:r>
            <w:r w:rsidR="00C07562" w:rsidRPr="009B071E">
              <w:rPr>
                <w:rFonts w:cs="Arial"/>
                <w:sz w:val="22"/>
                <w:szCs w:val="22"/>
                <w:lang w:val="fr-FR"/>
              </w:rPr>
              <w:t>répondent aux</w:t>
            </w:r>
            <w:r w:rsidRPr="009B071E">
              <w:rPr>
                <w:rFonts w:cs="Arial"/>
                <w:sz w:val="22"/>
                <w:szCs w:val="22"/>
                <w:lang w:val="fr-FR"/>
              </w:rPr>
              <w:t xml:space="preserve"> menaces décrites à l</w:t>
            </w:r>
            <w:r w:rsidR="00521B04" w:rsidRPr="009B071E">
              <w:rPr>
                <w:rFonts w:cs="Arial"/>
                <w:sz w:val="22"/>
                <w:szCs w:val="22"/>
                <w:lang w:val="fr-FR"/>
              </w:rPr>
              <w:t>’</w:t>
            </w:r>
            <w:r w:rsidRPr="009B071E">
              <w:rPr>
                <w:rFonts w:cs="Arial"/>
                <w:sz w:val="22"/>
                <w:szCs w:val="22"/>
                <w:lang w:val="fr-FR"/>
              </w:rPr>
              <w:t>article U.2. dans la mesure du possible.</w:t>
            </w:r>
          </w:p>
        </w:tc>
      </w:tr>
      <w:tr w:rsidR="001D58F4" w:rsidRPr="00620E80" w14:paraId="55CD3C7D" w14:textId="77777777" w:rsidTr="005F5B78">
        <w:trPr>
          <w:trHeight w:val="647"/>
        </w:trPr>
        <w:tc>
          <w:tcPr>
            <w:tcW w:w="1133" w:type="dxa"/>
            <w:vMerge/>
          </w:tcPr>
          <w:p w14:paraId="759A8446" w14:textId="77777777" w:rsidR="001D58F4" w:rsidRPr="009B071E" w:rsidRDefault="001D58F4" w:rsidP="00AC655D">
            <w:pPr>
              <w:snapToGrid w:val="0"/>
              <w:spacing w:after="120"/>
              <w:jc w:val="center"/>
              <w:rPr>
                <w:rFonts w:cs="Arial"/>
                <w:snapToGrid w:val="0"/>
                <w:sz w:val="22"/>
                <w:szCs w:val="22"/>
                <w:lang w:val="fr-FR"/>
              </w:rPr>
            </w:pPr>
          </w:p>
        </w:tc>
        <w:tc>
          <w:tcPr>
            <w:tcW w:w="8047" w:type="dxa"/>
          </w:tcPr>
          <w:p w14:paraId="43D176F4" w14:textId="2752F1E5" w:rsidR="001D58F4" w:rsidRPr="009B071E" w:rsidRDefault="001D58F4" w:rsidP="00AC655D">
            <w:pPr>
              <w:spacing w:after="120"/>
              <w:jc w:val="both"/>
              <w:rPr>
                <w:rFonts w:cs="Arial"/>
                <w:b/>
                <w:bCs/>
                <w:sz w:val="22"/>
                <w:szCs w:val="22"/>
                <w:lang w:val="fr-FR"/>
              </w:rPr>
            </w:pPr>
            <w:r w:rsidRPr="009B071E">
              <w:rPr>
                <w:rFonts w:cs="Arial"/>
                <w:b/>
                <w:bCs/>
                <w:sz w:val="22"/>
                <w:szCs w:val="22"/>
                <w:lang w:val="fr-FR"/>
              </w:rPr>
              <w:t>Traitement de R.3 avec R.1 :</w:t>
            </w:r>
            <w:r w:rsidRPr="009B071E">
              <w:rPr>
                <w:rFonts w:cs="Arial"/>
                <w:sz w:val="22"/>
                <w:szCs w:val="22"/>
                <w:lang w:val="fr-FR"/>
              </w:rPr>
              <w:t xml:space="preserve"> </w:t>
            </w:r>
            <w:r w:rsidRPr="0050051F">
              <w:rPr>
                <w:rFonts w:cs="Arial"/>
                <w:sz w:val="22"/>
                <w:szCs w:val="22"/>
                <w:lang w:val="fr-FR"/>
              </w:rPr>
              <w:t>comme pour tous les critères, l</w:t>
            </w:r>
            <w:r w:rsidR="00521B04" w:rsidRPr="0050051F">
              <w:rPr>
                <w:rFonts w:cs="Arial"/>
                <w:sz w:val="22"/>
                <w:szCs w:val="22"/>
                <w:lang w:val="fr-FR"/>
              </w:rPr>
              <w:t>’</w:t>
            </w:r>
            <w:r w:rsidRPr="0050051F">
              <w:rPr>
                <w:rFonts w:cs="Arial"/>
                <w:sz w:val="22"/>
                <w:szCs w:val="22"/>
                <w:lang w:val="fr-FR"/>
              </w:rPr>
              <w:t>Organe a évalué R.3 de manière indépendante</w:t>
            </w:r>
            <w:r w:rsidR="006B6A5E" w:rsidRPr="0050051F">
              <w:rPr>
                <w:rFonts w:cs="Arial"/>
                <w:sz w:val="22"/>
                <w:szCs w:val="22"/>
                <w:lang w:val="fr-FR"/>
              </w:rPr>
              <w:t>, y compris R.1</w:t>
            </w:r>
            <w:r w:rsidRPr="0050051F">
              <w:rPr>
                <w:rFonts w:cs="Arial"/>
                <w:sz w:val="22"/>
                <w:szCs w:val="22"/>
                <w:lang w:val="fr-FR"/>
              </w:rPr>
              <w:t>.</w:t>
            </w:r>
            <w:r w:rsidRPr="009B071E">
              <w:rPr>
                <w:rFonts w:cs="Arial"/>
                <w:sz w:val="22"/>
                <w:szCs w:val="22"/>
                <w:lang w:val="fr-FR"/>
              </w:rPr>
              <w:t xml:space="preserve"> L</w:t>
            </w:r>
            <w:r w:rsidR="00521B04" w:rsidRPr="009B071E">
              <w:rPr>
                <w:rFonts w:cs="Arial"/>
                <w:sz w:val="22"/>
                <w:szCs w:val="22"/>
                <w:lang w:val="fr-FR"/>
              </w:rPr>
              <w:t>’</w:t>
            </w:r>
            <w:r w:rsidRPr="009B071E">
              <w:rPr>
                <w:rFonts w:cs="Arial"/>
                <w:sz w:val="22"/>
                <w:szCs w:val="22"/>
                <w:lang w:val="fr-FR"/>
              </w:rPr>
              <w:t>Organe reconnaît la valeur d</w:t>
            </w:r>
            <w:r w:rsidR="00521B04" w:rsidRPr="009B071E">
              <w:rPr>
                <w:rFonts w:cs="Arial"/>
                <w:sz w:val="22"/>
                <w:szCs w:val="22"/>
                <w:lang w:val="fr-FR"/>
              </w:rPr>
              <w:t>’</w:t>
            </w:r>
            <w:r w:rsidRPr="009B071E">
              <w:rPr>
                <w:rFonts w:cs="Arial"/>
                <w:sz w:val="22"/>
                <w:szCs w:val="22"/>
                <w:lang w:val="fr-FR"/>
              </w:rPr>
              <w:t>un élément pour les praticiens aux niveaux local et national, même s</w:t>
            </w:r>
            <w:r w:rsidR="00521B04" w:rsidRPr="009B071E">
              <w:rPr>
                <w:rFonts w:cs="Arial"/>
                <w:sz w:val="22"/>
                <w:szCs w:val="22"/>
                <w:lang w:val="fr-FR"/>
              </w:rPr>
              <w:t>’</w:t>
            </w:r>
            <w:r w:rsidRPr="009B071E">
              <w:rPr>
                <w:rFonts w:cs="Arial"/>
                <w:sz w:val="22"/>
                <w:szCs w:val="22"/>
                <w:lang w:val="fr-FR"/>
              </w:rPr>
              <w:t>il n</w:t>
            </w:r>
            <w:r w:rsidR="00521B04" w:rsidRPr="009B071E">
              <w:rPr>
                <w:rFonts w:cs="Arial"/>
                <w:sz w:val="22"/>
                <w:szCs w:val="22"/>
                <w:lang w:val="fr-FR"/>
              </w:rPr>
              <w:t>’</w:t>
            </w:r>
            <w:r w:rsidRPr="009B071E">
              <w:rPr>
                <w:rFonts w:cs="Arial"/>
                <w:sz w:val="22"/>
                <w:szCs w:val="22"/>
                <w:lang w:val="fr-FR"/>
              </w:rPr>
              <w:t>est pas inscrit au niveau international.</w:t>
            </w:r>
          </w:p>
        </w:tc>
      </w:tr>
      <w:tr w:rsidR="001D58F4" w:rsidRPr="00620E80" w14:paraId="18AA6DBA" w14:textId="77777777" w:rsidTr="001D58F4">
        <w:tc>
          <w:tcPr>
            <w:tcW w:w="1133" w:type="dxa"/>
          </w:tcPr>
          <w:p w14:paraId="32D9AB2F" w14:textId="77777777" w:rsidR="001D58F4" w:rsidRPr="009B071E" w:rsidRDefault="001D58F4" w:rsidP="00AC655D">
            <w:pPr>
              <w:snapToGrid w:val="0"/>
              <w:spacing w:after="120"/>
              <w:jc w:val="center"/>
              <w:rPr>
                <w:rFonts w:cs="Arial"/>
                <w:snapToGrid w:val="0"/>
                <w:sz w:val="22"/>
                <w:szCs w:val="22"/>
                <w:lang w:val="fr-FR"/>
              </w:rPr>
            </w:pPr>
            <w:r w:rsidRPr="009B071E">
              <w:rPr>
                <w:rFonts w:cs="Arial"/>
                <w:snapToGrid w:val="0"/>
                <w:sz w:val="22"/>
                <w:szCs w:val="22"/>
                <w:lang w:val="fr-FR"/>
              </w:rPr>
              <w:t>R.4 / U.4</w:t>
            </w:r>
          </w:p>
        </w:tc>
        <w:tc>
          <w:tcPr>
            <w:tcW w:w="8047" w:type="dxa"/>
          </w:tcPr>
          <w:p w14:paraId="22EB219D" w14:textId="35900249" w:rsidR="00C07562" w:rsidRPr="009B071E" w:rsidRDefault="001D58F4" w:rsidP="00AC655D">
            <w:pPr>
              <w:spacing w:after="120"/>
              <w:jc w:val="both"/>
              <w:rPr>
                <w:rFonts w:cs="Arial"/>
                <w:sz w:val="22"/>
                <w:szCs w:val="22"/>
                <w:lang w:val="fr-FR"/>
              </w:rPr>
            </w:pPr>
            <w:r w:rsidRPr="009B071E">
              <w:rPr>
                <w:rFonts w:cs="Arial"/>
                <w:b/>
                <w:bCs/>
                <w:sz w:val="22"/>
                <w:szCs w:val="22"/>
                <w:lang w:val="fr-FR"/>
              </w:rPr>
              <w:t>Lettres de consentement :</w:t>
            </w:r>
            <w:r w:rsidRPr="009B071E">
              <w:rPr>
                <w:rFonts w:cs="Arial"/>
                <w:sz w:val="22"/>
                <w:szCs w:val="22"/>
                <w:lang w:val="fr-FR"/>
              </w:rPr>
              <w:t xml:space="preserve"> les lettres de consentement servent à vérifier le rôle des communautés dans </w:t>
            </w:r>
            <w:r w:rsidR="00C07562" w:rsidRPr="009B071E">
              <w:rPr>
                <w:rFonts w:cs="Arial"/>
                <w:sz w:val="22"/>
                <w:szCs w:val="22"/>
                <w:lang w:val="fr-FR"/>
              </w:rPr>
              <w:t>l’élément proposé</w:t>
            </w:r>
            <w:r w:rsidRPr="009B071E">
              <w:rPr>
                <w:rFonts w:cs="Arial"/>
                <w:sz w:val="22"/>
                <w:szCs w:val="22"/>
                <w:lang w:val="fr-FR"/>
              </w:rPr>
              <w:t xml:space="preserve">, leur connaissance des </w:t>
            </w:r>
            <w:r w:rsidR="006609D6" w:rsidRPr="009B071E">
              <w:rPr>
                <w:rFonts w:cs="Arial"/>
                <w:sz w:val="22"/>
                <w:szCs w:val="22"/>
                <w:lang w:val="fr-FR"/>
              </w:rPr>
              <w:t>L</w:t>
            </w:r>
            <w:r w:rsidRPr="009B071E">
              <w:rPr>
                <w:rFonts w:cs="Arial"/>
                <w:sz w:val="22"/>
                <w:szCs w:val="22"/>
                <w:lang w:val="fr-FR"/>
              </w:rPr>
              <w:t xml:space="preserve">istes de la Convention et leur participation à la candidature. </w:t>
            </w:r>
            <w:r w:rsidR="00C07562" w:rsidRPr="009B071E">
              <w:rPr>
                <w:rFonts w:cs="Arial"/>
                <w:sz w:val="22"/>
                <w:szCs w:val="22"/>
                <w:lang w:val="fr-FR"/>
              </w:rPr>
              <w:t xml:space="preserve">À cet égard, les dossiers de candidature doivent comprendre une série de lettres établissant un consentement libre, préalable et éclairé ; sensibiliser la communauté à la Liste particulière de la Convention à laquelle l’élément est proposé ; ainsi qu’être suffisamment représentatif des communautés, groupes et individus concernés par l’élément et décrits dans le dossier. </w:t>
            </w:r>
          </w:p>
          <w:p w14:paraId="6388F84C" w14:textId="7D386A92" w:rsidR="001D58F4" w:rsidRPr="009B071E" w:rsidRDefault="00C07562" w:rsidP="00AC655D">
            <w:pPr>
              <w:spacing w:after="120"/>
              <w:jc w:val="both"/>
              <w:rPr>
                <w:rFonts w:cs="Arial"/>
                <w:sz w:val="22"/>
                <w:szCs w:val="22"/>
                <w:lang w:val="fr-FR"/>
              </w:rPr>
            </w:pPr>
            <w:r w:rsidRPr="009B071E">
              <w:rPr>
                <w:rFonts w:cs="Arial"/>
                <w:sz w:val="22"/>
                <w:szCs w:val="22"/>
                <w:lang w:val="fr-FR"/>
              </w:rPr>
              <w:t>De manière récurrente, d</w:t>
            </w:r>
            <w:r w:rsidR="001D58F4" w:rsidRPr="009B071E">
              <w:rPr>
                <w:rFonts w:cs="Arial"/>
                <w:sz w:val="22"/>
                <w:szCs w:val="22"/>
                <w:lang w:val="fr-FR"/>
              </w:rPr>
              <w:t xml:space="preserve">ans </w:t>
            </w:r>
            <w:r w:rsidRPr="009B071E">
              <w:rPr>
                <w:rFonts w:cs="Arial"/>
                <w:sz w:val="22"/>
                <w:szCs w:val="22"/>
                <w:lang w:val="fr-FR"/>
              </w:rPr>
              <w:t xml:space="preserve">plusieurs </w:t>
            </w:r>
            <w:r w:rsidR="001D58F4" w:rsidRPr="009B071E">
              <w:rPr>
                <w:rFonts w:cs="Arial"/>
                <w:sz w:val="22"/>
                <w:szCs w:val="22"/>
                <w:lang w:val="fr-FR"/>
              </w:rPr>
              <w:t>cas, les lettres de consentement ont été présentées dans des formats standardisés. L</w:t>
            </w:r>
            <w:r w:rsidR="00521B04" w:rsidRPr="009B071E">
              <w:rPr>
                <w:rFonts w:cs="Arial"/>
                <w:sz w:val="22"/>
                <w:szCs w:val="22"/>
                <w:lang w:val="fr-FR"/>
              </w:rPr>
              <w:t>’</w:t>
            </w:r>
            <w:r w:rsidR="001D58F4" w:rsidRPr="009B071E">
              <w:rPr>
                <w:rFonts w:cs="Arial"/>
                <w:sz w:val="22"/>
                <w:szCs w:val="22"/>
                <w:lang w:val="fr-FR"/>
              </w:rPr>
              <w:t>Organe d</w:t>
            </w:r>
            <w:r w:rsidR="00521B04" w:rsidRPr="009B071E">
              <w:rPr>
                <w:rFonts w:cs="Arial"/>
                <w:sz w:val="22"/>
                <w:szCs w:val="22"/>
                <w:lang w:val="fr-FR"/>
              </w:rPr>
              <w:t>’</w:t>
            </w:r>
            <w:r w:rsidR="001D58F4" w:rsidRPr="009B071E">
              <w:rPr>
                <w:rFonts w:cs="Arial"/>
                <w:sz w:val="22"/>
                <w:szCs w:val="22"/>
                <w:lang w:val="fr-FR"/>
              </w:rPr>
              <w:t xml:space="preserve">évaluation rappelle que cela doit être évité. </w:t>
            </w:r>
            <w:r w:rsidRPr="009B071E">
              <w:rPr>
                <w:rFonts w:cs="Arial"/>
                <w:sz w:val="22"/>
                <w:szCs w:val="22"/>
                <w:lang w:val="fr-FR"/>
              </w:rPr>
              <w:t>Au lieu de cela, l</w:t>
            </w:r>
            <w:r w:rsidR="001D58F4" w:rsidRPr="009B071E">
              <w:rPr>
                <w:rFonts w:cs="Arial"/>
                <w:sz w:val="22"/>
                <w:szCs w:val="22"/>
                <w:lang w:val="fr-FR"/>
              </w:rPr>
              <w:t>es États parties sont encouragés à assurer la participation la plus large possible des communautés et à faire en sorte que les participants expriment leur consentement de manière personnalisée, que ce soit par écrit ou sous d</w:t>
            </w:r>
            <w:r w:rsidR="00521B04" w:rsidRPr="009B071E">
              <w:rPr>
                <w:rFonts w:cs="Arial"/>
                <w:sz w:val="22"/>
                <w:szCs w:val="22"/>
                <w:lang w:val="fr-FR"/>
              </w:rPr>
              <w:t>’</w:t>
            </w:r>
            <w:r w:rsidR="001D58F4" w:rsidRPr="009B071E">
              <w:rPr>
                <w:rFonts w:cs="Arial"/>
                <w:sz w:val="22"/>
                <w:szCs w:val="22"/>
                <w:lang w:val="fr-FR"/>
              </w:rPr>
              <w:t xml:space="preserve">autres formes, telles que des enregistrements vidéo. </w:t>
            </w:r>
            <w:r w:rsidRPr="009B071E">
              <w:rPr>
                <w:rFonts w:cs="Arial"/>
                <w:sz w:val="22"/>
                <w:szCs w:val="22"/>
                <w:lang w:val="fr-FR"/>
              </w:rPr>
              <w:t>De plus, d</w:t>
            </w:r>
            <w:r w:rsidR="001D58F4" w:rsidRPr="009B071E">
              <w:rPr>
                <w:rFonts w:cs="Arial"/>
                <w:sz w:val="22"/>
                <w:szCs w:val="22"/>
                <w:lang w:val="fr-FR"/>
              </w:rPr>
              <w:t>ans le cas de dossiers multinationaux, les lettres de consentement doivent refléter le consentement des communautés à un dossier multinational plutôt qu</w:t>
            </w:r>
            <w:r w:rsidR="00521B04" w:rsidRPr="009B071E">
              <w:rPr>
                <w:rFonts w:cs="Arial"/>
                <w:sz w:val="22"/>
                <w:szCs w:val="22"/>
                <w:lang w:val="fr-FR"/>
              </w:rPr>
              <w:t>’</w:t>
            </w:r>
            <w:r w:rsidR="001D58F4" w:rsidRPr="009B071E">
              <w:rPr>
                <w:rFonts w:cs="Arial"/>
                <w:sz w:val="22"/>
                <w:szCs w:val="22"/>
                <w:lang w:val="fr-FR"/>
              </w:rPr>
              <w:t>à un dossier national.</w:t>
            </w:r>
          </w:p>
        </w:tc>
      </w:tr>
      <w:tr w:rsidR="001D58F4" w:rsidRPr="00620E80" w14:paraId="62A1408A" w14:textId="77777777" w:rsidTr="001D58F4">
        <w:tc>
          <w:tcPr>
            <w:tcW w:w="1133" w:type="dxa"/>
          </w:tcPr>
          <w:p w14:paraId="5D40448C" w14:textId="77777777" w:rsidR="001D58F4" w:rsidRPr="009B071E" w:rsidRDefault="001D58F4" w:rsidP="00AC655D">
            <w:pPr>
              <w:snapToGrid w:val="0"/>
              <w:spacing w:after="120"/>
              <w:jc w:val="center"/>
              <w:rPr>
                <w:rFonts w:cs="Arial"/>
                <w:snapToGrid w:val="0"/>
                <w:sz w:val="22"/>
                <w:szCs w:val="22"/>
                <w:lang w:val="fr-FR"/>
              </w:rPr>
            </w:pPr>
            <w:bookmarkStart w:id="7" w:name="_Hlk143511818"/>
            <w:r w:rsidRPr="009B071E">
              <w:rPr>
                <w:rFonts w:cs="Arial"/>
                <w:snapToGrid w:val="0"/>
                <w:sz w:val="22"/>
                <w:szCs w:val="22"/>
                <w:lang w:val="fr-FR"/>
              </w:rPr>
              <w:t>R.5 / U.5</w:t>
            </w:r>
          </w:p>
        </w:tc>
        <w:tc>
          <w:tcPr>
            <w:tcW w:w="8047" w:type="dxa"/>
          </w:tcPr>
          <w:p w14:paraId="05928FBF" w14:textId="29CC6362" w:rsidR="001D58F4" w:rsidRPr="009B071E" w:rsidRDefault="001D58F4" w:rsidP="00AC655D">
            <w:pPr>
              <w:spacing w:after="120"/>
              <w:jc w:val="both"/>
              <w:rPr>
                <w:rFonts w:cs="Arial"/>
                <w:sz w:val="22"/>
                <w:szCs w:val="22"/>
                <w:lang w:val="fr-FR"/>
              </w:rPr>
            </w:pPr>
            <w:r w:rsidRPr="009B071E">
              <w:rPr>
                <w:rFonts w:cs="Arial"/>
                <w:b/>
                <w:bCs/>
                <w:sz w:val="22"/>
                <w:szCs w:val="22"/>
                <w:lang w:val="fr-FR"/>
              </w:rPr>
              <w:t>Communautés et processus d</w:t>
            </w:r>
            <w:r w:rsidR="00521B04" w:rsidRPr="009B071E">
              <w:rPr>
                <w:rFonts w:cs="Arial"/>
                <w:b/>
                <w:bCs/>
                <w:sz w:val="22"/>
                <w:szCs w:val="22"/>
                <w:lang w:val="fr-FR"/>
              </w:rPr>
              <w:t>’</w:t>
            </w:r>
            <w:r w:rsidRPr="009B071E">
              <w:rPr>
                <w:rFonts w:cs="Arial"/>
                <w:b/>
                <w:bCs/>
                <w:sz w:val="22"/>
                <w:szCs w:val="22"/>
                <w:lang w:val="fr-FR"/>
              </w:rPr>
              <w:t>inventaire </w:t>
            </w:r>
            <w:r w:rsidRPr="009B071E">
              <w:rPr>
                <w:rFonts w:cs="Arial"/>
                <w:sz w:val="22"/>
                <w:szCs w:val="22"/>
                <w:lang w:val="fr-FR"/>
              </w:rPr>
              <w:t>: la participation des communautés au processus d</w:t>
            </w:r>
            <w:r w:rsidR="00521B04" w:rsidRPr="009B071E">
              <w:rPr>
                <w:rFonts w:cs="Arial"/>
                <w:sz w:val="22"/>
                <w:szCs w:val="22"/>
                <w:lang w:val="fr-FR"/>
              </w:rPr>
              <w:t>’</w:t>
            </w:r>
            <w:r w:rsidRPr="009B071E">
              <w:rPr>
                <w:rFonts w:cs="Arial"/>
                <w:sz w:val="22"/>
                <w:szCs w:val="22"/>
                <w:lang w:val="fr-FR"/>
              </w:rPr>
              <w:t>inventaire comprend l</w:t>
            </w:r>
            <w:r w:rsidR="00521B04" w:rsidRPr="009B071E">
              <w:rPr>
                <w:rFonts w:cs="Arial"/>
                <w:sz w:val="22"/>
                <w:szCs w:val="22"/>
                <w:lang w:val="fr-FR"/>
              </w:rPr>
              <w:t>’</w:t>
            </w:r>
            <w:r w:rsidRPr="009B071E">
              <w:rPr>
                <w:rFonts w:cs="Arial"/>
                <w:sz w:val="22"/>
                <w:szCs w:val="22"/>
                <w:lang w:val="fr-FR"/>
              </w:rPr>
              <w:t>identification et la définition de l</w:t>
            </w:r>
            <w:r w:rsidR="00521B04" w:rsidRPr="009B071E">
              <w:rPr>
                <w:rFonts w:cs="Arial"/>
                <w:sz w:val="22"/>
                <w:szCs w:val="22"/>
                <w:lang w:val="fr-FR"/>
              </w:rPr>
              <w:t>’</w:t>
            </w:r>
            <w:r w:rsidRPr="009B071E">
              <w:rPr>
                <w:rFonts w:cs="Arial"/>
                <w:sz w:val="22"/>
                <w:szCs w:val="22"/>
                <w:lang w:val="fr-FR"/>
              </w:rPr>
              <w:t>élément ainsi que la participation à la mise à jour des inventaires. La participation des communautés au processus d</w:t>
            </w:r>
            <w:r w:rsidR="00521B04" w:rsidRPr="009B071E">
              <w:rPr>
                <w:rFonts w:cs="Arial"/>
                <w:sz w:val="22"/>
                <w:szCs w:val="22"/>
                <w:lang w:val="fr-FR"/>
              </w:rPr>
              <w:t>’</w:t>
            </w:r>
            <w:r w:rsidRPr="009B071E">
              <w:rPr>
                <w:rFonts w:cs="Arial"/>
                <w:sz w:val="22"/>
                <w:szCs w:val="22"/>
                <w:lang w:val="fr-FR"/>
              </w:rPr>
              <w:t>inventaire n</w:t>
            </w:r>
            <w:r w:rsidR="00521B04" w:rsidRPr="009B071E">
              <w:rPr>
                <w:rFonts w:cs="Arial"/>
                <w:sz w:val="22"/>
                <w:szCs w:val="22"/>
                <w:lang w:val="fr-FR"/>
              </w:rPr>
              <w:t>’</w:t>
            </w:r>
            <w:r w:rsidRPr="009B071E">
              <w:rPr>
                <w:rFonts w:cs="Arial"/>
                <w:sz w:val="22"/>
                <w:szCs w:val="22"/>
                <w:lang w:val="fr-FR"/>
              </w:rPr>
              <w:t>était pas toujours bien expliquée dans certains dossiers ou, dans certains cas, les explications étaient dupliquées dans d</w:t>
            </w:r>
            <w:r w:rsidR="00521B04" w:rsidRPr="009B071E">
              <w:rPr>
                <w:rFonts w:cs="Arial"/>
                <w:sz w:val="22"/>
                <w:szCs w:val="22"/>
                <w:lang w:val="fr-FR"/>
              </w:rPr>
              <w:t>’</w:t>
            </w:r>
            <w:r w:rsidRPr="009B071E">
              <w:rPr>
                <w:rFonts w:cs="Arial"/>
                <w:sz w:val="22"/>
                <w:szCs w:val="22"/>
                <w:lang w:val="fr-FR"/>
              </w:rPr>
              <w:t>autres sous-sections, ce qui les rendait incohérentes. Les États parties sont encouragés à expliquer clairement les différentes façons dont les communautés ont été impliquées dans le processus d</w:t>
            </w:r>
            <w:r w:rsidR="00521B04" w:rsidRPr="009B071E">
              <w:rPr>
                <w:rFonts w:cs="Arial"/>
                <w:sz w:val="22"/>
                <w:szCs w:val="22"/>
                <w:lang w:val="fr-FR"/>
              </w:rPr>
              <w:t>’</w:t>
            </w:r>
            <w:r w:rsidRPr="009B071E">
              <w:rPr>
                <w:rFonts w:cs="Arial"/>
                <w:sz w:val="22"/>
                <w:szCs w:val="22"/>
                <w:lang w:val="fr-FR"/>
              </w:rPr>
              <w:t>inventaire dans le contexte du critère R.5/U.5.</w:t>
            </w:r>
          </w:p>
        </w:tc>
      </w:tr>
      <w:bookmarkEnd w:id="7"/>
      <w:tr w:rsidR="001D58F4" w:rsidRPr="00620E80" w14:paraId="32643228" w14:textId="77777777" w:rsidTr="00AC655D">
        <w:tc>
          <w:tcPr>
            <w:tcW w:w="9180" w:type="dxa"/>
            <w:gridSpan w:val="2"/>
            <w:shd w:val="clear" w:color="auto" w:fill="D6E3BC" w:themeFill="accent3" w:themeFillTint="66"/>
          </w:tcPr>
          <w:p w14:paraId="5F35EA23" w14:textId="6F9578B6" w:rsidR="001D58F4" w:rsidRPr="009B071E" w:rsidRDefault="001D58F4" w:rsidP="00AC655D">
            <w:pPr>
              <w:spacing w:after="120"/>
              <w:jc w:val="both"/>
              <w:rPr>
                <w:rFonts w:cs="Arial"/>
                <w:b/>
                <w:bCs/>
                <w:sz w:val="22"/>
                <w:szCs w:val="22"/>
                <w:lang w:val="fr-FR"/>
              </w:rPr>
            </w:pPr>
            <w:r w:rsidRPr="009B071E">
              <w:rPr>
                <w:rFonts w:cs="Arial"/>
                <w:b/>
                <w:bCs/>
                <w:sz w:val="22"/>
                <w:szCs w:val="22"/>
                <w:lang w:val="fr-FR"/>
              </w:rPr>
              <w:t>Registre de bonnes pratiques de sauvegarde</w:t>
            </w:r>
          </w:p>
        </w:tc>
      </w:tr>
      <w:tr w:rsidR="001D58F4" w:rsidRPr="00620E80" w14:paraId="20D1603F" w14:textId="77777777" w:rsidTr="001D58F4">
        <w:tc>
          <w:tcPr>
            <w:tcW w:w="1133" w:type="dxa"/>
          </w:tcPr>
          <w:p w14:paraId="48E50285" w14:textId="1E1CB21D" w:rsidR="001D58F4" w:rsidRPr="009B071E" w:rsidRDefault="001D58F4" w:rsidP="00AC655D">
            <w:pPr>
              <w:snapToGrid w:val="0"/>
              <w:spacing w:after="120"/>
              <w:jc w:val="center"/>
              <w:rPr>
                <w:rFonts w:cs="Arial"/>
                <w:snapToGrid w:val="0"/>
                <w:sz w:val="22"/>
                <w:szCs w:val="22"/>
                <w:lang w:val="fr-FR"/>
              </w:rPr>
            </w:pPr>
            <w:r w:rsidRPr="009B071E">
              <w:rPr>
                <w:rFonts w:cs="Arial"/>
                <w:snapToGrid w:val="0"/>
                <w:sz w:val="22"/>
                <w:szCs w:val="22"/>
                <w:lang w:val="fr-FR"/>
              </w:rPr>
              <w:t>P.1 - P.8</w:t>
            </w:r>
          </w:p>
        </w:tc>
        <w:tc>
          <w:tcPr>
            <w:tcW w:w="8047" w:type="dxa"/>
          </w:tcPr>
          <w:p w14:paraId="149E87EE" w14:textId="3D0BF465" w:rsidR="001D58F4" w:rsidRPr="009B071E" w:rsidRDefault="001D58F4" w:rsidP="00AC655D">
            <w:pPr>
              <w:spacing w:after="120"/>
              <w:jc w:val="both"/>
              <w:rPr>
                <w:rFonts w:cs="Arial"/>
                <w:sz w:val="22"/>
                <w:szCs w:val="22"/>
                <w:lang w:val="fr-FR"/>
              </w:rPr>
            </w:pPr>
            <w:r w:rsidRPr="009B071E">
              <w:rPr>
                <w:rFonts w:cs="Arial"/>
                <w:b/>
                <w:bCs/>
                <w:sz w:val="22"/>
                <w:szCs w:val="22"/>
                <w:lang w:val="fr-FR"/>
              </w:rPr>
              <w:t xml:space="preserve">Qualité </w:t>
            </w:r>
            <w:r w:rsidR="00AB474E" w:rsidRPr="009B071E">
              <w:rPr>
                <w:rFonts w:cs="Arial"/>
                <w:b/>
                <w:bCs/>
                <w:sz w:val="22"/>
                <w:szCs w:val="22"/>
                <w:lang w:val="fr-FR"/>
              </w:rPr>
              <w:t>linguistique</w:t>
            </w:r>
            <w:r w:rsidRPr="009B071E">
              <w:rPr>
                <w:rFonts w:cs="Arial"/>
                <w:b/>
                <w:bCs/>
                <w:sz w:val="22"/>
                <w:szCs w:val="22"/>
                <w:lang w:val="fr-FR"/>
              </w:rPr>
              <w:t xml:space="preserve"> et descriptions </w:t>
            </w:r>
            <w:r w:rsidRPr="009B071E">
              <w:rPr>
                <w:rFonts w:cs="Arial"/>
                <w:sz w:val="22"/>
                <w:szCs w:val="22"/>
                <w:lang w:val="fr-FR"/>
              </w:rPr>
              <w:t>: ces dossiers sont examinés d</w:t>
            </w:r>
            <w:r w:rsidR="00521B04" w:rsidRPr="009B071E">
              <w:rPr>
                <w:rFonts w:cs="Arial"/>
                <w:sz w:val="22"/>
                <w:szCs w:val="22"/>
                <w:lang w:val="fr-FR"/>
              </w:rPr>
              <w:t>’</w:t>
            </w:r>
            <w:r w:rsidRPr="009B071E">
              <w:rPr>
                <w:rFonts w:cs="Arial"/>
                <w:sz w:val="22"/>
                <w:szCs w:val="22"/>
                <w:lang w:val="fr-FR"/>
              </w:rPr>
              <w:t xml:space="preserve">abord à travers les réponses aux différents critères, puis dans leur ensemble. Cependant, dans certains cas, la qualité </w:t>
            </w:r>
            <w:r w:rsidR="00AB474E" w:rsidRPr="009B071E">
              <w:rPr>
                <w:rFonts w:cs="Arial"/>
                <w:sz w:val="22"/>
                <w:szCs w:val="22"/>
                <w:lang w:val="fr-FR"/>
              </w:rPr>
              <w:t>linguistique</w:t>
            </w:r>
            <w:r w:rsidRPr="009B071E">
              <w:rPr>
                <w:rFonts w:cs="Arial"/>
                <w:sz w:val="22"/>
                <w:szCs w:val="22"/>
                <w:lang w:val="fr-FR"/>
              </w:rPr>
              <w:t xml:space="preserve"> associée aux descriptions a rendu difficile l</w:t>
            </w:r>
            <w:r w:rsidR="00521B04" w:rsidRPr="009B071E">
              <w:rPr>
                <w:rFonts w:cs="Arial"/>
                <w:sz w:val="22"/>
                <w:szCs w:val="22"/>
                <w:lang w:val="fr-FR"/>
              </w:rPr>
              <w:t>’</w:t>
            </w:r>
            <w:r w:rsidRPr="009B071E">
              <w:rPr>
                <w:rFonts w:cs="Arial"/>
                <w:sz w:val="22"/>
                <w:szCs w:val="22"/>
                <w:lang w:val="fr-FR"/>
              </w:rPr>
              <w:t>obtention d</w:t>
            </w:r>
            <w:r w:rsidR="00521B04" w:rsidRPr="009B071E">
              <w:rPr>
                <w:rFonts w:cs="Arial"/>
                <w:sz w:val="22"/>
                <w:szCs w:val="22"/>
                <w:lang w:val="fr-FR"/>
              </w:rPr>
              <w:t>’</w:t>
            </w:r>
            <w:r w:rsidRPr="009B071E">
              <w:rPr>
                <w:rFonts w:cs="Arial"/>
                <w:sz w:val="22"/>
                <w:szCs w:val="22"/>
                <w:lang w:val="fr-FR"/>
              </w:rPr>
              <w:t>une compréhension globale des programmes. Les États parties sont encouragés à prêter attention à la qualité linguistique dans la rédaction des dossiers de candidature et à fournir des descriptions claires des programmes.</w:t>
            </w:r>
          </w:p>
        </w:tc>
      </w:tr>
    </w:tbl>
    <w:p w14:paraId="0E28953F" w14:textId="5EDF81BD" w:rsidR="00891125" w:rsidRPr="009B071E" w:rsidRDefault="00891125" w:rsidP="00891125">
      <w:pPr>
        <w:pStyle w:val="COMPara"/>
        <w:keepNext/>
        <w:numPr>
          <w:ilvl w:val="0"/>
          <w:numId w:val="7"/>
        </w:numPr>
        <w:spacing w:before="240"/>
        <w:ind w:left="562" w:hanging="562"/>
        <w:jc w:val="both"/>
        <w:rPr>
          <w:lang w:val="fr-FR"/>
        </w:rPr>
      </w:pPr>
      <w:r w:rsidRPr="009B071E">
        <w:rPr>
          <w:b/>
          <w:bCs/>
          <w:lang w:val="fr-FR"/>
        </w:rPr>
        <w:t>Aspects positifs</w:t>
      </w:r>
      <w:r w:rsidRPr="009B071E">
        <w:rPr>
          <w:lang w:val="fr-FR"/>
        </w:rPr>
        <w:t>. Sur la base de son évaluation des dossiers du cycle actuel, l</w:t>
      </w:r>
      <w:r w:rsidR="00521B04" w:rsidRPr="009B071E">
        <w:rPr>
          <w:lang w:val="fr-FR"/>
        </w:rPr>
        <w:t>’</w:t>
      </w:r>
      <w:r w:rsidRPr="009B071E">
        <w:rPr>
          <w:lang w:val="fr-FR"/>
        </w:rPr>
        <w:t>Organe d</w:t>
      </w:r>
      <w:r w:rsidR="00521B04" w:rsidRPr="009B071E">
        <w:rPr>
          <w:lang w:val="fr-FR"/>
        </w:rPr>
        <w:t>’</w:t>
      </w:r>
      <w:r w:rsidRPr="009B071E">
        <w:rPr>
          <w:lang w:val="fr-FR"/>
        </w:rPr>
        <w:t>évaluation souhaite souligner plusieurs aspects positifs qui ont déjà été mentionnés dans des décisions et documents de travail antérieurs du Comité. Il s</w:t>
      </w:r>
      <w:r w:rsidR="00521B04" w:rsidRPr="009B071E">
        <w:rPr>
          <w:lang w:val="fr-FR"/>
        </w:rPr>
        <w:t>’</w:t>
      </w:r>
      <w:r w:rsidRPr="009B071E">
        <w:rPr>
          <w:lang w:val="fr-FR"/>
        </w:rPr>
        <w:t>agit des éléments suivants :</w:t>
      </w:r>
    </w:p>
    <w:tbl>
      <w:tblPr>
        <w:tblStyle w:val="Grilledutableau"/>
        <w:tblW w:w="9418" w:type="dxa"/>
        <w:tblInd w:w="567" w:type="dxa"/>
        <w:tblLook w:val="04A0" w:firstRow="1" w:lastRow="0" w:firstColumn="1" w:lastColumn="0" w:noHBand="0" w:noVBand="1"/>
      </w:tblPr>
      <w:tblGrid>
        <w:gridCol w:w="4828"/>
        <w:gridCol w:w="4590"/>
      </w:tblGrid>
      <w:tr w:rsidR="00891125" w:rsidRPr="00620E80" w14:paraId="2426BE2D" w14:textId="77777777" w:rsidTr="00AC655D">
        <w:trPr>
          <w:cantSplit/>
        </w:trPr>
        <w:tc>
          <w:tcPr>
            <w:tcW w:w="4828" w:type="dxa"/>
            <w:vAlign w:val="center"/>
          </w:tcPr>
          <w:p w14:paraId="00746777" w14:textId="5444D3AE" w:rsidR="00891125" w:rsidRPr="009B071E" w:rsidRDefault="00106CE5" w:rsidP="00AC655D">
            <w:pPr>
              <w:keepNext/>
              <w:spacing w:after="120"/>
              <w:jc w:val="center"/>
              <w:rPr>
                <w:rFonts w:cs="Arial"/>
                <w:b/>
                <w:snapToGrid w:val="0"/>
                <w:sz w:val="22"/>
                <w:szCs w:val="22"/>
                <w:lang w:val="fr-FR"/>
              </w:rPr>
            </w:pPr>
            <w:r w:rsidRPr="009B071E">
              <w:rPr>
                <w:rFonts w:cs="Arial"/>
                <w:b/>
                <w:bCs/>
                <w:snapToGrid w:val="0"/>
                <w:sz w:val="20"/>
                <w:szCs w:val="20"/>
                <w:lang w:val="fr-FR"/>
              </w:rPr>
              <w:t>Sujets</w:t>
            </w:r>
          </w:p>
        </w:tc>
        <w:tc>
          <w:tcPr>
            <w:tcW w:w="4590" w:type="dxa"/>
            <w:vAlign w:val="center"/>
          </w:tcPr>
          <w:p w14:paraId="0CB202EC" w14:textId="77777777" w:rsidR="00891125" w:rsidRPr="009B071E" w:rsidRDefault="00891125" w:rsidP="002A7684">
            <w:pPr>
              <w:spacing w:before="120" w:after="120"/>
              <w:jc w:val="center"/>
              <w:rPr>
                <w:rFonts w:cs="Arial"/>
                <w:b/>
                <w:snapToGrid w:val="0"/>
                <w:sz w:val="22"/>
                <w:szCs w:val="22"/>
                <w:lang w:val="fr-FR"/>
              </w:rPr>
            </w:pPr>
            <w:r w:rsidRPr="009B071E">
              <w:rPr>
                <w:rFonts w:cs="Arial"/>
                <w:b/>
                <w:bCs/>
                <w:snapToGrid w:val="0"/>
                <w:sz w:val="20"/>
                <w:szCs w:val="20"/>
                <w:lang w:val="fr-FR"/>
              </w:rPr>
              <w:t>Décisions ou documents de référence les plus récents du Comité</w:t>
            </w:r>
          </w:p>
        </w:tc>
      </w:tr>
      <w:tr w:rsidR="00891125" w:rsidRPr="009B071E" w14:paraId="408D5EB4" w14:textId="77777777" w:rsidTr="00AC655D">
        <w:trPr>
          <w:cantSplit/>
        </w:trPr>
        <w:tc>
          <w:tcPr>
            <w:tcW w:w="4828" w:type="dxa"/>
          </w:tcPr>
          <w:p w14:paraId="7D5A8A4A" w14:textId="78E297D7" w:rsidR="00891125" w:rsidRPr="009B071E" w:rsidRDefault="00891125" w:rsidP="00891125">
            <w:pPr>
              <w:spacing w:after="120"/>
              <w:rPr>
                <w:rFonts w:cs="Arial"/>
                <w:snapToGrid w:val="0"/>
                <w:sz w:val="22"/>
                <w:szCs w:val="22"/>
                <w:lang w:val="fr-FR"/>
              </w:rPr>
            </w:pPr>
            <w:r w:rsidRPr="009B071E">
              <w:rPr>
                <w:rFonts w:cs="Arial"/>
                <w:snapToGrid w:val="0"/>
                <w:sz w:val="22"/>
                <w:szCs w:val="22"/>
                <w:lang w:val="fr-FR"/>
              </w:rPr>
              <w:t>Liens entre le patrimoine culturel immatériel et la durabilité environnementale</w:t>
            </w:r>
          </w:p>
        </w:tc>
        <w:tc>
          <w:tcPr>
            <w:tcW w:w="4590" w:type="dxa"/>
          </w:tcPr>
          <w:p w14:paraId="15783B73" w14:textId="6F7993E6" w:rsidR="00891125" w:rsidRPr="009B071E" w:rsidRDefault="006609D6" w:rsidP="00891125">
            <w:pPr>
              <w:spacing w:after="120"/>
              <w:jc w:val="both"/>
              <w:rPr>
                <w:rFonts w:cs="Arial"/>
                <w:snapToGrid w:val="0"/>
                <w:sz w:val="22"/>
                <w:szCs w:val="22"/>
                <w:lang w:val="fr-FR"/>
              </w:rPr>
            </w:pPr>
            <w:r w:rsidRPr="009B071E">
              <w:rPr>
                <w:rFonts w:cs="Arial"/>
                <w:snapToGrid w:val="0"/>
                <w:sz w:val="22"/>
                <w:szCs w:val="22"/>
                <w:lang w:val="fr-FR"/>
              </w:rPr>
              <w:t>Décision</w:t>
            </w:r>
            <w:r w:rsidR="004A10D9" w:rsidRPr="009B071E">
              <w:rPr>
                <w:rFonts w:cs="Arial"/>
                <w:snapToGrid w:val="0"/>
                <w:sz w:val="22"/>
                <w:szCs w:val="22"/>
                <w:lang w:val="fr-FR"/>
              </w:rPr>
              <w:t xml:space="preserve"> </w:t>
            </w:r>
            <w:hyperlink r:id="rId31" w:history="1">
              <w:r w:rsidR="004A10D9" w:rsidRPr="009B071E">
                <w:rPr>
                  <w:rStyle w:val="Lienhypertexte"/>
                  <w:rFonts w:cs="Arial"/>
                  <w:snapToGrid w:val="0"/>
                  <w:sz w:val="22"/>
                  <w:szCs w:val="22"/>
                  <w:lang w:val="fr-FR"/>
                </w:rPr>
                <w:t>15.COM 8</w:t>
              </w:r>
            </w:hyperlink>
            <w:r w:rsidR="004A10D9" w:rsidRPr="009B071E">
              <w:rPr>
                <w:rFonts w:cs="Arial"/>
                <w:snapToGrid w:val="0"/>
                <w:sz w:val="22"/>
                <w:szCs w:val="22"/>
                <w:lang w:val="fr-FR"/>
              </w:rPr>
              <w:t xml:space="preserve"> </w:t>
            </w:r>
            <w:r w:rsidR="00F80446" w:rsidRPr="009B071E">
              <w:rPr>
                <w:rFonts w:cs="Arial"/>
                <w:snapToGrid w:val="0"/>
                <w:sz w:val="22"/>
                <w:szCs w:val="22"/>
                <w:lang w:val="fr-FR"/>
              </w:rPr>
              <w:t>(paragraphe 9)</w:t>
            </w:r>
          </w:p>
        </w:tc>
      </w:tr>
      <w:tr w:rsidR="00891125" w:rsidRPr="00620E80" w14:paraId="59EFBC16" w14:textId="77777777" w:rsidTr="00AC655D">
        <w:trPr>
          <w:cantSplit/>
        </w:trPr>
        <w:tc>
          <w:tcPr>
            <w:tcW w:w="4828" w:type="dxa"/>
          </w:tcPr>
          <w:p w14:paraId="0A76F483" w14:textId="0D592E1A" w:rsidR="00891125" w:rsidRPr="009B071E" w:rsidRDefault="00891125" w:rsidP="00891125">
            <w:pPr>
              <w:spacing w:after="120"/>
              <w:rPr>
                <w:rFonts w:cs="Arial"/>
                <w:snapToGrid w:val="0"/>
                <w:sz w:val="22"/>
                <w:szCs w:val="22"/>
                <w:lang w:val="fr-FR"/>
              </w:rPr>
            </w:pPr>
            <w:r w:rsidRPr="009B071E">
              <w:rPr>
                <w:rFonts w:cs="Arial"/>
                <w:snapToGrid w:val="0"/>
                <w:sz w:val="22"/>
                <w:szCs w:val="22"/>
                <w:lang w:val="fr-FR"/>
              </w:rPr>
              <w:lastRenderedPageBreak/>
              <w:t>Contribution de la sauvegarde du patrimoine culturel immatériel au développement durable</w:t>
            </w:r>
          </w:p>
        </w:tc>
        <w:tc>
          <w:tcPr>
            <w:tcW w:w="4590" w:type="dxa"/>
          </w:tcPr>
          <w:p w14:paraId="488B8C20" w14:textId="262BC8A8" w:rsidR="00891125" w:rsidRPr="009B071E" w:rsidRDefault="006609D6" w:rsidP="00891125">
            <w:pPr>
              <w:spacing w:after="120"/>
              <w:jc w:val="both"/>
              <w:rPr>
                <w:rFonts w:cs="Arial"/>
                <w:sz w:val="22"/>
                <w:szCs w:val="22"/>
                <w:lang w:val="fr-FR"/>
              </w:rPr>
            </w:pPr>
            <w:r w:rsidRPr="009B071E">
              <w:rPr>
                <w:rFonts w:cs="Arial"/>
                <w:sz w:val="22"/>
                <w:szCs w:val="22"/>
                <w:lang w:val="fr-FR"/>
              </w:rPr>
              <w:t>Décision</w:t>
            </w:r>
            <w:r w:rsidR="004A10D9" w:rsidRPr="009B071E">
              <w:rPr>
                <w:rFonts w:cs="Arial"/>
                <w:sz w:val="22"/>
                <w:szCs w:val="22"/>
                <w:lang w:val="fr-FR"/>
              </w:rPr>
              <w:t xml:space="preserve"> </w:t>
            </w:r>
            <w:hyperlink r:id="rId32" w:history="1">
              <w:r w:rsidR="004A10D9" w:rsidRPr="009B071E">
                <w:rPr>
                  <w:rStyle w:val="Lienhypertexte"/>
                  <w:rFonts w:cs="Arial"/>
                  <w:sz w:val="22"/>
                  <w:szCs w:val="22"/>
                  <w:lang w:val="fr-FR"/>
                </w:rPr>
                <w:t>11.COM 10</w:t>
              </w:r>
            </w:hyperlink>
            <w:r w:rsidR="00F80446" w:rsidRPr="009B071E">
              <w:rPr>
                <w:rFonts w:cs="Arial"/>
                <w:sz w:val="22"/>
                <w:szCs w:val="22"/>
                <w:lang w:val="fr-FR"/>
              </w:rPr>
              <w:t xml:space="preserve"> (paragraphe 21)</w:t>
            </w:r>
          </w:p>
          <w:p w14:paraId="108F0642" w14:textId="16948E00" w:rsidR="00891125" w:rsidRPr="009B071E" w:rsidRDefault="004A10D9" w:rsidP="00891125">
            <w:pPr>
              <w:spacing w:after="120"/>
              <w:jc w:val="both"/>
              <w:rPr>
                <w:rFonts w:cs="Arial"/>
                <w:snapToGrid w:val="0"/>
                <w:sz w:val="22"/>
                <w:szCs w:val="22"/>
                <w:lang w:val="fr-FR"/>
              </w:rPr>
            </w:pPr>
            <w:r w:rsidRPr="009B071E">
              <w:rPr>
                <w:rFonts w:cs="Arial"/>
                <w:sz w:val="22"/>
                <w:szCs w:val="22"/>
                <w:lang w:val="fr-FR"/>
              </w:rPr>
              <w:t xml:space="preserve">Décision </w:t>
            </w:r>
            <w:hyperlink r:id="rId33" w:history="1">
              <w:r w:rsidRPr="009B071E">
                <w:rPr>
                  <w:rStyle w:val="Lienhypertexte"/>
                  <w:rFonts w:cs="Arial"/>
                  <w:sz w:val="22"/>
                  <w:szCs w:val="22"/>
                  <w:lang w:val="fr-FR"/>
                </w:rPr>
                <w:t>14.COM 10</w:t>
              </w:r>
            </w:hyperlink>
            <w:r w:rsidRPr="009B071E">
              <w:rPr>
                <w:rFonts w:cs="Arial"/>
                <w:sz w:val="22"/>
                <w:szCs w:val="22"/>
                <w:lang w:val="fr-FR"/>
              </w:rPr>
              <w:t xml:space="preserve"> </w:t>
            </w:r>
            <w:r w:rsidR="00F80446" w:rsidRPr="009B071E">
              <w:rPr>
                <w:rFonts w:cs="Arial"/>
                <w:sz w:val="22"/>
                <w:szCs w:val="22"/>
                <w:lang w:val="fr-FR"/>
              </w:rPr>
              <w:t>(paragraphe 12)</w:t>
            </w:r>
          </w:p>
        </w:tc>
      </w:tr>
      <w:tr w:rsidR="00891125" w:rsidRPr="00620E80" w14:paraId="7C778D84" w14:textId="77777777" w:rsidTr="00AC655D">
        <w:trPr>
          <w:cantSplit/>
        </w:trPr>
        <w:tc>
          <w:tcPr>
            <w:tcW w:w="4828" w:type="dxa"/>
          </w:tcPr>
          <w:p w14:paraId="5D0F74FA" w14:textId="0BBC9A29" w:rsidR="00891125" w:rsidRPr="009B071E" w:rsidRDefault="00891125" w:rsidP="00891125">
            <w:pPr>
              <w:spacing w:after="120"/>
              <w:rPr>
                <w:rFonts w:cs="Arial"/>
                <w:snapToGrid w:val="0"/>
                <w:sz w:val="22"/>
                <w:szCs w:val="22"/>
                <w:lang w:val="fr-FR"/>
              </w:rPr>
            </w:pPr>
            <w:r w:rsidRPr="009B071E">
              <w:rPr>
                <w:rFonts w:cs="Arial"/>
                <w:snapToGrid w:val="0"/>
                <w:sz w:val="22"/>
                <w:szCs w:val="22"/>
                <w:lang w:val="fr-FR"/>
              </w:rPr>
              <w:t>Avantages du processus de dialogue</w:t>
            </w:r>
          </w:p>
        </w:tc>
        <w:tc>
          <w:tcPr>
            <w:tcW w:w="4590" w:type="dxa"/>
          </w:tcPr>
          <w:p w14:paraId="71F3D2F9" w14:textId="7D90A543" w:rsidR="00891125" w:rsidRPr="009B071E" w:rsidRDefault="004A10D9" w:rsidP="00891125">
            <w:pPr>
              <w:spacing w:after="120"/>
              <w:jc w:val="both"/>
              <w:rPr>
                <w:rFonts w:cs="Arial"/>
                <w:sz w:val="22"/>
                <w:szCs w:val="22"/>
                <w:lang w:val="fr-FR"/>
              </w:rPr>
            </w:pPr>
            <w:r w:rsidRPr="009B071E">
              <w:rPr>
                <w:rFonts w:cs="Arial"/>
                <w:sz w:val="22"/>
                <w:szCs w:val="22"/>
                <w:lang w:val="fr-FR"/>
              </w:rPr>
              <w:t>Décision</w:t>
            </w:r>
            <w:r w:rsidRPr="009B071E">
              <w:rPr>
                <w:lang w:val="fr-FR"/>
              </w:rPr>
              <w:t xml:space="preserve"> </w:t>
            </w:r>
            <w:hyperlink r:id="rId34" w:history="1">
              <w:r w:rsidRPr="009B071E">
                <w:rPr>
                  <w:rFonts w:cs="Arial"/>
                  <w:color w:val="0000FF"/>
                  <w:sz w:val="22"/>
                  <w:szCs w:val="22"/>
                  <w:u w:val="single"/>
                  <w:lang w:val="fr-FR"/>
                </w:rPr>
                <w:t>15.COM 8</w:t>
              </w:r>
            </w:hyperlink>
            <w:r w:rsidR="00891125" w:rsidRPr="009B071E">
              <w:rPr>
                <w:rFonts w:cs="Arial"/>
                <w:sz w:val="22"/>
                <w:szCs w:val="22"/>
                <w:lang w:val="fr-FR"/>
              </w:rPr>
              <w:t xml:space="preserve"> (paragraphe 5)</w:t>
            </w:r>
          </w:p>
          <w:p w14:paraId="3507849F" w14:textId="7DB32EEA" w:rsidR="00891125" w:rsidRPr="009B071E" w:rsidRDefault="00A658E7" w:rsidP="00891125">
            <w:pPr>
              <w:spacing w:after="120"/>
              <w:jc w:val="both"/>
              <w:rPr>
                <w:rFonts w:eastAsia="Batang" w:cs="Arial"/>
                <w:sz w:val="22"/>
                <w:szCs w:val="22"/>
                <w:lang w:val="fr-FR"/>
              </w:rPr>
            </w:pPr>
            <w:hyperlink r:id="rId35" w:history="1">
              <w:r w:rsidR="00F80446" w:rsidRPr="009B071E">
                <w:rPr>
                  <w:rFonts w:cs="Arial"/>
                  <w:sz w:val="22"/>
                  <w:szCs w:val="22"/>
                  <w:lang w:val="fr-FR"/>
                </w:rPr>
                <w:t xml:space="preserve">Décision </w:t>
              </w:r>
              <w:r w:rsidR="00F80446" w:rsidRPr="009B071E">
                <w:rPr>
                  <w:rStyle w:val="Lienhypertexte"/>
                  <w:rFonts w:cs="Arial"/>
                  <w:sz w:val="22"/>
                  <w:szCs w:val="22"/>
                  <w:lang w:val="fr-FR"/>
                </w:rPr>
                <w:t>16.COM 8</w:t>
              </w:r>
            </w:hyperlink>
            <w:r w:rsidR="00F80446" w:rsidRPr="009B071E">
              <w:rPr>
                <w:rFonts w:cs="Arial"/>
                <w:sz w:val="22"/>
                <w:szCs w:val="22"/>
                <w:lang w:val="fr-FR"/>
              </w:rPr>
              <w:t xml:space="preserve"> (paragraphe 6)</w:t>
            </w:r>
          </w:p>
        </w:tc>
      </w:tr>
      <w:tr w:rsidR="00891125" w:rsidRPr="009B071E" w14:paraId="3C6F9051" w14:textId="77777777" w:rsidTr="00AC655D">
        <w:trPr>
          <w:cantSplit/>
        </w:trPr>
        <w:tc>
          <w:tcPr>
            <w:tcW w:w="4828" w:type="dxa"/>
          </w:tcPr>
          <w:p w14:paraId="117D0548" w14:textId="15BC67DA" w:rsidR="00891125" w:rsidRPr="009B071E" w:rsidRDefault="00891125" w:rsidP="00891125">
            <w:pPr>
              <w:spacing w:after="120"/>
              <w:rPr>
                <w:rFonts w:cs="Arial"/>
                <w:snapToGrid w:val="0"/>
                <w:sz w:val="22"/>
                <w:szCs w:val="22"/>
                <w:lang w:val="fr-FR"/>
              </w:rPr>
            </w:pPr>
            <w:r w:rsidRPr="009B071E">
              <w:rPr>
                <w:rFonts w:cs="Arial"/>
                <w:snapToGrid w:val="0"/>
                <w:sz w:val="22"/>
                <w:szCs w:val="22"/>
                <w:lang w:val="fr-FR"/>
              </w:rPr>
              <w:t>Avantages de la vidéo</w:t>
            </w:r>
          </w:p>
        </w:tc>
        <w:tc>
          <w:tcPr>
            <w:tcW w:w="4590" w:type="dxa"/>
          </w:tcPr>
          <w:p w14:paraId="30D37D02" w14:textId="4C256D91" w:rsidR="00891125" w:rsidRPr="009B071E" w:rsidRDefault="00620E80" w:rsidP="00891125">
            <w:pPr>
              <w:tabs>
                <w:tab w:val="left" w:pos="972"/>
              </w:tabs>
              <w:spacing w:after="120"/>
              <w:jc w:val="both"/>
              <w:rPr>
                <w:rFonts w:cs="Arial"/>
                <w:sz w:val="22"/>
                <w:szCs w:val="22"/>
                <w:lang w:val="fr-FR"/>
              </w:rPr>
            </w:pPr>
            <w:hyperlink r:id="rId36" w:history="1">
              <w:r w:rsidR="00891125" w:rsidRPr="009B071E">
                <w:rPr>
                  <w:rFonts w:cs="Arial"/>
                  <w:snapToGrid w:val="0"/>
                  <w:sz w:val="22"/>
                  <w:szCs w:val="22"/>
                  <w:lang w:val="fr-FR"/>
                </w:rPr>
                <w:t xml:space="preserve">Décision </w:t>
              </w:r>
              <w:r w:rsidR="00891125" w:rsidRPr="009B071E">
                <w:rPr>
                  <w:rStyle w:val="Lienhypertexte"/>
                  <w:rFonts w:cs="Arial"/>
                  <w:snapToGrid w:val="0"/>
                  <w:sz w:val="22"/>
                  <w:szCs w:val="22"/>
                  <w:lang w:val="fr-FR"/>
                </w:rPr>
                <w:t>16.COM 8</w:t>
              </w:r>
            </w:hyperlink>
            <w:r w:rsidR="00891125" w:rsidRPr="009B071E">
              <w:rPr>
                <w:rFonts w:cs="Arial"/>
                <w:snapToGrid w:val="0"/>
                <w:sz w:val="22"/>
                <w:szCs w:val="22"/>
                <w:lang w:val="fr-FR"/>
              </w:rPr>
              <w:t xml:space="preserve"> (paragraphe 42. </w:t>
            </w:r>
            <w:r w:rsidR="002A2FE3" w:rsidRPr="009B071E">
              <w:rPr>
                <w:rFonts w:cs="Arial"/>
                <w:snapToGrid w:val="0"/>
                <w:sz w:val="22"/>
                <w:szCs w:val="22"/>
                <w:lang w:val="fr-FR"/>
              </w:rPr>
              <w:t>i</w:t>
            </w:r>
            <w:r w:rsidR="00891125" w:rsidRPr="009B071E">
              <w:rPr>
                <w:rFonts w:cs="Arial"/>
                <w:snapToGrid w:val="0"/>
                <w:sz w:val="22"/>
                <w:szCs w:val="22"/>
                <w:lang w:val="fr-FR"/>
              </w:rPr>
              <w:t xml:space="preserve"> &amp; ii)</w:t>
            </w:r>
          </w:p>
        </w:tc>
      </w:tr>
      <w:tr w:rsidR="002A2FE3" w:rsidRPr="009B071E" w14:paraId="1DEFD2B8" w14:textId="77777777" w:rsidTr="00AC655D">
        <w:trPr>
          <w:cantSplit/>
        </w:trPr>
        <w:tc>
          <w:tcPr>
            <w:tcW w:w="4828" w:type="dxa"/>
          </w:tcPr>
          <w:p w14:paraId="07C59D60" w14:textId="0EAB89FB" w:rsidR="002A2FE3" w:rsidRPr="009B071E" w:rsidRDefault="00907E88" w:rsidP="00891125">
            <w:pPr>
              <w:spacing w:after="120"/>
              <w:rPr>
                <w:rFonts w:cs="Arial"/>
                <w:snapToGrid w:val="0"/>
                <w:sz w:val="22"/>
                <w:szCs w:val="22"/>
                <w:lang w:val="fr-FR"/>
              </w:rPr>
            </w:pPr>
            <w:r w:rsidRPr="009B071E">
              <w:rPr>
                <w:rFonts w:cs="Arial"/>
                <w:snapToGrid w:val="0"/>
                <w:sz w:val="22"/>
                <w:szCs w:val="22"/>
                <w:lang w:val="fr-FR" w:eastAsia="en-US"/>
              </w:rPr>
              <w:t>Liens entre patrimoine culturel immatériel et patrimoine mondial</w:t>
            </w:r>
          </w:p>
        </w:tc>
        <w:tc>
          <w:tcPr>
            <w:tcW w:w="4590" w:type="dxa"/>
          </w:tcPr>
          <w:p w14:paraId="4333311C" w14:textId="553E89D0" w:rsidR="002A2FE3" w:rsidRPr="009B071E" w:rsidRDefault="00EA4E5B" w:rsidP="00891125">
            <w:pPr>
              <w:tabs>
                <w:tab w:val="left" w:pos="972"/>
              </w:tabs>
              <w:spacing w:after="120"/>
              <w:jc w:val="both"/>
              <w:rPr>
                <w:sz w:val="22"/>
                <w:szCs w:val="22"/>
                <w:lang w:val="fr-FR"/>
              </w:rPr>
            </w:pPr>
            <w:r w:rsidRPr="009B071E">
              <w:rPr>
                <w:rFonts w:cs="Arial"/>
                <w:snapToGrid w:val="0"/>
                <w:sz w:val="22"/>
                <w:szCs w:val="22"/>
                <w:lang w:val="fr-FR" w:eastAsia="en-US"/>
              </w:rPr>
              <w:t xml:space="preserve">Décision </w:t>
            </w:r>
            <w:hyperlink r:id="rId37" w:history="1">
              <w:r w:rsidR="002A2FE3" w:rsidRPr="009B071E">
                <w:rPr>
                  <w:rStyle w:val="Lienhypertexte"/>
                  <w:rFonts w:cs="Arial"/>
                  <w:snapToGrid w:val="0"/>
                  <w:sz w:val="22"/>
                  <w:szCs w:val="22"/>
                  <w:lang w:val="fr-FR" w:eastAsia="en-US"/>
                </w:rPr>
                <w:t>16.COM 8</w:t>
              </w:r>
            </w:hyperlink>
            <w:r w:rsidR="002A2FE3" w:rsidRPr="009B071E">
              <w:rPr>
                <w:rStyle w:val="Lienhypertexte"/>
                <w:rFonts w:cs="Arial"/>
                <w:snapToGrid w:val="0"/>
                <w:sz w:val="22"/>
                <w:szCs w:val="22"/>
                <w:lang w:val="fr-FR" w:eastAsia="en-US"/>
              </w:rPr>
              <w:t xml:space="preserve"> </w:t>
            </w:r>
            <w:r w:rsidR="002A2FE3" w:rsidRPr="009B071E">
              <w:rPr>
                <w:rFonts w:cs="Arial"/>
                <w:snapToGrid w:val="0"/>
                <w:sz w:val="22"/>
                <w:szCs w:val="22"/>
                <w:lang w:val="fr-FR" w:eastAsia="en-US"/>
              </w:rPr>
              <w:t>(</w:t>
            </w:r>
            <w:r w:rsidR="002A2FE3" w:rsidRPr="009B071E">
              <w:rPr>
                <w:sz w:val="22"/>
                <w:szCs w:val="22"/>
                <w:lang w:val="fr-FR"/>
              </w:rPr>
              <w:t>paragraph</w:t>
            </w:r>
            <w:r w:rsidR="00BA55CF" w:rsidRPr="009B071E">
              <w:rPr>
                <w:sz w:val="22"/>
                <w:szCs w:val="22"/>
                <w:lang w:val="fr-FR"/>
              </w:rPr>
              <w:t>e</w:t>
            </w:r>
            <w:r w:rsidR="002A2FE3" w:rsidRPr="009B071E">
              <w:rPr>
                <w:sz w:val="22"/>
                <w:szCs w:val="22"/>
                <w:lang w:val="fr-FR"/>
              </w:rPr>
              <w:t xml:space="preserve"> 44)</w:t>
            </w:r>
          </w:p>
        </w:tc>
      </w:tr>
      <w:tr w:rsidR="002A2FE3" w:rsidRPr="009B071E" w14:paraId="39421CA4" w14:textId="77777777" w:rsidTr="00AC655D">
        <w:trPr>
          <w:cantSplit/>
        </w:trPr>
        <w:tc>
          <w:tcPr>
            <w:tcW w:w="4828" w:type="dxa"/>
          </w:tcPr>
          <w:p w14:paraId="39D57FA1" w14:textId="65D91A01" w:rsidR="002A2FE3" w:rsidRPr="009B071E" w:rsidRDefault="00907E88" w:rsidP="002A2FE3">
            <w:pPr>
              <w:spacing w:after="120"/>
              <w:rPr>
                <w:rFonts w:cs="Arial"/>
                <w:snapToGrid w:val="0"/>
                <w:sz w:val="22"/>
                <w:szCs w:val="22"/>
                <w:lang w:val="fr-FR"/>
              </w:rPr>
            </w:pPr>
            <w:r w:rsidRPr="009B071E">
              <w:rPr>
                <w:rFonts w:cs="Arial"/>
                <w:snapToGrid w:val="0"/>
                <w:sz w:val="22"/>
                <w:szCs w:val="22"/>
                <w:lang w:val="fr-FR" w:eastAsia="en-US"/>
              </w:rPr>
              <w:t>Coopération internationale concernant les candidatures multinationales</w:t>
            </w:r>
          </w:p>
        </w:tc>
        <w:tc>
          <w:tcPr>
            <w:tcW w:w="4590" w:type="dxa"/>
          </w:tcPr>
          <w:p w14:paraId="4E8E0427" w14:textId="4AC2A175" w:rsidR="002A2FE3" w:rsidRPr="009B071E" w:rsidRDefault="002A2FE3" w:rsidP="002A2FE3">
            <w:pPr>
              <w:tabs>
                <w:tab w:val="left" w:pos="972"/>
              </w:tabs>
              <w:spacing w:after="120"/>
              <w:jc w:val="both"/>
              <w:rPr>
                <w:lang w:val="fr-FR"/>
              </w:rPr>
            </w:pPr>
            <w:r w:rsidRPr="009B071E">
              <w:rPr>
                <w:rFonts w:cs="Arial"/>
                <w:snapToGrid w:val="0"/>
                <w:sz w:val="22"/>
                <w:szCs w:val="22"/>
                <w:lang w:val="fr-FR" w:eastAsia="en-US"/>
              </w:rPr>
              <w:t xml:space="preserve">Document </w:t>
            </w:r>
            <w:hyperlink r:id="rId38" w:history="1">
              <w:r w:rsidRPr="009B071E">
                <w:rPr>
                  <w:rStyle w:val="Lienhypertexte"/>
                  <w:rFonts w:eastAsia="Batang"/>
                  <w:sz w:val="22"/>
                  <w:szCs w:val="22"/>
                  <w:lang w:val="fr-FR"/>
                </w:rPr>
                <w:t>17.COM/7</w:t>
              </w:r>
            </w:hyperlink>
            <w:r w:rsidRPr="009B071E">
              <w:rPr>
                <w:rStyle w:val="Lienhypertexte"/>
                <w:rFonts w:eastAsia="Batang"/>
                <w:sz w:val="22"/>
                <w:szCs w:val="22"/>
                <w:lang w:val="fr-FR"/>
              </w:rPr>
              <w:t xml:space="preserve"> </w:t>
            </w:r>
            <w:r w:rsidRPr="009B071E">
              <w:rPr>
                <w:rFonts w:cs="Arial"/>
                <w:snapToGrid w:val="0"/>
                <w:sz w:val="22"/>
                <w:szCs w:val="22"/>
                <w:lang w:val="fr-FR" w:eastAsia="en-US"/>
              </w:rPr>
              <w:t>(paragraph</w:t>
            </w:r>
            <w:r w:rsidR="00BA55CF" w:rsidRPr="009B071E">
              <w:rPr>
                <w:rFonts w:cs="Arial"/>
                <w:snapToGrid w:val="0"/>
                <w:sz w:val="22"/>
                <w:szCs w:val="22"/>
                <w:lang w:val="fr-FR" w:eastAsia="en-US"/>
              </w:rPr>
              <w:t>e</w:t>
            </w:r>
            <w:r w:rsidRPr="009B071E">
              <w:rPr>
                <w:rFonts w:cs="Arial"/>
                <w:snapToGrid w:val="0"/>
                <w:sz w:val="22"/>
                <w:szCs w:val="22"/>
                <w:lang w:val="fr-FR" w:eastAsia="en-US"/>
              </w:rPr>
              <w:t xml:space="preserve"> 41</w:t>
            </w:r>
            <w:r w:rsidR="00A658E7">
              <w:rPr>
                <w:rFonts w:cs="Arial"/>
                <w:snapToGrid w:val="0"/>
                <w:sz w:val="22"/>
                <w:szCs w:val="22"/>
                <w:lang w:val="fr-FR" w:eastAsia="en-US"/>
              </w:rPr>
              <w:t>.</w:t>
            </w:r>
            <w:r w:rsidRPr="009B071E">
              <w:rPr>
                <w:rFonts w:cs="Arial"/>
                <w:snapToGrid w:val="0"/>
                <w:sz w:val="22"/>
                <w:szCs w:val="22"/>
                <w:lang w:val="fr-FR" w:eastAsia="en-US"/>
              </w:rPr>
              <w:t xml:space="preserve"> i)</w:t>
            </w:r>
          </w:p>
        </w:tc>
      </w:tr>
    </w:tbl>
    <w:p w14:paraId="2CA66B57" w14:textId="18DD42C6" w:rsidR="00322322" w:rsidRPr="009B071E" w:rsidRDefault="00322322" w:rsidP="001D58F4">
      <w:pPr>
        <w:pStyle w:val="COMPara"/>
        <w:numPr>
          <w:ilvl w:val="0"/>
          <w:numId w:val="7"/>
        </w:numPr>
        <w:spacing w:before="240"/>
        <w:ind w:left="562" w:hanging="562"/>
        <w:jc w:val="both"/>
        <w:rPr>
          <w:lang w:val="fr-FR"/>
        </w:rPr>
      </w:pPr>
      <w:r w:rsidRPr="009B071E">
        <w:rPr>
          <w:b/>
          <w:bCs/>
          <w:lang w:val="fr-FR"/>
        </w:rPr>
        <w:t xml:space="preserve">Défis récurrents. </w:t>
      </w:r>
      <w:r w:rsidRPr="009B071E">
        <w:rPr>
          <w:lang w:val="fr-FR"/>
        </w:rPr>
        <w:t>L</w:t>
      </w:r>
      <w:r w:rsidR="00521B04" w:rsidRPr="009B071E">
        <w:rPr>
          <w:lang w:val="fr-FR"/>
        </w:rPr>
        <w:t>’</w:t>
      </w:r>
      <w:r w:rsidRPr="009B071E">
        <w:rPr>
          <w:lang w:val="fr-FR"/>
        </w:rPr>
        <w:t>Organe d</w:t>
      </w:r>
      <w:r w:rsidR="00521B04" w:rsidRPr="009B071E">
        <w:rPr>
          <w:lang w:val="fr-FR"/>
        </w:rPr>
        <w:t>’</w:t>
      </w:r>
      <w:r w:rsidRPr="009B071E">
        <w:rPr>
          <w:lang w:val="fr-FR"/>
        </w:rPr>
        <w:t>évaluation tient également à souligner qu</w:t>
      </w:r>
      <w:r w:rsidR="00521B04" w:rsidRPr="009B071E">
        <w:rPr>
          <w:lang w:val="fr-FR"/>
        </w:rPr>
        <w:t>’</w:t>
      </w:r>
      <w:r w:rsidRPr="009B071E">
        <w:rPr>
          <w:lang w:val="fr-FR"/>
        </w:rPr>
        <w:t>il a identifié plusieurs défis auxquels sont confrontés les États soumissionnaires, auxquels les décisions précédentes et les documents de travail du Comité ont déjà fait référence à plusieurs reprises :</w:t>
      </w:r>
    </w:p>
    <w:tbl>
      <w:tblPr>
        <w:tblStyle w:val="Grilledutableau"/>
        <w:tblpPr w:leftFromText="180" w:rightFromText="180" w:vertAnchor="text" w:tblpX="562" w:tblpY="1"/>
        <w:tblOverlap w:val="never"/>
        <w:tblW w:w="9423" w:type="dxa"/>
        <w:tblLook w:val="04A0" w:firstRow="1" w:lastRow="0" w:firstColumn="1" w:lastColumn="0" w:noHBand="0" w:noVBand="1"/>
      </w:tblPr>
      <w:tblGrid>
        <w:gridCol w:w="4830"/>
        <w:gridCol w:w="4593"/>
      </w:tblGrid>
      <w:tr w:rsidR="001D58F4" w:rsidRPr="00620E80" w14:paraId="5981311B" w14:textId="77777777" w:rsidTr="000D2811">
        <w:tc>
          <w:tcPr>
            <w:tcW w:w="4830" w:type="dxa"/>
            <w:vAlign w:val="center"/>
          </w:tcPr>
          <w:p w14:paraId="34C41AC4" w14:textId="78BD904C" w:rsidR="001D58F4" w:rsidRPr="009B071E" w:rsidRDefault="00106CE5" w:rsidP="000D2811">
            <w:pPr>
              <w:keepNext/>
              <w:spacing w:after="120"/>
              <w:jc w:val="center"/>
              <w:rPr>
                <w:rFonts w:cs="Arial"/>
                <w:b/>
                <w:snapToGrid w:val="0"/>
                <w:sz w:val="22"/>
                <w:szCs w:val="22"/>
                <w:lang w:val="fr-FR"/>
              </w:rPr>
            </w:pPr>
            <w:r w:rsidRPr="009B071E">
              <w:rPr>
                <w:rFonts w:cs="Arial"/>
                <w:b/>
                <w:bCs/>
                <w:snapToGrid w:val="0"/>
                <w:sz w:val="20"/>
                <w:szCs w:val="20"/>
                <w:lang w:val="fr-FR"/>
              </w:rPr>
              <w:t>Problèmes</w:t>
            </w:r>
          </w:p>
        </w:tc>
        <w:tc>
          <w:tcPr>
            <w:tcW w:w="4593" w:type="dxa"/>
            <w:vAlign w:val="center"/>
          </w:tcPr>
          <w:p w14:paraId="6243AE43" w14:textId="77777777" w:rsidR="001D58F4" w:rsidRPr="009B071E" w:rsidRDefault="001D58F4" w:rsidP="002A7684">
            <w:pPr>
              <w:spacing w:before="120" w:after="120"/>
              <w:jc w:val="center"/>
              <w:rPr>
                <w:rFonts w:cs="Arial"/>
                <w:b/>
                <w:snapToGrid w:val="0"/>
                <w:sz w:val="22"/>
                <w:szCs w:val="22"/>
                <w:lang w:val="fr-FR"/>
              </w:rPr>
            </w:pPr>
            <w:r w:rsidRPr="009B071E">
              <w:rPr>
                <w:rFonts w:cs="Arial"/>
                <w:b/>
                <w:bCs/>
                <w:snapToGrid w:val="0"/>
                <w:sz w:val="20"/>
                <w:szCs w:val="20"/>
                <w:lang w:val="fr-FR"/>
              </w:rPr>
              <w:t>Décisions ou documents de référence les plus récents du Comité</w:t>
            </w:r>
          </w:p>
        </w:tc>
      </w:tr>
      <w:tr w:rsidR="001D58F4" w:rsidRPr="009B071E" w14:paraId="49354E4D" w14:textId="77777777" w:rsidTr="000D2811">
        <w:tc>
          <w:tcPr>
            <w:tcW w:w="4830" w:type="dxa"/>
          </w:tcPr>
          <w:p w14:paraId="0FD674A3" w14:textId="4E067EF9" w:rsidR="001D58F4" w:rsidRPr="009B071E" w:rsidRDefault="001D58F4" w:rsidP="000D2811">
            <w:pPr>
              <w:spacing w:after="120"/>
              <w:rPr>
                <w:rFonts w:cs="Arial"/>
                <w:snapToGrid w:val="0"/>
                <w:sz w:val="22"/>
                <w:szCs w:val="22"/>
                <w:lang w:val="fr-FR"/>
              </w:rPr>
            </w:pPr>
            <w:r w:rsidRPr="009B071E">
              <w:rPr>
                <w:rFonts w:cs="Arial"/>
                <w:sz w:val="22"/>
                <w:szCs w:val="22"/>
                <w:lang w:val="fr-FR"/>
              </w:rPr>
              <w:t>Attention insuffisante portée aux considérations de genre dans la pratique et la transmission du patrimoine culturel immatériel</w:t>
            </w:r>
          </w:p>
        </w:tc>
        <w:tc>
          <w:tcPr>
            <w:tcW w:w="4593" w:type="dxa"/>
          </w:tcPr>
          <w:p w14:paraId="31454358" w14:textId="53D9FBE1" w:rsidR="001D58F4" w:rsidRPr="009B071E" w:rsidRDefault="004A10D9" w:rsidP="000D2811">
            <w:pPr>
              <w:spacing w:after="120"/>
              <w:jc w:val="both"/>
              <w:rPr>
                <w:rFonts w:eastAsia="Batang" w:cs="Arial"/>
                <w:color w:val="0563C1"/>
                <w:sz w:val="22"/>
                <w:szCs w:val="22"/>
                <w:u w:val="single"/>
                <w:lang w:val="fr-FR"/>
              </w:rPr>
            </w:pPr>
            <w:r w:rsidRPr="009B071E">
              <w:rPr>
                <w:rFonts w:cs="Arial"/>
                <w:snapToGrid w:val="0"/>
                <w:sz w:val="22"/>
                <w:szCs w:val="22"/>
                <w:lang w:val="fr-FR" w:eastAsia="en-US"/>
              </w:rPr>
              <w:t>Décision</w:t>
            </w:r>
            <w:r w:rsidRPr="009B071E">
              <w:rPr>
                <w:lang w:val="fr-FR"/>
              </w:rPr>
              <w:t xml:space="preserve"> </w:t>
            </w:r>
            <w:hyperlink r:id="rId39" w:history="1">
              <w:r w:rsidRPr="009B071E">
                <w:rPr>
                  <w:rStyle w:val="Lienhypertexte"/>
                  <w:rFonts w:eastAsia="Batang"/>
                  <w:snapToGrid w:val="0"/>
                  <w:sz w:val="22"/>
                  <w:szCs w:val="22"/>
                  <w:lang w:val="fr-FR" w:eastAsia="en-US"/>
                </w:rPr>
                <w:t>8.COM 8</w:t>
              </w:r>
            </w:hyperlink>
            <w:r w:rsidR="00F80446" w:rsidRPr="009B071E">
              <w:rPr>
                <w:rFonts w:eastAsia="Batang" w:cs="Arial"/>
                <w:sz w:val="22"/>
                <w:szCs w:val="22"/>
                <w:lang w:val="fr-FR"/>
              </w:rPr>
              <w:t xml:space="preserve"> (paragraphe 8)</w:t>
            </w:r>
          </w:p>
        </w:tc>
      </w:tr>
      <w:tr w:rsidR="001D58F4" w:rsidRPr="009B071E" w14:paraId="47D5758F" w14:textId="77777777" w:rsidTr="000D2811">
        <w:tc>
          <w:tcPr>
            <w:tcW w:w="4830" w:type="dxa"/>
          </w:tcPr>
          <w:p w14:paraId="1D09B6D1" w14:textId="61559938" w:rsidR="001D58F4" w:rsidRPr="009B071E" w:rsidRDefault="001D58F4" w:rsidP="000D2811">
            <w:pPr>
              <w:pStyle w:val="COMPara"/>
              <w:numPr>
                <w:ilvl w:val="0"/>
                <w:numId w:val="0"/>
              </w:numPr>
              <w:jc w:val="both"/>
              <w:rPr>
                <w:lang w:val="fr-FR"/>
              </w:rPr>
            </w:pPr>
            <w:r w:rsidRPr="009B071E">
              <w:rPr>
                <w:lang w:val="fr-FR"/>
              </w:rPr>
              <w:t>Approches descendantes dans l</w:t>
            </w:r>
            <w:r w:rsidR="00521B04" w:rsidRPr="009B071E">
              <w:rPr>
                <w:lang w:val="fr-FR"/>
              </w:rPr>
              <w:t>’</w:t>
            </w:r>
            <w:r w:rsidRPr="009B071E">
              <w:rPr>
                <w:lang w:val="fr-FR"/>
              </w:rPr>
              <w:t>élaboration des plans de sauvegarde et la préparation des candidatures</w:t>
            </w:r>
          </w:p>
        </w:tc>
        <w:tc>
          <w:tcPr>
            <w:tcW w:w="4593" w:type="dxa"/>
          </w:tcPr>
          <w:p w14:paraId="18B73769" w14:textId="53F8B47E" w:rsidR="001D58F4" w:rsidRPr="009B071E" w:rsidRDefault="004A10D9" w:rsidP="000D2811">
            <w:pPr>
              <w:pStyle w:val="COMPara"/>
              <w:numPr>
                <w:ilvl w:val="0"/>
                <w:numId w:val="0"/>
              </w:numPr>
              <w:jc w:val="both"/>
              <w:rPr>
                <w:lang w:val="fr-FR"/>
              </w:rPr>
            </w:pPr>
            <w:r w:rsidRPr="009B071E">
              <w:rPr>
                <w:lang w:val="fr-FR"/>
              </w:rPr>
              <w:t xml:space="preserve">Décision </w:t>
            </w:r>
            <w:hyperlink r:id="rId40" w:history="1">
              <w:r w:rsidRPr="009B071E">
                <w:rPr>
                  <w:rStyle w:val="Lienhypertexte"/>
                  <w:rFonts w:eastAsia="Batang"/>
                  <w:lang w:val="fr-FR"/>
                </w:rPr>
                <w:t>14.COM 10</w:t>
              </w:r>
            </w:hyperlink>
            <w:r w:rsidR="004C6C15" w:rsidRPr="009B071E">
              <w:rPr>
                <w:rFonts w:eastAsia="Batang"/>
                <w:lang w:val="fr-FR"/>
              </w:rPr>
              <w:t xml:space="preserve"> (paragraphe 15)</w:t>
            </w:r>
          </w:p>
        </w:tc>
      </w:tr>
      <w:tr w:rsidR="001D58F4" w:rsidRPr="00620E80" w14:paraId="1C0ED10B" w14:textId="77777777" w:rsidTr="000D2811">
        <w:tc>
          <w:tcPr>
            <w:tcW w:w="4830" w:type="dxa"/>
          </w:tcPr>
          <w:p w14:paraId="5295BCCD" w14:textId="54C77E91" w:rsidR="001D58F4" w:rsidRPr="009B071E" w:rsidRDefault="001D58F4" w:rsidP="000D2811">
            <w:pPr>
              <w:pStyle w:val="COMPara"/>
              <w:numPr>
                <w:ilvl w:val="0"/>
                <w:numId w:val="0"/>
              </w:numPr>
              <w:jc w:val="both"/>
              <w:rPr>
                <w:lang w:val="fr-FR"/>
              </w:rPr>
            </w:pPr>
            <w:r w:rsidRPr="009B071E">
              <w:rPr>
                <w:lang w:val="fr-FR"/>
              </w:rPr>
              <w:t>Lettres qui ne mentionnent pas la prise de conscience de la nature multinationale de la candidature et l</w:t>
            </w:r>
            <w:r w:rsidR="00521B04" w:rsidRPr="009B071E">
              <w:rPr>
                <w:lang w:val="fr-FR"/>
              </w:rPr>
              <w:t>’</w:t>
            </w:r>
            <w:r w:rsidRPr="009B071E">
              <w:rPr>
                <w:lang w:val="fr-FR"/>
              </w:rPr>
              <w:t xml:space="preserve">utilisation de lettres </w:t>
            </w:r>
            <w:r w:rsidR="00F215A7" w:rsidRPr="009B071E">
              <w:rPr>
                <w:lang w:val="fr-FR"/>
              </w:rPr>
              <w:t>standardisées</w:t>
            </w:r>
          </w:p>
        </w:tc>
        <w:tc>
          <w:tcPr>
            <w:tcW w:w="4593" w:type="dxa"/>
          </w:tcPr>
          <w:p w14:paraId="5578F2FE" w14:textId="3301A79C" w:rsidR="001D58F4" w:rsidRPr="009B071E" w:rsidRDefault="004A10D9" w:rsidP="000D2811">
            <w:pPr>
              <w:pStyle w:val="COMPara"/>
              <w:numPr>
                <w:ilvl w:val="0"/>
                <w:numId w:val="0"/>
              </w:numPr>
              <w:jc w:val="both"/>
              <w:rPr>
                <w:lang w:val="fr-FR"/>
              </w:rPr>
            </w:pPr>
            <w:r w:rsidRPr="009B071E">
              <w:rPr>
                <w:lang w:val="fr-FR"/>
              </w:rPr>
              <w:t xml:space="preserve">Document </w:t>
            </w:r>
            <w:hyperlink r:id="rId41" w:history="1">
              <w:r w:rsidRPr="009B071E">
                <w:rPr>
                  <w:rStyle w:val="Lienhypertexte"/>
                  <w:rFonts w:eastAsia="Batang"/>
                  <w:lang w:val="fr-FR"/>
                </w:rPr>
                <w:t>17.COM/7</w:t>
              </w:r>
            </w:hyperlink>
            <w:r w:rsidR="004C6C15" w:rsidRPr="009B071E">
              <w:rPr>
                <w:rFonts w:eastAsia="Batang"/>
                <w:lang w:val="fr-FR"/>
              </w:rPr>
              <w:t xml:space="preserve"> (</w:t>
            </w:r>
            <w:r w:rsidR="002A2FE3" w:rsidRPr="009B071E">
              <w:rPr>
                <w:rFonts w:eastAsia="Batang"/>
                <w:lang w:val="fr-FR"/>
              </w:rPr>
              <w:t>p</w:t>
            </w:r>
            <w:r w:rsidR="004C6C15" w:rsidRPr="009B071E">
              <w:rPr>
                <w:rFonts w:eastAsia="Batang"/>
                <w:lang w:val="fr-FR"/>
              </w:rPr>
              <w:t>aragraphe 57</w:t>
            </w:r>
            <w:r w:rsidR="0050051F">
              <w:rPr>
                <w:rFonts w:eastAsia="Batang"/>
                <w:lang w:val="fr-FR"/>
              </w:rPr>
              <w:t>.</w:t>
            </w:r>
            <w:r w:rsidR="004C6C15" w:rsidRPr="009B071E">
              <w:rPr>
                <w:rFonts w:eastAsia="Batang"/>
                <w:lang w:val="fr-FR"/>
              </w:rPr>
              <w:t xml:space="preserve"> i et v)</w:t>
            </w:r>
          </w:p>
        </w:tc>
      </w:tr>
      <w:tr w:rsidR="001D58F4" w:rsidRPr="00620E80" w14:paraId="2B33C88F" w14:textId="77777777" w:rsidTr="000D2811">
        <w:tc>
          <w:tcPr>
            <w:tcW w:w="4830" w:type="dxa"/>
          </w:tcPr>
          <w:p w14:paraId="20DC2FDB" w14:textId="0056C814" w:rsidR="001D58F4" w:rsidRPr="009B071E" w:rsidRDefault="001D58F4" w:rsidP="000D2811">
            <w:pPr>
              <w:pStyle w:val="COMPara"/>
              <w:numPr>
                <w:ilvl w:val="0"/>
                <w:numId w:val="0"/>
              </w:numPr>
              <w:jc w:val="both"/>
              <w:rPr>
                <w:lang w:val="fr-FR"/>
              </w:rPr>
            </w:pPr>
            <w:r w:rsidRPr="009B071E">
              <w:rPr>
                <w:lang w:val="fr-FR"/>
              </w:rPr>
              <w:t xml:space="preserve">Participation des communautés à </w:t>
            </w:r>
            <w:r w:rsidR="00F215A7" w:rsidRPr="009B071E">
              <w:rPr>
                <w:lang w:val="fr-FR"/>
              </w:rPr>
              <w:t>l’établissement d’inventaires ainsi qu’à l’élaboration et</w:t>
            </w:r>
            <w:r w:rsidRPr="009B071E">
              <w:rPr>
                <w:lang w:val="fr-FR"/>
              </w:rPr>
              <w:t xml:space="preserve"> la mise à jour des inventaires</w:t>
            </w:r>
          </w:p>
        </w:tc>
        <w:tc>
          <w:tcPr>
            <w:tcW w:w="4593" w:type="dxa"/>
          </w:tcPr>
          <w:p w14:paraId="1761CB1B" w14:textId="7E0D92F4" w:rsidR="001D58F4" w:rsidRPr="009B071E" w:rsidRDefault="004A10D9" w:rsidP="000D2811">
            <w:pPr>
              <w:tabs>
                <w:tab w:val="left" w:pos="972"/>
              </w:tabs>
              <w:spacing w:after="120"/>
              <w:jc w:val="both"/>
              <w:rPr>
                <w:rFonts w:eastAsia="Batang" w:cs="Arial"/>
                <w:sz w:val="22"/>
                <w:szCs w:val="22"/>
                <w:lang w:val="fr-FR"/>
              </w:rPr>
            </w:pPr>
            <w:r w:rsidRPr="009B071E">
              <w:rPr>
                <w:rFonts w:cs="Arial"/>
                <w:snapToGrid w:val="0"/>
                <w:sz w:val="22"/>
                <w:szCs w:val="22"/>
                <w:lang w:val="fr-FR" w:eastAsia="en-US"/>
              </w:rPr>
              <w:t>Décision</w:t>
            </w:r>
            <w:r w:rsidRPr="009B071E">
              <w:rPr>
                <w:lang w:val="fr-FR"/>
              </w:rPr>
              <w:t xml:space="preserve"> </w:t>
            </w:r>
            <w:hyperlink r:id="rId42" w:history="1">
              <w:r w:rsidRPr="009B071E">
                <w:rPr>
                  <w:rStyle w:val="Lienhypertexte"/>
                  <w:rFonts w:eastAsia="Batang"/>
                  <w:snapToGrid w:val="0"/>
                  <w:sz w:val="22"/>
                  <w:szCs w:val="22"/>
                  <w:lang w:val="fr-FR" w:eastAsia="en-US"/>
                </w:rPr>
                <w:t>14.COM 10</w:t>
              </w:r>
            </w:hyperlink>
            <w:r w:rsidR="00F80446" w:rsidRPr="009B071E">
              <w:rPr>
                <w:rFonts w:eastAsia="Batang" w:cs="Arial"/>
                <w:sz w:val="22"/>
                <w:szCs w:val="22"/>
                <w:lang w:val="fr-FR"/>
              </w:rPr>
              <w:t xml:space="preserve"> (paragraphe 10)</w:t>
            </w:r>
          </w:p>
          <w:p w14:paraId="3A24A752" w14:textId="1B800D5A" w:rsidR="001D58F4" w:rsidRPr="009B071E" w:rsidRDefault="004A10D9" w:rsidP="000D2811">
            <w:pPr>
              <w:pStyle w:val="COMPara"/>
              <w:numPr>
                <w:ilvl w:val="0"/>
                <w:numId w:val="0"/>
              </w:numPr>
              <w:jc w:val="both"/>
              <w:rPr>
                <w:lang w:val="fr-FR"/>
              </w:rPr>
            </w:pPr>
            <w:r w:rsidRPr="009B071E">
              <w:rPr>
                <w:lang w:val="fr-FR"/>
              </w:rPr>
              <w:t xml:space="preserve">Décision </w:t>
            </w:r>
            <w:hyperlink r:id="rId43" w:history="1">
              <w:r w:rsidRPr="009B071E">
                <w:rPr>
                  <w:rStyle w:val="Lienhypertexte"/>
                  <w:rFonts w:eastAsia="Batang" w:cs="Times New Roman"/>
                  <w:lang w:val="fr-FR"/>
                </w:rPr>
                <w:t>13.COM 10</w:t>
              </w:r>
            </w:hyperlink>
            <w:r w:rsidR="004C6C15" w:rsidRPr="009B071E">
              <w:rPr>
                <w:rFonts w:eastAsia="Batang"/>
                <w:lang w:val="fr-FR"/>
              </w:rPr>
              <w:t xml:space="preserve"> (paragraphe 12)</w:t>
            </w:r>
            <w:r w:rsidR="004C6C15" w:rsidRPr="009B071E">
              <w:rPr>
                <w:rFonts w:eastAsia="Batang"/>
                <w:lang w:val="fr-FR"/>
              </w:rPr>
              <w:tab/>
            </w:r>
          </w:p>
        </w:tc>
      </w:tr>
      <w:tr w:rsidR="001D58F4" w:rsidRPr="009B071E" w14:paraId="52263094" w14:textId="77777777" w:rsidTr="000D2811">
        <w:tc>
          <w:tcPr>
            <w:tcW w:w="4830" w:type="dxa"/>
          </w:tcPr>
          <w:p w14:paraId="772BAC51" w14:textId="1C46471D" w:rsidR="001D58F4" w:rsidRPr="009B071E" w:rsidRDefault="001D58F4" w:rsidP="000D2811">
            <w:pPr>
              <w:pStyle w:val="COMPara"/>
              <w:numPr>
                <w:ilvl w:val="0"/>
                <w:numId w:val="0"/>
              </w:numPr>
              <w:jc w:val="both"/>
              <w:rPr>
                <w:lang w:val="fr-FR"/>
              </w:rPr>
            </w:pPr>
            <w:r w:rsidRPr="009B071E">
              <w:rPr>
                <w:lang w:val="fr-FR"/>
              </w:rPr>
              <w:t>Utilisation d</w:t>
            </w:r>
            <w:r w:rsidR="00521B04" w:rsidRPr="009B071E">
              <w:rPr>
                <w:lang w:val="fr-FR"/>
              </w:rPr>
              <w:t>’</w:t>
            </w:r>
            <w:r w:rsidRPr="009B071E">
              <w:rPr>
                <w:lang w:val="fr-FR"/>
              </w:rPr>
              <w:t>un langage inapproprié et de titres d</w:t>
            </w:r>
            <w:r w:rsidR="00521B04" w:rsidRPr="009B071E">
              <w:rPr>
                <w:lang w:val="fr-FR"/>
              </w:rPr>
              <w:t>’</w:t>
            </w:r>
            <w:r w:rsidRPr="009B071E">
              <w:rPr>
                <w:lang w:val="fr-FR"/>
              </w:rPr>
              <w:t xml:space="preserve">éléments </w:t>
            </w:r>
            <w:r w:rsidR="00F215A7" w:rsidRPr="009B071E">
              <w:rPr>
                <w:lang w:val="fr-FR"/>
              </w:rPr>
              <w:t>visant</w:t>
            </w:r>
            <w:r w:rsidRPr="009B071E">
              <w:rPr>
                <w:lang w:val="fr-FR"/>
              </w:rPr>
              <w:t xml:space="preserve"> à établir la propriété, ce qui n</w:t>
            </w:r>
            <w:r w:rsidR="00521B04" w:rsidRPr="009B071E">
              <w:rPr>
                <w:lang w:val="fr-FR"/>
              </w:rPr>
              <w:t>’</w:t>
            </w:r>
            <w:r w:rsidRPr="009B071E">
              <w:rPr>
                <w:lang w:val="fr-FR"/>
              </w:rPr>
              <w:t>est pas conforme à l</w:t>
            </w:r>
            <w:r w:rsidR="00521B04" w:rsidRPr="009B071E">
              <w:rPr>
                <w:lang w:val="fr-FR"/>
              </w:rPr>
              <w:t>’</w:t>
            </w:r>
            <w:r w:rsidRPr="009B071E">
              <w:rPr>
                <w:lang w:val="fr-FR"/>
              </w:rPr>
              <w:t>esprit de la Convention</w:t>
            </w:r>
          </w:p>
        </w:tc>
        <w:tc>
          <w:tcPr>
            <w:tcW w:w="4593" w:type="dxa"/>
          </w:tcPr>
          <w:p w14:paraId="617EA253" w14:textId="125F9BD6" w:rsidR="001D58F4" w:rsidRPr="009B071E" w:rsidRDefault="004A10D9" w:rsidP="000D2811">
            <w:pPr>
              <w:pStyle w:val="COMPara"/>
              <w:numPr>
                <w:ilvl w:val="0"/>
                <w:numId w:val="0"/>
              </w:numPr>
              <w:jc w:val="both"/>
              <w:rPr>
                <w:lang w:val="fr-FR"/>
              </w:rPr>
            </w:pPr>
            <w:r w:rsidRPr="009B071E">
              <w:rPr>
                <w:lang w:val="fr-FR"/>
              </w:rPr>
              <w:t xml:space="preserve">Décision </w:t>
            </w:r>
            <w:hyperlink r:id="rId44" w:history="1">
              <w:r w:rsidRPr="009B071E">
                <w:rPr>
                  <w:rFonts w:eastAsia="Batang"/>
                  <w:color w:val="0000FF"/>
                  <w:u w:val="single"/>
                  <w:lang w:val="fr-FR"/>
                </w:rPr>
                <w:t>12.COM 11</w:t>
              </w:r>
            </w:hyperlink>
            <w:r w:rsidR="004C6C15" w:rsidRPr="009B071E">
              <w:rPr>
                <w:rFonts w:eastAsia="Batang"/>
                <w:color w:val="0000FF"/>
                <w:lang w:val="fr-FR"/>
              </w:rPr>
              <w:t xml:space="preserve"> </w:t>
            </w:r>
            <w:r w:rsidR="004C6C15" w:rsidRPr="009B071E">
              <w:rPr>
                <w:rFonts w:eastAsia="Batang"/>
                <w:lang w:val="fr-FR"/>
              </w:rPr>
              <w:t>(paragraphe 6)</w:t>
            </w:r>
          </w:p>
        </w:tc>
      </w:tr>
      <w:tr w:rsidR="001D58F4" w:rsidRPr="009B071E" w14:paraId="70BD902E" w14:textId="77777777" w:rsidTr="000D2811">
        <w:tc>
          <w:tcPr>
            <w:tcW w:w="4830" w:type="dxa"/>
          </w:tcPr>
          <w:p w14:paraId="5D99519B" w14:textId="25A933CB" w:rsidR="001D58F4" w:rsidRPr="009B071E" w:rsidRDefault="001D58F4" w:rsidP="000D2811">
            <w:pPr>
              <w:pStyle w:val="COMPara"/>
              <w:numPr>
                <w:ilvl w:val="0"/>
                <w:numId w:val="0"/>
              </w:numPr>
              <w:jc w:val="both"/>
              <w:rPr>
                <w:lang w:val="fr-FR"/>
              </w:rPr>
            </w:pPr>
            <w:r w:rsidRPr="009B071E">
              <w:rPr>
                <w:snapToGrid/>
                <w:lang w:val="fr-FR"/>
              </w:rPr>
              <w:t>Manque d</w:t>
            </w:r>
            <w:r w:rsidR="00521B04" w:rsidRPr="009B071E">
              <w:rPr>
                <w:snapToGrid/>
                <w:lang w:val="fr-FR"/>
              </w:rPr>
              <w:t>’</w:t>
            </w:r>
            <w:r w:rsidRPr="009B071E">
              <w:rPr>
                <w:snapToGrid/>
                <w:lang w:val="fr-FR"/>
              </w:rPr>
              <w:t>informations sur les mesures de sauvegarde actuelles, passées et proposées.</w:t>
            </w:r>
          </w:p>
        </w:tc>
        <w:tc>
          <w:tcPr>
            <w:tcW w:w="4593" w:type="dxa"/>
          </w:tcPr>
          <w:p w14:paraId="5DDC8A96" w14:textId="333D8A28" w:rsidR="001D58F4" w:rsidRPr="009B071E" w:rsidRDefault="004A10D9" w:rsidP="000D2811">
            <w:pPr>
              <w:pStyle w:val="COMPara"/>
              <w:numPr>
                <w:ilvl w:val="0"/>
                <w:numId w:val="0"/>
              </w:numPr>
              <w:jc w:val="both"/>
              <w:rPr>
                <w:lang w:val="fr-FR"/>
              </w:rPr>
            </w:pPr>
            <w:r w:rsidRPr="009B071E">
              <w:rPr>
                <w:lang w:val="fr-FR"/>
              </w:rPr>
              <w:t xml:space="preserve">Document </w:t>
            </w:r>
            <w:hyperlink r:id="rId45" w:history="1">
              <w:r w:rsidRPr="009B071E">
                <w:rPr>
                  <w:rStyle w:val="Lienhypertexte"/>
                  <w:rFonts w:eastAsia="Batang"/>
                  <w:lang w:val="fr-FR"/>
                </w:rPr>
                <w:t>17.COM/7</w:t>
              </w:r>
            </w:hyperlink>
            <w:r w:rsidR="004C6C15" w:rsidRPr="009B071E">
              <w:rPr>
                <w:rFonts w:eastAsia="Batang"/>
                <w:lang w:val="fr-FR"/>
              </w:rPr>
              <w:t xml:space="preserve"> (paragraphe 54</w:t>
            </w:r>
            <w:r w:rsidR="006D1776">
              <w:rPr>
                <w:rFonts w:eastAsia="Batang"/>
                <w:lang w:val="fr-FR"/>
              </w:rPr>
              <w:t>.</w:t>
            </w:r>
            <w:r w:rsidR="009E59B1" w:rsidRPr="009B071E">
              <w:rPr>
                <w:rFonts w:eastAsia="Batang"/>
                <w:lang w:val="fr-FR"/>
              </w:rPr>
              <w:t xml:space="preserve"> </w:t>
            </w:r>
            <w:r w:rsidR="004C6C15" w:rsidRPr="009B071E">
              <w:rPr>
                <w:rFonts w:eastAsia="Batang"/>
                <w:lang w:val="fr-FR"/>
              </w:rPr>
              <w:t>ii)</w:t>
            </w:r>
          </w:p>
        </w:tc>
      </w:tr>
      <w:tr w:rsidR="00821B24" w:rsidRPr="009B071E" w14:paraId="1DA651B7" w14:textId="77777777" w:rsidTr="000D2811">
        <w:tc>
          <w:tcPr>
            <w:tcW w:w="4830" w:type="dxa"/>
          </w:tcPr>
          <w:p w14:paraId="5281032D" w14:textId="0165200C" w:rsidR="00821B24" w:rsidRPr="009B071E" w:rsidRDefault="00F215A7" w:rsidP="000D2811">
            <w:pPr>
              <w:pStyle w:val="COMPara"/>
              <w:numPr>
                <w:ilvl w:val="0"/>
                <w:numId w:val="0"/>
              </w:numPr>
              <w:rPr>
                <w:snapToGrid/>
                <w:lang w:val="fr-FR"/>
              </w:rPr>
            </w:pPr>
            <w:r w:rsidRPr="009B071E">
              <w:rPr>
                <w:snapToGrid/>
                <w:lang w:val="fr-FR"/>
              </w:rPr>
              <w:t>Fonctionnaires et institutions publiques</w:t>
            </w:r>
          </w:p>
        </w:tc>
        <w:tc>
          <w:tcPr>
            <w:tcW w:w="4593" w:type="dxa"/>
          </w:tcPr>
          <w:p w14:paraId="3A63B1BC" w14:textId="5AE9EEC1" w:rsidR="00821B24" w:rsidRPr="009B071E" w:rsidRDefault="00821B24" w:rsidP="000D2811">
            <w:pPr>
              <w:pStyle w:val="COMPara"/>
              <w:numPr>
                <w:ilvl w:val="0"/>
                <w:numId w:val="0"/>
              </w:numPr>
              <w:jc w:val="both"/>
              <w:rPr>
                <w:lang w:val="fr-FR"/>
              </w:rPr>
            </w:pPr>
            <w:r w:rsidRPr="009B071E">
              <w:rPr>
                <w:lang w:val="fr-FR"/>
              </w:rPr>
              <w:t xml:space="preserve">Document </w:t>
            </w:r>
            <w:hyperlink r:id="rId46" w:history="1">
              <w:r w:rsidRPr="009B071E">
                <w:rPr>
                  <w:rStyle w:val="Lienhypertexte"/>
                  <w:rFonts w:eastAsia="Batang"/>
                  <w:lang w:val="fr-FR"/>
                </w:rPr>
                <w:t>17.COM/7</w:t>
              </w:r>
            </w:hyperlink>
            <w:r w:rsidRPr="009B071E">
              <w:rPr>
                <w:lang w:val="fr-FR"/>
              </w:rPr>
              <w:t xml:space="preserve"> (paragraph</w:t>
            </w:r>
            <w:r w:rsidR="002A2FE3" w:rsidRPr="009B071E">
              <w:rPr>
                <w:lang w:val="fr-FR"/>
              </w:rPr>
              <w:t>e</w:t>
            </w:r>
            <w:r w:rsidRPr="009B071E">
              <w:rPr>
                <w:lang w:val="fr-FR"/>
              </w:rPr>
              <w:t xml:space="preserve"> 56</w:t>
            </w:r>
            <w:r w:rsidR="006D1776">
              <w:rPr>
                <w:lang w:val="fr-FR"/>
              </w:rPr>
              <w:t>.</w:t>
            </w:r>
            <w:r w:rsidRPr="009B071E">
              <w:rPr>
                <w:lang w:val="fr-FR"/>
              </w:rPr>
              <w:t xml:space="preserve"> iii)</w:t>
            </w:r>
          </w:p>
        </w:tc>
      </w:tr>
      <w:tr w:rsidR="00821B24" w:rsidRPr="009B071E" w14:paraId="7A3E6C41" w14:textId="77777777" w:rsidTr="000D2811">
        <w:tc>
          <w:tcPr>
            <w:tcW w:w="4830" w:type="dxa"/>
          </w:tcPr>
          <w:p w14:paraId="656CAFBA" w14:textId="1F8B1C47" w:rsidR="00821B24" w:rsidRPr="009B071E" w:rsidRDefault="00F215A7" w:rsidP="000D2811">
            <w:pPr>
              <w:pStyle w:val="COMPara"/>
              <w:numPr>
                <w:ilvl w:val="0"/>
                <w:numId w:val="0"/>
              </w:numPr>
              <w:rPr>
                <w:snapToGrid/>
                <w:lang w:val="fr-FR"/>
              </w:rPr>
            </w:pPr>
            <w:r w:rsidRPr="009B071E">
              <w:rPr>
                <w:snapToGrid/>
                <w:lang w:val="fr-FR"/>
              </w:rPr>
              <w:t>Incertitude sur la représentativité des communautés</w:t>
            </w:r>
          </w:p>
        </w:tc>
        <w:tc>
          <w:tcPr>
            <w:tcW w:w="4593" w:type="dxa"/>
          </w:tcPr>
          <w:p w14:paraId="159E7014" w14:textId="21DADFD4" w:rsidR="00821B24" w:rsidRPr="009B071E" w:rsidRDefault="00821B24" w:rsidP="000D2811">
            <w:pPr>
              <w:pStyle w:val="COMPara"/>
              <w:numPr>
                <w:ilvl w:val="0"/>
                <w:numId w:val="0"/>
              </w:numPr>
              <w:jc w:val="both"/>
              <w:rPr>
                <w:lang w:val="fr-FR"/>
              </w:rPr>
            </w:pPr>
            <w:r w:rsidRPr="009B071E">
              <w:rPr>
                <w:lang w:val="fr-FR"/>
              </w:rPr>
              <w:t xml:space="preserve">Décision </w:t>
            </w:r>
            <w:hyperlink r:id="rId47" w:history="1">
              <w:r w:rsidRPr="009B071E">
                <w:rPr>
                  <w:rStyle w:val="Lienhypertexte"/>
                  <w:rFonts w:eastAsia="Batang"/>
                  <w:lang w:val="fr-FR"/>
                </w:rPr>
                <w:t>13.COM 10</w:t>
              </w:r>
            </w:hyperlink>
            <w:r w:rsidRPr="009B071E">
              <w:rPr>
                <w:rFonts w:eastAsia="Batang"/>
                <w:snapToGrid/>
                <w:lang w:val="fr-FR"/>
              </w:rPr>
              <w:t xml:space="preserve"> (paragraph</w:t>
            </w:r>
            <w:r w:rsidR="002A2FE3" w:rsidRPr="009B071E">
              <w:rPr>
                <w:rFonts w:eastAsia="Batang"/>
                <w:snapToGrid/>
                <w:lang w:val="fr-FR"/>
              </w:rPr>
              <w:t>e</w:t>
            </w:r>
            <w:r w:rsidRPr="009B071E">
              <w:rPr>
                <w:rFonts w:eastAsia="Batang"/>
                <w:snapToGrid/>
                <w:lang w:val="fr-FR"/>
              </w:rPr>
              <w:t xml:space="preserve"> 12)</w:t>
            </w:r>
          </w:p>
        </w:tc>
      </w:tr>
    </w:tbl>
    <w:p w14:paraId="2FE8FA4E" w14:textId="3D31DA43" w:rsidR="00F10319" w:rsidRPr="009B071E" w:rsidRDefault="00F10319" w:rsidP="00FF1C17">
      <w:pPr>
        <w:pStyle w:val="COMPara"/>
        <w:keepNext/>
        <w:numPr>
          <w:ilvl w:val="0"/>
          <w:numId w:val="7"/>
        </w:numPr>
        <w:spacing w:before="240"/>
        <w:ind w:left="567" w:hanging="567"/>
        <w:jc w:val="both"/>
        <w:rPr>
          <w:lang w:val="fr-FR"/>
        </w:rPr>
      </w:pPr>
      <w:r w:rsidRPr="009B071E">
        <w:rPr>
          <w:lang w:val="fr-FR"/>
        </w:rPr>
        <w:t>Le Comité souhaitera peut-être adopter la décision suivante :</w:t>
      </w:r>
    </w:p>
    <w:p w14:paraId="278D5A57" w14:textId="5D403293" w:rsidR="00E72EBF" w:rsidRPr="009B071E" w:rsidRDefault="00E72EBF" w:rsidP="00BD6F27">
      <w:pPr>
        <w:pStyle w:val="Titre2"/>
        <w:numPr>
          <w:ilvl w:val="0"/>
          <w:numId w:val="2"/>
        </w:numPr>
        <w:spacing w:before="240" w:after="120"/>
        <w:ind w:left="567"/>
        <w:rPr>
          <w:b/>
          <w:bCs/>
          <w:sz w:val="22"/>
          <w:szCs w:val="22"/>
          <w:lang w:val="fr-FR"/>
        </w:rPr>
      </w:pPr>
      <w:bookmarkStart w:id="8" w:name="_DRAFT_DECISION_16.COM"/>
      <w:bookmarkStart w:id="9" w:name="Decision_9d1"/>
      <w:bookmarkEnd w:id="8"/>
      <w:bookmarkEnd w:id="9"/>
      <w:r w:rsidRPr="009B071E">
        <w:rPr>
          <w:b/>
          <w:bCs/>
          <w:sz w:val="22"/>
          <w:szCs w:val="22"/>
          <w:lang w:val="fr-FR"/>
        </w:rPr>
        <w:t>PROJET DE DÉCISION 18.COM 8</w:t>
      </w:r>
      <w:r w:rsidRPr="009B071E">
        <w:rPr>
          <w:sz w:val="22"/>
          <w:szCs w:val="22"/>
          <w:lang w:val="fr-FR"/>
        </w:rPr>
        <w:tab/>
      </w:r>
      <w:r w:rsidRPr="009B071E">
        <w:rPr>
          <w:noProof/>
          <w:sz w:val="22"/>
          <w:szCs w:val="22"/>
          <w:lang w:val="fr-FR"/>
        </w:rPr>
        <w:drawing>
          <wp:inline distT="0" distB="0" distL="0" distR="0" wp14:anchorId="16B9B6DB" wp14:editId="06E7D7D3">
            <wp:extent cx="104775" cy="104775"/>
            <wp:effectExtent l="0" t="0" r="9525" b="9525"/>
            <wp:docPr id="2" name="Picture 2">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81DA436" w14:textId="1B447FD0" w:rsidR="00152537" w:rsidRPr="009B071E" w:rsidRDefault="00152537">
      <w:pPr>
        <w:pStyle w:val="Sansinterligne"/>
        <w:keepNext/>
        <w:tabs>
          <w:tab w:val="left" w:pos="567"/>
          <w:tab w:val="left" w:pos="1134"/>
          <w:tab w:val="left" w:pos="1701"/>
          <w:tab w:val="left" w:pos="2268"/>
        </w:tabs>
        <w:spacing w:before="120" w:after="120"/>
        <w:ind w:firstLine="567"/>
        <w:jc w:val="both"/>
        <w:rPr>
          <w:rFonts w:ascii="Arial" w:hAnsi="Arial" w:cs="Arial"/>
        </w:rPr>
      </w:pPr>
      <w:r w:rsidRPr="009B071E">
        <w:rPr>
          <w:rFonts w:ascii="Arial" w:hAnsi="Arial" w:cs="Arial"/>
        </w:rPr>
        <w:t>Le Comité,</w:t>
      </w:r>
    </w:p>
    <w:p w14:paraId="5431AAB2" w14:textId="77777777" w:rsidR="00152537" w:rsidRPr="009B071E" w:rsidRDefault="00152537" w:rsidP="005B4AA1">
      <w:pPr>
        <w:numPr>
          <w:ilvl w:val="0"/>
          <w:numId w:val="5"/>
        </w:numPr>
        <w:spacing w:before="120" w:after="120"/>
        <w:ind w:left="1134" w:hanging="567"/>
        <w:jc w:val="both"/>
        <w:rPr>
          <w:rFonts w:eastAsia="SimSun" w:cs="Arial"/>
          <w:sz w:val="22"/>
          <w:szCs w:val="22"/>
          <w:lang w:val="fr-FR"/>
        </w:rPr>
      </w:pPr>
      <w:r w:rsidRPr="009B071E">
        <w:rPr>
          <w:rFonts w:eastAsia="SimSun" w:cs="Arial"/>
          <w:sz w:val="22"/>
          <w:szCs w:val="22"/>
          <w:u w:val="single"/>
          <w:lang w:val="fr-FR"/>
        </w:rPr>
        <w:t>Rappelant</w:t>
      </w:r>
      <w:r w:rsidRPr="009B071E">
        <w:rPr>
          <w:rFonts w:eastAsia="SimSun" w:cs="Arial"/>
          <w:sz w:val="22"/>
          <w:szCs w:val="22"/>
          <w:lang w:val="fr-FR"/>
        </w:rPr>
        <w:t xml:space="preserve"> le chapitre I des Directives opérationnelles,</w:t>
      </w:r>
    </w:p>
    <w:p w14:paraId="106E4AE7" w14:textId="0329C538" w:rsidR="00152537" w:rsidRPr="009B071E" w:rsidRDefault="00152537" w:rsidP="00EE7969">
      <w:pPr>
        <w:numPr>
          <w:ilvl w:val="0"/>
          <w:numId w:val="5"/>
        </w:numPr>
        <w:spacing w:after="120"/>
        <w:ind w:left="1134" w:hanging="567"/>
        <w:jc w:val="both"/>
        <w:rPr>
          <w:rFonts w:eastAsia="SimSun" w:cs="Arial"/>
          <w:sz w:val="22"/>
          <w:szCs w:val="22"/>
          <w:lang w:val="fr-FR"/>
        </w:rPr>
      </w:pPr>
      <w:r w:rsidRPr="009B071E">
        <w:rPr>
          <w:rFonts w:eastAsia="SimSun" w:cs="Arial"/>
          <w:sz w:val="22"/>
          <w:szCs w:val="22"/>
          <w:u w:val="single"/>
          <w:lang w:val="fr-FR"/>
        </w:rPr>
        <w:t>Ayant examiné</w:t>
      </w:r>
      <w:r w:rsidRPr="009B071E">
        <w:rPr>
          <w:rFonts w:eastAsia="SimSun" w:cs="Arial"/>
          <w:sz w:val="22"/>
          <w:szCs w:val="22"/>
          <w:lang w:val="fr-FR"/>
        </w:rPr>
        <w:t xml:space="preserve"> les documents LHE/23/18.COM/8, </w:t>
      </w:r>
      <w:hyperlink r:id="rId50" w:history="1">
        <w:r w:rsidRPr="009B071E">
          <w:rPr>
            <w:rFonts w:eastAsia="SimSun" w:cs="Arial"/>
            <w:sz w:val="22"/>
            <w:szCs w:val="22"/>
            <w:lang w:val="fr-FR"/>
          </w:rPr>
          <w:t>LHE/23/18.COM/8.a</w:t>
        </w:r>
      </w:hyperlink>
      <w:r w:rsidRPr="009B071E">
        <w:rPr>
          <w:rFonts w:eastAsia="SimSun" w:cs="Arial"/>
          <w:sz w:val="22"/>
          <w:szCs w:val="22"/>
          <w:lang w:val="fr-FR"/>
        </w:rPr>
        <w:t>, LHE/23/18.COM/8</w:t>
      </w:r>
      <w:hyperlink r:id="rId51" w:history="1">
        <w:r w:rsidRPr="009B071E">
          <w:rPr>
            <w:rFonts w:eastAsia="SimSun" w:cs="Arial"/>
            <w:sz w:val="22"/>
            <w:szCs w:val="22"/>
            <w:lang w:val="fr-FR"/>
          </w:rPr>
          <w:t>.b</w:t>
        </w:r>
      </w:hyperlink>
      <w:r w:rsidRPr="009B071E">
        <w:rPr>
          <w:rFonts w:eastAsia="SimSun" w:cs="Arial"/>
          <w:sz w:val="22"/>
          <w:szCs w:val="22"/>
          <w:lang w:val="fr-FR"/>
        </w:rPr>
        <w:t xml:space="preserve">, </w:t>
      </w:r>
      <w:hyperlink r:id="rId52" w:history="1">
        <w:r w:rsidRPr="009B071E">
          <w:rPr>
            <w:rFonts w:eastAsia="SimSun" w:cs="Arial"/>
            <w:sz w:val="22"/>
            <w:szCs w:val="22"/>
            <w:lang w:val="fr-FR"/>
          </w:rPr>
          <w:t>LHE/23/18.COM/8.c</w:t>
        </w:r>
      </w:hyperlink>
      <w:r w:rsidRPr="009B071E">
        <w:rPr>
          <w:rFonts w:eastAsia="SimSun" w:cs="Arial"/>
          <w:sz w:val="22"/>
          <w:szCs w:val="22"/>
          <w:lang w:val="fr-FR"/>
        </w:rPr>
        <w:t xml:space="preserve"> et </w:t>
      </w:r>
      <w:hyperlink r:id="rId53" w:history="1">
        <w:r w:rsidRPr="009B071E">
          <w:rPr>
            <w:rFonts w:eastAsia="SimSun" w:cs="Arial"/>
            <w:sz w:val="22"/>
            <w:szCs w:val="22"/>
            <w:lang w:val="fr-FR"/>
          </w:rPr>
          <w:t>LHE/23/18.COM/8.d</w:t>
        </w:r>
      </w:hyperlink>
      <w:r w:rsidRPr="009B071E">
        <w:rPr>
          <w:rFonts w:eastAsia="SimSun" w:cs="Arial"/>
          <w:sz w:val="22"/>
          <w:szCs w:val="22"/>
          <w:lang w:val="fr-FR"/>
        </w:rPr>
        <w:t>, et les dossiers soumis par les États parties respectifs,</w:t>
      </w:r>
    </w:p>
    <w:p w14:paraId="4D46E711" w14:textId="7EFE5A77" w:rsidR="00FB7698" w:rsidRPr="009B071E" w:rsidRDefault="00D34AEF" w:rsidP="00EE7969">
      <w:pPr>
        <w:numPr>
          <w:ilvl w:val="0"/>
          <w:numId w:val="5"/>
        </w:numPr>
        <w:spacing w:after="120"/>
        <w:ind w:left="1134" w:hanging="567"/>
        <w:jc w:val="both"/>
        <w:rPr>
          <w:rFonts w:eastAsia="SimSun" w:cs="Arial"/>
          <w:sz w:val="22"/>
          <w:szCs w:val="22"/>
          <w:lang w:val="fr-FR"/>
        </w:rPr>
      </w:pPr>
      <w:r w:rsidRPr="009B071E">
        <w:rPr>
          <w:rFonts w:eastAsia="SimSun" w:cs="Arial"/>
          <w:sz w:val="22"/>
          <w:szCs w:val="22"/>
          <w:u w:val="single"/>
          <w:lang w:val="fr-FR"/>
        </w:rPr>
        <w:lastRenderedPageBreak/>
        <w:t>Exprime sa satisfaction</w:t>
      </w:r>
      <w:r w:rsidR="00106CE5" w:rsidRPr="009B071E">
        <w:rPr>
          <w:rFonts w:eastAsia="SimSun" w:cs="Arial"/>
          <w:sz w:val="22"/>
          <w:szCs w:val="22"/>
          <w:lang w:val="fr-FR"/>
        </w:rPr>
        <w:t xml:space="preserve"> quant au</w:t>
      </w:r>
      <w:r w:rsidR="00FB7698" w:rsidRPr="009B071E">
        <w:rPr>
          <w:rFonts w:eastAsia="SimSun" w:cs="Arial"/>
          <w:sz w:val="22"/>
          <w:szCs w:val="22"/>
          <w:lang w:val="fr-FR"/>
        </w:rPr>
        <w:t xml:space="preserve"> travail de l</w:t>
      </w:r>
      <w:r w:rsidR="00521B04" w:rsidRPr="009B071E">
        <w:rPr>
          <w:rFonts w:eastAsia="SimSun" w:cs="Arial"/>
          <w:sz w:val="22"/>
          <w:szCs w:val="22"/>
          <w:lang w:val="fr-FR"/>
        </w:rPr>
        <w:t>’</w:t>
      </w:r>
      <w:r w:rsidR="00FB7698" w:rsidRPr="009B071E">
        <w:rPr>
          <w:rFonts w:eastAsia="SimSun" w:cs="Arial"/>
          <w:sz w:val="22"/>
          <w:szCs w:val="22"/>
          <w:lang w:val="fr-FR"/>
        </w:rPr>
        <w:t>Organe d</w:t>
      </w:r>
      <w:r w:rsidR="00521B04" w:rsidRPr="009B071E">
        <w:rPr>
          <w:rFonts w:eastAsia="SimSun" w:cs="Arial"/>
          <w:sz w:val="22"/>
          <w:szCs w:val="22"/>
          <w:lang w:val="fr-FR"/>
        </w:rPr>
        <w:t>’</w:t>
      </w:r>
      <w:r w:rsidR="00FB7698" w:rsidRPr="009B071E">
        <w:rPr>
          <w:rFonts w:eastAsia="SimSun" w:cs="Arial"/>
          <w:sz w:val="22"/>
          <w:szCs w:val="22"/>
          <w:lang w:val="fr-FR"/>
        </w:rPr>
        <w:t xml:space="preserve">évaluation, </w:t>
      </w:r>
      <w:r w:rsidR="00FB7698" w:rsidRPr="009B071E">
        <w:rPr>
          <w:rFonts w:eastAsia="SimSun" w:cs="Arial"/>
          <w:sz w:val="22"/>
          <w:szCs w:val="22"/>
          <w:u w:val="single"/>
          <w:lang w:val="fr-FR"/>
        </w:rPr>
        <w:t>remercie</w:t>
      </w:r>
      <w:r w:rsidR="00FB7698" w:rsidRPr="009B071E">
        <w:rPr>
          <w:rFonts w:eastAsia="SimSun" w:cs="Arial"/>
          <w:sz w:val="22"/>
          <w:szCs w:val="22"/>
          <w:lang w:val="fr-FR"/>
        </w:rPr>
        <w:t xml:space="preserve"> ses membres pour la qualité du présent rapport et </w:t>
      </w:r>
      <w:r w:rsidR="00FB7698" w:rsidRPr="009B071E">
        <w:rPr>
          <w:rFonts w:eastAsia="SimSun" w:cs="Arial"/>
          <w:sz w:val="22"/>
          <w:szCs w:val="22"/>
          <w:u w:val="single"/>
          <w:lang w:val="fr-FR"/>
        </w:rPr>
        <w:t>apprécie</w:t>
      </w:r>
      <w:r w:rsidR="00FB7698" w:rsidRPr="009B071E">
        <w:rPr>
          <w:rFonts w:eastAsia="SimSun" w:cs="Arial"/>
          <w:sz w:val="22"/>
          <w:szCs w:val="22"/>
          <w:lang w:val="fr-FR"/>
        </w:rPr>
        <w:t xml:space="preserve"> </w:t>
      </w:r>
      <w:r w:rsidRPr="009B071E">
        <w:rPr>
          <w:rFonts w:eastAsia="SimSun" w:cs="Arial"/>
          <w:sz w:val="22"/>
          <w:szCs w:val="22"/>
          <w:lang w:val="fr-FR"/>
        </w:rPr>
        <w:t>l’assistance</w:t>
      </w:r>
      <w:r w:rsidR="00FB7698" w:rsidRPr="009B071E">
        <w:rPr>
          <w:rFonts w:eastAsia="SimSun" w:cs="Arial"/>
          <w:sz w:val="22"/>
          <w:szCs w:val="22"/>
          <w:lang w:val="fr-FR"/>
        </w:rPr>
        <w:t xml:space="preserve"> </w:t>
      </w:r>
      <w:r w:rsidRPr="009B071E">
        <w:rPr>
          <w:rFonts w:eastAsia="SimSun" w:cs="Arial"/>
          <w:sz w:val="22"/>
          <w:szCs w:val="22"/>
          <w:lang w:val="fr-FR"/>
        </w:rPr>
        <w:t>du</w:t>
      </w:r>
      <w:r w:rsidR="00FB7698" w:rsidRPr="009B071E">
        <w:rPr>
          <w:rFonts w:eastAsia="SimSun" w:cs="Arial"/>
          <w:sz w:val="22"/>
          <w:szCs w:val="22"/>
          <w:lang w:val="fr-FR"/>
        </w:rPr>
        <w:t xml:space="preserve"> Secrétariat pour faciliter le travail de l</w:t>
      </w:r>
      <w:r w:rsidR="00521B04" w:rsidRPr="009B071E">
        <w:rPr>
          <w:rFonts w:eastAsia="SimSun" w:cs="Arial"/>
          <w:sz w:val="22"/>
          <w:szCs w:val="22"/>
          <w:lang w:val="fr-FR"/>
        </w:rPr>
        <w:t>’</w:t>
      </w:r>
      <w:r w:rsidR="00FB7698" w:rsidRPr="009B071E">
        <w:rPr>
          <w:rFonts w:eastAsia="SimSun" w:cs="Arial"/>
          <w:sz w:val="22"/>
          <w:szCs w:val="22"/>
          <w:lang w:val="fr-FR"/>
        </w:rPr>
        <w:t>Organe d</w:t>
      </w:r>
      <w:r w:rsidR="00521B04" w:rsidRPr="009B071E">
        <w:rPr>
          <w:rFonts w:eastAsia="SimSun" w:cs="Arial"/>
          <w:sz w:val="22"/>
          <w:szCs w:val="22"/>
          <w:lang w:val="fr-FR"/>
        </w:rPr>
        <w:t>’</w:t>
      </w:r>
      <w:r w:rsidR="00FB7698" w:rsidRPr="009B071E">
        <w:rPr>
          <w:rFonts w:eastAsia="SimSun" w:cs="Arial"/>
          <w:sz w:val="22"/>
          <w:szCs w:val="22"/>
          <w:lang w:val="fr-FR"/>
        </w:rPr>
        <w:t>évaluation, qui a assuré une transition après l</w:t>
      </w:r>
      <w:r w:rsidR="00521B04" w:rsidRPr="009B071E">
        <w:rPr>
          <w:rFonts w:eastAsia="SimSun" w:cs="Arial"/>
          <w:sz w:val="22"/>
          <w:szCs w:val="22"/>
          <w:lang w:val="fr-FR"/>
        </w:rPr>
        <w:t>’</w:t>
      </w:r>
      <w:r w:rsidR="00FB7698" w:rsidRPr="009B071E">
        <w:rPr>
          <w:rFonts w:eastAsia="SimSun" w:cs="Arial"/>
          <w:sz w:val="22"/>
          <w:szCs w:val="22"/>
          <w:lang w:val="fr-FR"/>
        </w:rPr>
        <w:t>achèvement</w:t>
      </w:r>
      <w:r w:rsidR="0013254E" w:rsidRPr="009B071E">
        <w:rPr>
          <w:rFonts w:eastAsia="SimSun" w:cs="Arial"/>
          <w:sz w:val="22"/>
          <w:szCs w:val="22"/>
          <w:lang w:val="fr-FR"/>
        </w:rPr>
        <w:t xml:space="preserve"> en juillet 2022</w:t>
      </w:r>
      <w:r w:rsidR="00FB7698" w:rsidRPr="009B071E">
        <w:rPr>
          <w:rFonts w:eastAsia="SimSun" w:cs="Arial"/>
          <w:sz w:val="22"/>
          <w:szCs w:val="22"/>
          <w:lang w:val="fr-FR"/>
        </w:rPr>
        <w:t xml:space="preserve"> de la réflexion globale sur les mécanismes d</w:t>
      </w:r>
      <w:r w:rsidR="00521B04" w:rsidRPr="009B071E">
        <w:rPr>
          <w:rFonts w:eastAsia="SimSun" w:cs="Arial"/>
          <w:sz w:val="22"/>
          <w:szCs w:val="22"/>
          <w:lang w:val="fr-FR"/>
        </w:rPr>
        <w:t>’</w:t>
      </w:r>
      <w:r w:rsidR="00FB7698" w:rsidRPr="009B071E">
        <w:rPr>
          <w:rFonts w:eastAsia="SimSun" w:cs="Arial"/>
          <w:sz w:val="22"/>
          <w:szCs w:val="22"/>
          <w:lang w:val="fr-FR"/>
        </w:rPr>
        <w:t>inscription sur les Listes de la Convention ;</w:t>
      </w:r>
    </w:p>
    <w:p w14:paraId="789C1156" w14:textId="609C4805" w:rsidR="00111BBC" w:rsidRPr="00733122" w:rsidRDefault="006D370C" w:rsidP="00EE7969">
      <w:pPr>
        <w:numPr>
          <w:ilvl w:val="0"/>
          <w:numId w:val="5"/>
        </w:numPr>
        <w:spacing w:after="120"/>
        <w:ind w:left="1134" w:hanging="567"/>
        <w:jc w:val="both"/>
        <w:rPr>
          <w:rFonts w:eastAsia="SimSun" w:cs="Arial"/>
          <w:sz w:val="22"/>
          <w:szCs w:val="22"/>
          <w:u w:val="single"/>
          <w:lang w:val="fr-FR"/>
        </w:rPr>
      </w:pPr>
      <w:r w:rsidRPr="009B071E">
        <w:rPr>
          <w:rFonts w:eastAsia="SimSun" w:cs="Arial"/>
          <w:sz w:val="22"/>
          <w:szCs w:val="22"/>
          <w:u w:val="single"/>
          <w:lang w:val="fr-FR"/>
        </w:rPr>
        <w:t>Reconnaît</w:t>
      </w:r>
      <w:r w:rsidRPr="009B071E">
        <w:rPr>
          <w:rFonts w:eastAsia="SimSun" w:cs="Arial"/>
          <w:sz w:val="22"/>
          <w:szCs w:val="22"/>
          <w:lang w:val="fr-FR"/>
        </w:rPr>
        <w:t xml:space="preserve"> la nécessité de </w:t>
      </w:r>
      <w:r w:rsidR="00106CE5" w:rsidRPr="009B071E">
        <w:rPr>
          <w:rFonts w:eastAsia="SimSun" w:cs="Arial"/>
          <w:sz w:val="22"/>
          <w:szCs w:val="22"/>
          <w:lang w:val="fr-FR"/>
        </w:rPr>
        <w:t xml:space="preserve">réaliser le suivi de </w:t>
      </w:r>
      <w:r w:rsidRPr="009B071E">
        <w:rPr>
          <w:rFonts w:eastAsia="SimSun" w:cs="Arial"/>
          <w:sz w:val="22"/>
          <w:szCs w:val="22"/>
          <w:lang w:val="fr-FR"/>
        </w:rPr>
        <w:t>la mise en œuvre des résultats de la réflexion globale sur les mécanismes d</w:t>
      </w:r>
      <w:r w:rsidR="00521B04" w:rsidRPr="009B071E">
        <w:rPr>
          <w:rFonts w:eastAsia="SimSun" w:cs="Arial"/>
          <w:sz w:val="22"/>
          <w:szCs w:val="22"/>
          <w:lang w:val="fr-FR"/>
        </w:rPr>
        <w:t>’</w:t>
      </w:r>
      <w:r w:rsidRPr="009B071E">
        <w:rPr>
          <w:rFonts w:eastAsia="SimSun" w:cs="Arial"/>
          <w:sz w:val="22"/>
          <w:szCs w:val="22"/>
          <w:lang w:val="fr-FR"/>
        </w:rPr>
        <w:t>inscription sur les Listes de la Convention, y compris les tâches supplémentaires confiées à l</w:t>
      </w:r>
      <w:r w:rsidR="00521B04" w:rsidRPr="009B071E">
        <w:rPr>
          <w:rFonts w:eastAsia="SimSun" w:cs="Arial"/>
          <w:sz w:val="22"/>
          <w:szCs w:val="22"/>
          <w:lang w:val="fr-FR"/>
        </w:rPr>
        <w:t>’</w:t>
      </w:r>
      <w:r w:rsidRPr="009B071E">
        <w:rPr>
          <w:rFonts w:eastAsia="SimSun" w:cs="Arial"/>
          <w:sz w:val="22"/>
          <w:szCs w:val="22"/>
          <w:lang w:val="fr-FR"/>
        </w:rPr>
        <w:t>Organe d</w:t>
      </w:r>
      <w:r w:rsidR="00521B04" w:rsidRPr="009B071E">
        <w:rPr>
          <w:rFonts w:eastAsia="SimSun" w:cs="Arial"/>
          <w:sz w:val="22"/>
          <w:szCs w:val="22"/>
          <w:lang w:val="fr-FR"/>
        </w:rPr>
        <w:t>’</w:t>
      </w:r>
      <w:r w:rsidRPr="009B071E">
        <w:rPr>
          <w:rFonts w:eastAsia="SimSun" w:cs="Arial"/>
          <w:sz w:val="22"/>
          <w:szCs w:val="22"/>
          <w:lang w:val="fr-FR"/>
        </w:rPr>
        <w:t>évaluation ;</w:t>
      </w:r>
    </w:p>
    <w:p w14:paraId="374D332A" w14:textId="50FF4786" w:rsidR="00733122" w:rsidRPr="00316B7B" w:rsidRDefault="00733122" w:rsidP="00EE7969">
      <w:pPr>
        <w:numPr>
          <w:ilvl w:val="0"/>
          <w:numId w:val="5"/>
        </w:numPr>
        <w:spacing w:after="120"/>
        <w:ind w:left="1134" w:hanging="567"/>
        <w:jc w:val="both"/>
        <w:rPr>
          <w:rFonts w:eastAsia="SimSun" w:cs="Arial"/>
          <w:sz w:val="22"/>
          <w:szCs w:val="22"/>
          <w:u w:val="single"/>
          <w:lang w:val="fr-FR"/>
        </w:rPr>
      </w:pPr>
      <w:r w:rsidRPr="00316B7B">
        <w:rPr>
          <w:rFonts w:eastAsia="SimSun" w:cs="Arial"/>
          <w:sz w:val="22"/>
          <w:szCs w:val="22"/>
          <w:u w:val="single"/>
          <w:lang w:val="fr-FR"/>
        </w:rPr>
        <w:t>Reconnaît avec satisfaction</w:t>
      </w:r>
      <w:r w:rsidRPr="00316B7B">
        <w:rPr>
          <w:rFonts w:eastAsia="SimSun" w:cs="Arial"/>
          <w:sz w:val="22"/>
          <w:szCs w:val="22"/>
          <w:lang w:val="fr-FR"/>
        </w:rPr>
        <w:t xml:space="preserve"> que tous les dossiers présentés au Comité dans ce cycle sont recommandés par l’Organe d’évaluation pour inscription, sélection ou approbation, </w:t>
      </w:r>
      <w:r w:rsidRPr="00316B7B">
        <w:rPr>
          <w:rFonts w:eastAsia="SimSun" w:cs="Arial"/>
          <w:sz w:val="22"/>
          <w:szCs w:val="22"/>
          <w:u w:val="single"/>
          <w:lang w:val="fr-FR"/>
        </w:rPr>
        <w:t>considère</w:t>
      </w:r>
      <w:r w:rsidRPr="00316B7B">
        <w:rPr>
          <w:rFonts w:eastAsia="SimSun" w:cs="Arial"/>
          <w:sz w:val="22"/>
          <w:szCs w:val="22"/>
          <w:lang w:val="fr-FR"/>
        </w:rPr>
        <w:t xml:space="preserve"> qu’un résultat aussi largement positif indique une direction prometteuse pour la mise en œuvre actuelle et future des mécanismes d’inscription sur les </w:t>
      </w:r>
      <w:r w:rsidR="0009572C" w:rsidRPr="00316B7B">
        <w:rPr>
          <w:rFonts w:eastAsia="SimSun" w:cs="Arial"/>
          <w:sz w:val="22"/>
          <w:szCs w:val="22"/>
          <w:lang w:val="fr-FR"/>
        </w:rPr>
        <w:t>L</w:t>
      </w:r>
      <w:r w:rsidRPr="00316B7B">
        <w:rPr>
          <w:rFonts w:eastAsia="SimSun" w:cs="Arial"/>
          <w:sz w:val="22"/>
          <w:szCs w:val="22"/>
          <w:lang w:val="fr-FR"/>
        </w:rPr>
        <w:t xml:space="preserve">istes de la Convention et, en même temps, </w:t>
      </w:r>
      <w:r w:rsidRPr="00316B7B">
        <w:rPr>
          <w:rFonts w:eastAsia="SimSun" w:cs="Arial"/>
          <w:sz w:val="22"/>
          <w:szCs w:val="22"/>
          <w:u w:val="single"/>
          <w:lang w:val="fr-FR"/>
        </w:rPr>
        <w:t>invite</w:t>
      </w:r>
      <w:r w:rsidRPr="00316B7B">
        <w:rPr>
          <w:rFonts w:eastAsia="SimSun" w:cs="Arial"/>
          <w:sz w:val="22"/>
          <w:szCs w:val="22"/>
          <w:lang w:val="fr-FR"/>
        </w:rPr>
        <w:t xml:space="preserve"> tous les États soumissionnaires à prendre soigneusement note des conseils donnés par l’Organe d’évaluation sur chaque candidature ainsi que des questions transversales, y compris celles soulevées dans ses décisions antérieures, comme le résument les paragraphes 35 et 37 du présent rapport ;</w:t>
      </w:r>
    </w:p>
    <w:p w14:paraId="57D6B846" w14:textId="25A02C2B" w:rsidR="00B240FA" w:rsidRPr="009B071E" w:rsidRDefault="00FC521D" w:rsidP="00B240FA">
      <w:pPr>
        <w:numPr>
          <w:ilvl w:val="0"/>
          <w:numId w:val="5"/>
        </w:numPr>
        <w:spacing w:after="120"/>
        <w:ind w:left="1134" w:hanging="567"/>
        <w:jc w:val="both"/>
        <w:rPr>
          <w:rFonts w:eastAsia="SimSun" w:cs="Arial"/>
          <w:sz w:val="22"/>
          <w:szCs w:val="22"/>
          <w:lang w:val="fr-FR"/>
        </w:rPr>
      </w:pPr>
      <w:r w:rsidRPr="009B071E">
        <w:rPr>
          <w:rFonts w:eastAsia="SimSun" w:cs="Arial"/>
          <w:sz w:val="22"/>
          <w:szCs w:val="22"/>
          <w:u w:val="single"/>
          <w:lang w:val="fr-FR"/>
        </w:rPr>
        <w:t>Félicite</w:t>
      </w:r>
      <w:r w:rsidRPr="009B071E">
        <w:rPr>
          <w:rFonts w:eastAsia="SimSun" w:cs="Arial"/>
          <w:sz w:val="22"/>
          <w:szCs w:val="22"/>
          <w:lang w:val="fr-FR"/>
        </w:rPr>
        <w:t xml:space="preserve"> les États soumissionnaires qui ont présenté des candidatures qui pourraient servir de bons exemples pour de futures candidatures et </w:t>
      </w:r>
      <w:r w:rsidRPr="009B071E">
        <w:rPr>
          <w:rFonts w:eastAsia="SimSun" w:cs="Arial"/>
          <w:sz w:val="22"/>
          <w:szCs w:val="22"/>
          <w:u w:val="single"/>
          <w:lang w:val="fr-FR"/>
        </w:rPr>
        <w:t>note avec satisfaction</w:t>
      </w:r>
      <w:r w:rsidRPr="009B071E">
        <w:rPr>
          <w:rFonts w:eastAsia="SimSun" w:cs="Arial"/>
          <w:sz w:val="22"/>
          <w:szCs w:val="22"/>
          <w:lang w:val="fr-FR"/>
        </w:rPr>
        <w:t xml:space="preserve"> le plus grand équilibre géographique et la représentation régionale parmi ces dossiers ;</w:t>
      </w:r>
    </w:p>
    <w:p w14:paraId="152E5D1F" w14:textId="0F36654D" w:rsidR="00983D9E" w:rsidRPr="009B071E" w:rsidRDefault="00983D9E" w:rsidP="00897BD9">
      <w:pPr>
        <w:keepLines/>
        <w:numPr>
          <w:ilvl w:val="0"/>
          <w:numId w:val="5"/>
        </w:numPr>
        <w:spacing w:after="120"/>
        <w:ind w:left="1134" w:hanging="567"/>
        <w:jc w:val="both"/>
        <w:rPr>
          <w:sz w:val="22"/>
          <w:szCs w:val="22"/>
          <w:lang w:val="fr-FR"/>
        </w:rPr>
      </w:pPr>
      <w:r w:rsidRPr="009B071E">
        <w:rPr>
          <w:sz w:val="22"/>
          <w:szCs w:val="22"/>
          <w:u w:val="single"/>
          <w:lang w:val="fr-FR"/>
        </w:rPr>
        <w:t>Rappelle</w:t>
      </w:r>
      <w:r w:rsidRPr="009B071E">
        <w:rPr>
          <w:sz w:val="22"/>
          <w:szCs w:val="22"/>
          <w:lang w:val="fr-FR"/>
        </w:rPr>
        <w:t xml:space="preserve"> que les désignations employées dans les textes et documents présentés par les États parties soumissionnaires n</w:t>
      </w:r>
      <w:r w:rsidR="00521B04" w:rsidRPr="009B071E">
        <w:rPr>
          <w:sz w:val="22"/>
          <w:szCs w:val="22"/>
          <w:lang w:val="fr-FR"/>
        </w:rPr>
        <w:t>’</w:t>
      </w:r>
      <w:r w:rsidRPr="009B071E">
        <w:rPr>
          <w:sz w:val="22"/>
          <w:szCs w:val="22"/>
          <w:lang w:val="fr-FR"/>
        </w:rPr>
        <w:t>impliquent l</w:t>
      </w:r>
      <w:r w:rsidR="00521B04" w:rsidRPr="009B071E">
        <w:rPr>
          <w:sz w:val="22"/>
          <w:szCs w:val="22"/>
          <w:lang w:val="fr-FR"/>
        </w:rPr>
        <w:t>’</w:t>
      </w:r>
      <w:r w:rsidRPr="009B071E">
        <w:rPr>
          <w:sz w:val="22"/>
          <w:szCs w:val="22"/>
          <w:lang w:val="fr-FR"/>
        </w:rPr>
        <w:t>expression d</w:t>
      </w:r>
      <w:r w:rsidR="00521B04" w:rsidRPr="009B071E">
        <w:rPr>
          <w:sz w:val="22"/>
          <w:szCs w:val="22"/>
          <w:lang w:val="fr-FR"/>
        </w:rPr>
        <w:t>’</w:t>
      </w:r>
      <w:r w:rsidRPr="009B071E">
        <w:rPr>
          <w:sz w:val="22"/>
          <w:szCs w:val="22"/>
          <w:lang w:val="fr-FR"/>
        </w:rPr>
        <w:t>aucune opinion de la part du Comité ou de l</w:t>
      </w:r>
      <w:r w:rsidR="00521B04" w:rsidRPr="009B071E">
        <w:rPr>
          <w:sz w:val="22"/>
          <w:szCs w:val="22"/>
          <w:lang w:val="fr-FR"/>
        </w:rPr>
        <w:t>’</w:t>
      </w:r>
      <w:r w:rsidRPr="009B071E">
        <w:rPr>
          <w:sz w:val="22"/>
          <w:szCs w:val="22"/>
          <w:lang w:val="fr-FR"/>
        </w:rPr>
        <w:t xml:space="preserve">UNESCO concernant a) le statut juridique de tout pays, territoire, ville ou </w:t>
      </w:r>
      <w:r w:rsidR="00F215A7" w:rsidRPr="009B071E">
        <w:rPr>
          <w:sz w:val="22"/>
          <w:szCs w:val="22"/>
          <w:lang w:val="fr-FR"/>
        </w:rPr>
        <w:t>région</w:t>
      </w:r>
      <w:r w:rsidRPr="009B071E">
        <w:rPr>
          <w:sz w:val="22"/>
          <w:szCs w:val="22"/>
          <w:lang w:val="fr-FR"/>
        </w:rPr>
        <w:t>, b) le statut juridique de ses autorités ou c) la délimitation de ses frontières ou limites ;</w:t>
      </w:r>
    </w:p>
    <w:p w14:paraId="10BBA200" w14:textId="77777777" w:rsidR="00EB0145" w:rsidRPr="009B071E" w:rsidRDefault="00EB0145" w:rsidP="00EB0145">
      <w:pPr>
        <w:spacing w:after="120"/>
        <w:ind w:left="567"/>
        <w:jc w:val="both"/>
        <w:rPr>
          <w:rFonts w:eastAsia="SimSun" w:cs="Arial"/>
          <w:b/>
          <w:bCs/>
          <w:sz w:val="22"/>
          <w:szCs w:val="22"/>
          <w:lang w:val="fr-FR"/>
        </w:rPr>
      </w:pPr>
      <w:r w:rsidRPr="009B071E">
        <w:rPr>
          <w:rFonts w:eastAsia="SimSun" w:cs="Arial"/>
          <w:b/>
          <w:bCs/>
          <w:sz w:val="22"/>
          <w:szCs w:val="22"/>
          <w:lang w:val="fr-FR"/>
        </w:rPr>
        <w:t>Soutien aux États parties</w:t>
      </w:r>
    </w:p>
    <w:p w14:paraId="33C20B8A" w14:textId="7F8C7FF2" w:rsidR="00EB0145" w:rsidRPr="009B071E" w:rsidRDefault="00EB0145" w:rsidP="00EB0145">
      <w:pPr>
        <w:numPr>
          <w:ilvl w:val="0"/>
          <w:numId w:val="5"/>
        </w:numPr>
        <w:spacing w:after="120"/>
        <w:ind w:left="1134" w:hanging="567"/>
        <w:jc w:val="both"/>
        <w:rPr>
          <w:rFonts w:eastAsia="SimSun" w:cs="Arial"/>
          <w:sz w:val="22"/>
          <w:szCs w:val="22"/>
          <w:lang w:val="fr-FR"/>
        </w:rPr>
      </w:pPr>
      <w:r w:rsidRPr="009B071E">
        <w:rPr>
          <w:rFonts w:eastAsia="SimSun" w:cs="Arial"/>
          <w:sz w:val="22"/>
          <w:szCs w:val="22"/>
          <w:u w:val="single"/>
          <w:lang w:val="fr-FR"/>
        </w:rPr>
        <w:t>Apprécie</w:t>
      </w:r>
      <w:r w:rsidRPr="009B071E">
        <w:rPr>
          <w:rFonts w:eastAsia="SimSun" w:cs="Arial"/>
          <w:sz w:val="22"/>
          <w:szCs w:val="22"/>
          <w:lang w:val="fr-FR"/>
        </w:rPr>
        <w:t xml:space="preserve"> les efforts de l</w:t>
      </w:r>
      <w:r w:rsidR="00521B04" w:rsidRPr="009B071E">
        <w:rPr>
          <w:rFonts w:eastAsia="SimSun" w:cs="Arial"/>
          <w:sz w:val="22"/>
          <w:szCs w:val="22"/>
          <w:lang w:val="fr-FR"/>
        </w:rPr>
        <w:t>’</w:t>
      </w:r>
      <w:r w:rsidRPr="009B071E">
        <w:rPr>
          <w:rFonts w:eastAsia="SimSun" w:cs="Arial"/>
          <w:sz w:val="22"/>
          <w:szCs w:val="22"/>
          <w:lang w:val="fr-FR"/>
        </w:rPr>
        <w:t>Organe d</w:t>
      </w:r>
      <w:r w:rsidR="00521B04" w:rsidRPr="009B071E">
        <w:rPr>
          <w:rFonts w:eastAsia="SimSun" w:cs="Arial"/>
          <w:sz w:val="22"/>
          <w:szCs w:val="22"/>
          <w:lang w:val="fr-FR"/>
        </w:rPr>
        <w:t>’</w:t>
      </w:r>
      <w:r w:rsidRPr="009B071E">
        <w:rPr>
          <w:rFonts w:eastAsia="SimSun" w:cs="Arial"/>
          <w:sz w:val="22"/>
          <w:szCs w:val="22"/>
          <w:lang w:val="fr-FR"/>
        </w:rPr>
        <w:t>évaluation dans l</w:t>
      </w:r>
      <w:r w:rsidR="00521B04" w:rsidRPr="009B071E">
        <w:rPr>
          <w:rFonts w:eastAsia="SimSun" w:cs="Arial"/>
          <w:sz w:val="22"/>
          <w:szCs w:val="22"/>
          <w:lang w:val="fr-FR"/>
        </w:rPr>
        <w:t>’</w:t>
      </w:r>
      <w:r w:rsidRPr="009B071E">
        <w:rPr>
          <w:rFonts w:eastAsia="SimSun" w:cs="Arial"/>
          <w:sz w:val="22"/>
          <w:szCs w:val="22"/>
          <w:lang w:val="fr-FR"/>
        </w:rPr>
        <w:t xml:space="preserve">utilisation </w:t>
      </w:r>
      <w:proofErr w:type="gramStart"/>
      <w:r w:rsidRPr="009B071E">
        <w:rPr>
          <w:rFonts w:eastAsia="SimSun" w:cs="Arial"/>
          <w:sz w:val="22"/>
          <w:szCs w:val="22"/>
          <w:lang w:val="fr-FR"/>
        </w:rPr>
        <w:t>la plus large possible</w:t>
      </w:r>
      <w:proofErr w:type="gramEnd"/>
      <w:r w:rsidRPr="009B071E">
        <w:rPr>
          <w:rFonts w:eastAsia="SimSun" w:cs="Arial"/>
          <w:sz w:val="22"/>
          <w:szCs w:val="22"/>
          <w:lang w:val="fr-FR"/>
        </w:rPr>
        <w:t xml:space="preserve"> </w:t>
      </w:r>
      <w:r w:rsidR="00BB73B1" w:rsidRPr="009B071E">
        <w:rPr>
          <w:rFonts w:eastAsia="SimSun" w:cs="Arial"/>
          <w:sz w:val="22"/>
          <w:szCs w:val="22"/>
          <w:lang w:val="fr-FR"/>
        </w:rPr>
        <w:t>du processus</w:t>
      </w:r>
      <w:r w:rsidRPr="009B071E">
        <w:rPr>
          <w:rFonts w:eastAsia="SimSun" w:cs="Arial"/>
          <w:sz w:val="22"/>
          <w:szCs w:val="22"/>
          <w:lang w:val="fr-FR"/>
        </w:rPr>
        <w:t xml:space="preserve"> de dialogue, contribuant </w:t>
      </w:r>
      <w:r w:rsidR="00BB73B1" w:rsidRPr="009B071E">
        <w:rPr>
          <w:rFonts w:eastAsia="SimSun" w:cs="Arial"/>
          <w:sz w:val="22"/>
          <w:szCs w:val="22"/>
          <w:lang w:val="fr-FR"/>
        </w:rPr>
        <w:t xml:space="preserve">ainsi </w:t>
      </w:r>
      <w:r w:rsidRPr="009B071E">
        <w:rPr>
          <w:rFonts w:eastAsia="SimSun" w:cs="Arial"/>
          <w:sz w:val="22"/>
          <w:szCs w:val="22"/>
          <w:lang w:val="fr-FR"/>
        </w:rPr>
        <w:t xml:space="preserve">à atteindre un meilleur équilibre géographique dans les </w:t>
      </w:r>
      <w:r w:rsidR="00BB73B1" w:rsidRPr="009B071E">
        <w:rPr>
          <w:rFonts w:eastAsia="SimSun" w:cs="Arial"/>
          <w:sz w:val="22"/>
          <w:szCs w:val="22"/>
          <w:lang w:val="fr-FR"/>
        </w:rPr>
        <w:t>L</w:t>
      </w:r>
      <w:r w:rsidRPr="009B071E">
        <w:rPr>
          <w:rFonts w:eastAsia="SimSun" w:cs="Arial"/>
          <w:sz w:val="22"/>
          <w:szCs w:val="22"/>
          <w:lang w:val="fr-FR"/>
        </w:rPr>
        <w:t xml:space="preserve">istes et le Registre de la Convention, et </w:t>
      </w:r>
      <w:r w:rsidRPr="009B071E">
        <w:rPr>
          <w:rFonts w:eastAsia="SimSun" w:cs="Arial"/>
          <w:sz w:val="22"/>
          <w:szCs w:val="22"/>
          <w:u w:val="single"/>
          <w:lang w:val="fr-FR"/>
        </w:rPr>
        <w:t>encourage</w:t>
      </w:r>
      <w:r w:rsidRPr="009B071E">
        <w:rPr>
          <w:rFonts w:eastAsia="SimSun" w:cs="Arial"/>
          <w:sz w:val="22"/>
          <w:szCs w:val="22"/>
          <w:lang w:val="fr-FR"/>
        </w:rPr>
        <w:t xml:space="preserve"> l</w:t>
      </w:r>
      <w:r w:rsidR="00521B04" w:rsidRPr="009B071E">
        <w:rPr>
          <w:rFonts w:eastAsia="SimSun" w:cs="Arial"/>
          <w:sz w:val="22"/>
          <w:szCs w:val="22"/>
          <w:lang w:val="fr-FR"/>
        </w:rPr>
        <w:t>’</w:t>
      </w:r>
      <w:r w:rsidRPr="009B071E">
        <w:rPr>
          <w:rFonts w:eastAsia="SimSun" w:cs="Arial"/>
          <w:sz w:val="22"/>
          <w:szCs w:val="22"/>
          <w:lang w:val="fr-FR"/>
        </w:rPr>
        <w:t>Organe d</w:t>
      </w:r>
      <w:r w:rsidR="00521B04" w:rsidRPr="009B071E">
        <w:rPr>
          <w:rFonts w:eastAsia="SimSun" w:cs="Arial"/>
          <w:sz w:val="22"/>
          <w:szCs w:val="22"/>
          <w:lang w:val="fr-FR"/>
        </w:rPr>
        <w:t>’</w:t>
      </w:r>
      <w:r w:rsidRPr="009B071E">
        <w:rPr>
          <w:rFonts w:eastAsia="SimSun" w:cs="Arial"/>
          <w:sz w:val="22"/>
          <w:szCs w:val="22"/>
          <w:lang w:val="fr-FR"/>
        </w:rPr>
        <w:t>évaluation à continuer à utiliser ce processus dans les cycles futurs ;</w:t>
      </w:r>
    </w:p>
    <w:p w14:paraId="09428457" w14:textId="6A8478A5" w:rsidR="00EB0145" w:rsidRPr="009B071E" w:rsidRDefault="00EB0145" w:rsidP="00EB0145">
      <w:pPr>
        <w:numPr>
          <w:ilvl w:val="0"/>
          <w:numId w:val="5"/>
        </w:numPr>
        <w:spacing w:after="120"/>
        <w:ind w:left="1134" w:hanging="567"/>
        <w:jc w:val="both"/>
        <w:rPr>
          <w:rFonts w:eastAsia="SimSun" w:cs="Arial"/>
          <w:sz w:val="22"/>
          <w:szCs w:val="22"/>
          <w:lang w:val="fr-FR"/>
        </w:rPr>
      </w:pPr>
      <w:r w:rsidRPr="009B071E">
        <w:rPr>
          <w:rFonts w:eastAsia="SimSun" w:cs="Arial"/>
          <w:sz w:val="22"/>
          <w:szCs w:val="22"/>
          <w:u w:val="single"/>
          <w:lang w:val="fr-FR"/>
        </w:rPr>
        <w:t>Invite</w:t>
      </w:r>
      <w:r w:rsidRPr="009B071E">
        <w:rPr>
          <w:rFonts w:eastAsia="SimSun" w:cs="Arial"/>
          <w:sz w:val="22"/>
          <w:szCs w:val="22"/>
          <w:lang w:val="fr-FR"/>
        </w:rPr>
        <w:t xml:space="preserve"> les États parties, en particulier ceux qui n</w:t>
      </w:r>
      <w:r w:rsidR="00521B04" w:rsidRPr="009B071E">
        <w:rPr>
          <w:rFonts w:eastAsia="SimSun" w:cs="Arial"/>
          <w:sz w:val="22"/>
          <w:szCs w:val="22"/>
          <w:lang w:val="fr-FR"/>
        </w:rPr>
        <w:t>’</w:t>
      </w:r>
      <w:r w:rsidRPr="009B071E">
        <w:rPr>
          <w:rFonts w:eastAsia="SimSun" w:cs="Arial"/>
          <w:sz w:val="22"/>
          <w:szCs w:val="22"/>
          <w:lang w:val="fr-FR"/>
        </w:rPr>
        <w:t xml:space="preserve">ont pas </w:t>
      </w:r>
      <w:r w:rsidR="00B20619" w:rsidRPr="009B071E">
        <w:rPr>
          <w:rFonts w:eastAsia="SimSun" w:cs="Arial"/>
          <w:sz w:val="22"/>
          <w:szCs w:val="22"/>
          <w:lang w:val="fr-FR"/>
        </w:rPr>
        <w:t>d’inscriptions sur les</w:t>
      </w:r>
      <w:r w:rsidRPr="009B071E">
        <w:rPr>
          <w:rFonts w:eastAsia="SimSun" w:cs="Arial"/>
          <w:sz w:val="22"/>
          <w:szCs w:val="22"/>
          <w:lang w:val="fr-FR"/>
        </w:rPr>
        <w:t xml:space="preserve"> Listes et Registre de la Convention, à envisager de recourir à l</w:t>
      </w:r>
      <w:r w:rsidR="00521B04" w:rsidRPr="009B071E">
        <w:rPr>
          <w:rFonts w:eastAsia="SimSun" w:cs="Arial"/>
          <w:sz w:val="22"/>
          <w:szCs w:val="22"/>
          <w:lang w:val="fr-FR"/>
        </w:rPr>
        <w:t>’</w:t>
      </w:r>
      <w:r w:rsidRPr="009B071E">
        <w:rPr>
          <w:rFonts w:eastAsia="SimSun" w:cs="Arial"/>
          <w:sz w:val="22"/>
          <w:szCs w:val="22"/>
          <w:lang w:val="fr-FR"/>
        </w:rPr>
        <w:t xml:space="preserve">assistance préparatoire prévue par le </w:t>
      </w:r>
      <w:r w:rsidR="00C57D79" w:rsidRPr="009B071E">
        <w:rPr>
          <w:rFonts w:eastAsia="SimSun" w:cs="Arial"/>
          <w:sz w:val="22"/>
          <w:szCs w:val="22"/>
          <w:lang w:val="fr-FR"/>
        </w:rPr>
        <w:t>m</w:t>
      </w:r>
      <w:r w:rsidRPr="009B071E">
        <w:rPr>
          <w:rFonts w:eastAsia="SimSun" w:cs="Arial"/>
          <w:sz w:val="22"/>
          <w:szCs w:val="22"/>
          <w:lang w:val="fr-FR"/>
        </w:rPr>
        <w:t>écanisme d</w:t>
      </w:r>
      <w:r w:rsidR="00521B04" w:rsidRPr="009B071E">
        <w:rPr>
          <w:rFonts w:eastAsia="SimSun" w:cs="Arial"/>
          <w:sz w:val="22"/>
          <w:szCs w:val="22"/>
          <w:lang w:val="fr-FR"/>
        </w:rPr>
        <w:t>’</w:t>
      </w:r>
      <w:r w:rsidRPr="009B071E">
        <w:rPr>
          <w:rFonts w:eastAsia="SimSun" w:cs="Arial"/>
          <w:sz w:val="22"/>
          <w:szCs w:val="22"/>
          <w:lang w:val="fr-FR"/>
        </w:rPr>
        <w:t xml:space="preserve">assistance internationale de la Convention, en </w:t>
      </w:r>
      <w:r w:rsidR="00106CE5" w:rsidRPr="009B071E">
        <w:rPr>
          <w:rFonts w:eastAsia="SimSun" w:cs="Arial"/>
          <w:sz w:val="22"/>
          <w:szCs w:val="22"/>
          <w:lang w:val="fr-FR"/>
        </w:rPr>
        <w:t>référence</w:t>
      </w:r>
      <w:r w:rsidRPr="009B071E">
        <w:rPr>
          <w:rFonts w:eastAsia="SimSun" w:cs="Arial"/>
          <w:sz w:val="22"/>
          <w:szCs w:val="22"/>
          <w:lang w:val="fr-FR"/>
        </w:rPr>
        <w:t xml:space="preserve"> aux paragraphes 21 et 22 des Directives opérationnelles</w:t>
      </w:r>
      <w:r w:rsidR="00C57D79" w:rsidRPr="009B071E">
        <w:rPr>
          <w:rFonts w:eastAsia="SimSun" w:cs="Arial"/>
          <w:sz w:val="22"/>
          <w:szCs w:val="22"/>
          <w:lang w:val="fr-FR"/>
        </w:rPr>
        <w:t> ;</w:t>
      </w:r>
    </w:p>
    <w:p w14:paraId="2C8E6226" w14:textId="2B1B36B7" w:rsidR="00FC521D" w:rsidRPr="009B071E" w:rsidRDefault="00392D00" w:rsidP="00B0126E">
      <w:pPr>
        <w:spacing w:after="120"/>
        <w:ind w:left="567"/>
        <w:jc w:val="both"/>
        <w:rPr>
          <w:rFonts w:eastAsia="SimSun" w:cs="Arial"/>
          <w:b/>
          <w:bCs/>
          <w:sz w:val="22"/>
          <w:szCs w:val="22"/>
          <w:lang w:val="fr-FR"/>
        </w:rPr>
      </w:pPr>
      <w:r w:rsidRPr="009B071E">
        <w:rPr>
          <w:rFonts w:eastAsia="SimSun" w:cs="Arial"/>
          <w:b/>
          <w:bCs/>
          <w:sz w:val="22"/>
          <w:szCs w:val="22"/>
          <w:lang w:val="fr-FR"/>
        </w:rPr>
        <w:t>Questions thématiques</w:t>
      </w:r>
    </w:p>
    <w:p w14:paraId="1B7C92F2" w14:textId="4C155C41" w:rsidR="00C71257" w:rsidRPr="009B071E" w:rsidRDefault="00113F7C" w:rsidP="00B0126E">
      <w:pPr>
        <w:numPr>
          <w:ilvl w:val="0"/>
          <w:numId w:val="5"/>
        </w:numPr>
        <w:spacing w:after="120"/>
        <w:ind w:left="1134" w:hanging="567"/>
        <w:jc w:val="both"/>
        <w:rPr>
          <w:rFonts w:eastAsia="SimSun" w:cs="Arial"/>
          <w:sz w:val="22"/>
          <w:szCs w:val="22"/>
          <w:lang w:val="fr-FR"/>
        </w:rPr>
      </w:pPr>
      <w:r w:rsidRPr="009B071E">
        <w:rPr>
          <w:rFonts w:eastAsia="SimSun" w:cs="Arial"/>
          <w:sz w:val="22"/>
          <w:szCs w:val="22"/>
          <w:u w:val="single"/>
          <w:lang w:val="fr-FR"/>
        </w:rPr>
        <w:t>Souligne</w:t>
      </w:r>
      <w:r w:rsidRPr="009B071E">
        <w:rPr>
          <w:rFonts w:eastAsia="SimSun" w:cs="Arial"/>
          <w:sz w:val="22"/>
          <w:szCs w:val="22"/>
          <w:lang w:val="fr-FR"/>
        </w:rPr>
        <w:t xml:space="preserve"> le rôle de la « famille » dans les dossiers du cycle actuel, en particulier celui des femmes, dans la sauvegarde du patrimoine vivant et la transmission des pratiques du patrimoine vivant dans des cadres non formels et dans la vie quotidienne, tout en appréciant l</w:t>
      </w:r>
      <w:r w:rsidR="00521B04" w:rsidRPr="009B071E">
        <w:rPr>
          <w:rFonts w:eastAsia="SimSun" w:cs="Arial"/>
          <w:sz w:val="22"/>
          <w:szCs w:val="22"/>
          <w:lang w:val="fr-FR"/>
        </w:rPr>
        <w:t>’</w:t>
      </w:r>
      <w:r w:rsidRPr="009B071E">
        <w:rPr>
          <w:rFonts w:eastAsia="SimSun" w:cs="Arial"/>
          <w:sz w:val="22"/>
          <w:szCs w:val="22"/>
          <w:lang w:val="fr-FR"/>
        </w:rPr>
        <w:t>analyse d</w:t>
      </w:r>
      <w:r w:rsidR="00521B04" w:rsidRPr="009B071E">
        <w:rPr>
          <w:rFonts w:eastAsia="SimSun" w:cs="Arial"/>
          <w:sz w:val="22"/>
          <w:szCs w:val="22"/>
          <w:lang w:val="fr-FR"/>
        </w:rPr>
        <w:t>’</w:t>
      </w:r>
      <w:r w:rsidRPr="009B071E">
        <w:rPr>
          <w:rFonts w:eastAsia="SimSun" w:cs="Arial"/>
          <w:sz w:val="22"/>
          <w:szCs w:val="22"/>
          <w:lang w:val="fr-FR"/>
        </w:rPr>
        <w:t>indexation entreprise pour comprendre les liens thématiques entre les éléments proposés afin de caractériser le cycle 2023 ;</w:t>
      </w:r>
    </w:p>
    <w:p w14:paraId="29CDF169" w14:textId="5F9CD1AE" w:rsidR="00B0126E" w:rsidRPr="009B071E" w:rsidRDefault="00106CE5" w:rsidP="00B0126E">
      <w:pPr>
        <w:numPr>
          <w:ilvl w:val="0"/>
          <w:numId w:val="5"/>
        </w:numPr>
        <w:spacing w:after="120"/>
        <w:ind w:left="1134" w:hanging="567"/>
        <w:jc w:val="both"/>
        <w:rPr>
          <w:rFonts w:eastAsia="SimSun" w:cs="Arial"/>
          <w:sz w:val="22"/>
          <w:szCs w:val="22"/>
          <w:lang w:val="fr-FR"/>
        </w:rPr>
      </w:pPr>
      <w:r w:rsidRPr="009B071E">
        <w:rPr>
          <w:rFonts w:eastAsia="SimSun" w:cs="Arial"/>
          <w:sz w:val="22"/>
          <w:szCs w:val="22"/>
          <w:u w:val="single"/>
          <w:lang w:val="fr-FR"/>
        </w:rPr>
        <w:t>Accueille avec satisfaction</w:t>
      </w:r>
      <w:r w:rsidR="00392989" w:rsidRPr="009B071E">
        <w:rPr>
          <w:rFonts w:eastAsia="SimSun" w:cs="Arial"/>
          <w:sz w:val="22"/>
          <w:szCs w:val="22"/>
          <w:lang w:val="fr-FR"/>
        </w:rPr>
        <w:t xml:space="preserve"> </w:t>
      </w:r>
      <w:r w:rsidR="00B20619" w:rsidRPr="009B071E">
        <w:rPr>
          <w:rFonts w:eastAsia="SimSun" w:cs="Arial"/>
          <w:sz w:val="22"/>
          <w:szCs w:val="22"/>
          <w:lang w:val="fr-FR"/>
        </w:rPr>
        <w:t>l’attention continue portée aux liens avec</w:t>
      </w:r>
      <w:r w:rsidR="00392989" w:rsidRPr="009B071E">
        <w:rPr>
          <w:rFonts w:eastAsia="SimSun" w:cs="Arial"/>
          <w:sz w:val="22"/>
          <w:szCs w:val="22"/>
          <w:lang w:val="fr-FR"/>
        </w:rPr>
        <w:t xml:space="preserve"> l</w:t>
      </w:r>
      <w:r w:rsidR="00521B04" w:rsidRPr="009B071E">
        <w:rPr>
          <w:rFonts w:eastAsia="SimSun" w:cs="Arial"/>
          <w:sz w:val="22"/>
          <w:szCs w:val="22"/>
          <w:lang w:val="fr-FR"/>
        </w:rPr>
        <w:t>’</w:t>
      </w:r>
      <w:r w:rsidR="00392989" w:rsidRPr="009B071E">
        <w:rPr>
          <w:rFonts w:eastAsia="SimSun" w:cs="Arial"/>
          <w:sz w:val="22"/>
          <w:szCs w:val="22"/>
          <w:lang w:val="fr-FR"/>
        </w:rPr>
        <w:t xml:space="preserve">environnement et la diversité bioculturelle, et </w:t>
      </w:r>
      <w:r w:rsidR="00392989" w:rsidRPr="009B071E">
        <w:rPr>
          <w:rFonts w:eastAsia="SimSun" w:cs="Arial"/>
          <w:sz w:val="22"/>
          <w:szCs w:val="22"/>
          <w:u w:val="single"/>
          <w:lang w:val="fr-FR"/>
        </w:rPr>
        <w:t>encourage</w:t>
      </w:r>
      <w:r w:rsidR="00392989" w:rsidRPr="009B071E">
        <w:rPr>
          <w:rFonts w:eastAsia="SimSun" w:cs="Arial"/>
          <w:sz w:val="22"/>
          <w:szCs w:val="22"/>
          <w:lang w:val="fr-FR"/>
        </w:rPr>
        <w:t xml:space="preserve"> les États soumissionnaires à prendre en compte tout impact potentiel sur l</w:t>
      </w:r>
      <w:r w:rsidR="00521B04" w:rsidRPr="009B071E">
        <w:rPr>
          <w:rFonts w:eastAsia="SimSun" w:cs="Arial"/>
          <w:sz w:val="22"/>
          <w:szCs w:val="22"/>
          <w:lang w:val="fr-FR"/>
        </w:rPr>
        <w:t>’</w:t>
      </w:r>
      <w:r w:rsidR="00392989" w:rsidRPr="009B071E">
        <w:rPr>
          <w:rFonts w:eastAsia="SimSun" w:cs="Arial"/>
          <w:sz w:val="22"/>
          <w:szCs w:val="22"/>
          <w:lang w:val="fr-FR"/>
        </w:rPr>
        <w:t xml:space="preserve">environnement dans leurs </w:t>
      </w:r>
      <w:r w:rsidR="00B20619" w:rsidRPr="009B071E">
        <w:rPr>
          <w:rFonts w:eastAsia="SimSun" w:cs="Arial"/>
          <w:sz w:val="22"/>
          <w:szCs w:val="22"/>
          <w:lang w:val="fr-FR"/>
        </w:rPr>
        <w:t xml:space="preserve">mesures </w:t>
      </w:r>
      <w:r w:rsidR="00392989" w:rsidRPr="009B071E">
        <w:rPr>
          <w:rFonts w:eastAsia="SimSun" w:cs="Arial"/>
          <w:sz w:val="22"/>
          <w:szCs w:val="22"/>
          <w:lang w:val="fr-FR"/>
        </w:rPr>
        <w:t>de sauvegarde ;</w:t>
      </w:r>
    </w:p>
    <w:p w14:paraId="03B0E460" w14:textId="64E03A2A" w:rsidR="009117E9" w:rsidRPr="009B071E" w:rsidRDefault="009117E9" w:rsidP="00B0126E">
      <w:pPr>
        <w:numPr>
          <w:ilvl w:val="0"/>
          <w:numId w:val="5"/>
        </w:numPr>
        <w:spacing w:after="120"/>
        <w:ind w:left="1134" w:hanging="567"/>
        <w:jc w:val="both"/>
        <w:rPr>
          <w:rFonts w:eastAsia="SimSun" w:cs="Arial"/>
          <w:sz w:val="22"/>
          <w:szCs w:val="22"/>
          <w:lang w:val="fr-FR"/>
        </w:rPr>
      </w:pPr>
      <w:r w:rsidRPr="009B071E">
        <w:rPr>
          <w:rFonts w:eastAsia="SimSun" w:cs="Arial"/>
          <w:sz w:val="22"/>
          <w:szCs w:val="22"/>
          <w:u w:val="single"/>
          <w:lang w:val="fr-FR"/>
        </w:rPr>
        <w:t>Encourage</w:t>
      </w:r>
      <w:r w:rsidRPr="009B071E">
        <w:rPr>
          <w:rFonts w:eastAsia="SimSun" w:cs="Arial"/>
          <w:sz w:val="22"/>
          <w:szCs w:val="22"/>
          <w:lang w:val="fr-FR"/>
        </w:rPr>
        <w:t xml:space="preserve"> les États parties à explorer les moyens, lors de la préparation des candidatures et du suivi après l</w:t>
      </w:r>
      <w:r w:rsidR="00521B04" w:rsidRPr="009B071E">
        <w:rPr>
          <w:rFonts w:eastAsia="SimSun" w:cs="Arial"/>
          <w:sz w:val="22"/>
          <w:szCs w:val="22"/>
          <w:lang w:val="fr-FR"/>
        </w:rPr>
        <w:t>’</w:t>
      </w:r>
      <w:r w:rsidRPr="009B071E">
        <w:rPr>
          <w:rFonts w:eastAsia="SimSun" w:cs="Arial"/>
          <w:sz w:val="22"/>
          <w:szCs w:val="22"/>
          <w:lang w:val="fr-FR"/>
        </w:rPr>
        <w:t>inscription, de maximiser les effets positifs des dimensions économiques des éléments du patrimoine culturel immatériel sur les communautés, les groupes et les individus, tout en atténuant leurs impacts négatifs ;</w:t>
      </w:r>
    </w:p>
    <w:p w14:paraId="00B4955B" w14:textId="696BCD48" w:rsidR="00F306C3" w:rsidRPr="009B071E" w:rsidRDefault="0080675D" w:rsidP="00B0126E">
      <w:pPr>
        <w:numPr>
          <w:ilvl w:val="0"/>
          <w:numId w:val="5"/>
        </w:numPr>
        <w:spacing w:after="120"/>
        <w:ind w:left="1134" w:hanging="567"/>
        <w:jc w:val="both"/>
        <w:rPr>
          <w:rFonts w:eastAsia="SimSun" w:cs="Arial"/>
          <w:sz w:val="22"/>
          <w:szCs w:val="22"/>
          <w:lang w:val="fr-FR"/>
        </w:rPr>
      </w:pPr>
      <w:r w:rsidRPr="009B071E">
        <w:rPr>
          <w:rFonts w:eastAsia="SimSun" w:cs="Arial"/>
          <w:sz w:val="22"/>
          <w:szCs w:val="22"/>
          <w:u w:val="single"/>
          <w:lang w:val="fr-FR"/>
        </w:rPr>
        <w:t>Prend note</w:t>
      </w:r>
      <w:r w:rsidR="00106CE5" w:rsidRPr="009B071E">
        <w:rPr>
          <w:rFonts w:eastAsia="SimSun" w:cs="Arial"/>
          <w:sz w:val="22"/>
          <w:szCs w:val="22"/>
          <w:u w:val="single"/>
          <w:lang w:val="fr-FR"/>
        </w:rPr>
        <w:t xml:space="preserve"> en outre</w:t>
      </w:r>
      <w:r w:rsidRPr="009B071E">
        <w:rPr>
          <w:rFonts w:eastAsia="SimSun" w:cs="Arial"/>
          <w:sz w:val="22"/>
          <w:szCs w:val="22"/>
          <w:lang w:val="fr-FR"/>
        </w:rPr>
        <w:t xml:space="preserve"> qu</w:t>
      </w:r>
      <w:r w:rsidR="00521B04" w:rsidRPr="009B071E">
        <w:rPr>
          <w:rFonts w:eastAsia="SimSun" w:cs="Arial"/>
          <w:sz w:val="22"/>
          <w:szCs w:val="22"/>
          <w:lang w:val="fr-FR"/>
        </w:rPr>
        <w:t>’</w:t>
      </w:r>
      <w:r w:rsidRPr="009B071E">
        <w:rPr>
          <w:rFonts w:eastAsia="SimSun" w:cs="Arial"/>
          <w:sz w:val="22"/>
          <w:szCs w:val="22"/>
          <w:lang w:val="fr-FR"/>
        </w:rPr>
        <w:t xml:space="preserve">un certain nombre de dossiers de ce cycle concernent les communautés migrantes ou nomades </w:t>
      </w:r>
      <w:r w:rsidR="00B20619" w:rsidRPr="009B071E">
        <w:rPr>
          <w:rFonts w:eastAsia="SimSun" w:cs="Arial"/>
          <w:sz w:val="22"/>
          <w:szCs w:val="22"/>
          <w:lang w:val="fr-FR"/>
        </w:rPr>
        <w:t xml:space="preserve">ainsi que </w:t>
      </w:r>
      <w:r w:rsidRPr="009B071E">
        <w:rPr>
          <w:rFonts w:eastAsia="SimSun" w:cs="Arial"/>
          <w:sz w:val="22"/>
          <w:szCs w:val="22"/>
          <w:lang w:val="fr-FR"/>
        </w:rPr>
        <w:t xml:space="preserve">le phénomène de migration rurale-urbaine, et </w:t>
      </w:r>
      <w:r w:rsidRPr="009B071E">
        <w:rPr>
          <w:rFonts w:eastAsia="SimSun" w:cs="Arial"/>
          <w:sz w:val="22"/>
          <w:szCs w:val="22"/>
          <w:u w:val="single"/>
          <w:lang w:val="fr-FR"/>
        </w:rPr>
        <w:t>encourage</w:t>
      </w:r>
      <w:r w:rsidRPr="009B071E">
        <w:rPr>
          <w:rFonts w:eastAsia="SimSun" w:cs="Arial"/>
          <w:sz w:val="22"/>
          <w:szCs w:val="22"/>
          <w:lang w:val="fr-FR"/>
        </w:rPr>
        <w:t xml:space="preserve"> les États soumissionnaires à s</w:t>
      </w:r>
      <w:r w:rsidR="00521B04" w:rsidRPr="009B071E">
        <w:rPr>
          <w:rFonts w:eastAsia="SimSun" w:cs="Arial"/>
          <w:sz w:val="22"/>
          <w:szCs w:val="22"/>
          <w:lang w:val="fr-FR"/>
        </w:rPr>
        <w:t>’</w:t>
      </w:r>
      <w:r w:rsidRPr="009B071E">
        <w:rPr>
          <w:rFonts w:eastAsia="SimSun" w:cs="Arial"/>
          <w:sz w:val="22"/>
          <w:szCs w:val="22"/>
          <w:lang w:val="fr-FR"/>
        </w:rPr>
        <w:t xml:space="preserve">assurer que ces candidatures </w:t>
      </w:r>
      <w:r w:rsidRPr="009B071E">
        <w:rPr>
          <w:rFonts w:eastAsia="SimSun" w:cs="Arial"/>
          <w:sz w:val="22"/>
          <w:szCs w:val="22"/>
          <w:lang w:val="fr-FR"/>
        </w:rPr>
        <w:lastRenderedPageBreak/>
        <w:t>décrivent en détail les communautés concernées, ainsi que le contexte et les fonctions sociales de l</w:t>
      </w:r>
      <w:r w:rsidR="00521B04" w:rsidRPr="009B071E">
        <w:rPr>
          <w:rFonts w:eastAsia="SimSun" w:cs="Arial"/>
          <w:sz w:val="22"/>
          <w:szCs w:val="22"/>
          <w:lang w:val="fr-FR"/>
        </w:rPr>
        <w:t>’</w:t>
      </w:r>
      <w:r w:rsidRPr="009B071E">
        <w:rPr>
          <w:rFonts w:eastAsia="SimSun" w:cs="Arial"/>
          <w:sz w:val="22"/>
          <w:szCs w:val="22"/>
          <w:lang w:val="fr-FR"/>
        </w:rPr>
        <w:t>élément en question ;</w:t>
      </w:r>
    </w:p>
    <w:p w14:paraId="4A53115E" w14:textId="77777777" w:rsidR="00392D00" w:rsidRPr="009B071E" w:rsidRDefault="00392D00" w:rsidP="004579B7">
      <w:pPr>
        <w:keepNext/>
        <w:spacing w:after="120"/>
        <w:ind w:left="567"/>
        <w:jc w:val="both"/>
        <w:rPr>
          <w:rFonts w:eastAsia="SimSun" w:cs="Arial"/>
          <w:b/>
          <w:bCs/>
          <w:sz w:val="22"/>
          <w:szCs w:val="22"/>
          <w:lang w:val="fr-FR"/>
        </w:rPr>
      </w:pPr>
      <w:r w:rsidRPr="009B071E">
        <w:rPr>
          <w:rFonts w:eastAsia="SimSun" w:cs="Arial"/>
          <w:b/>
          <w:bCs/>
          <w:sz w:val="22"/>
          <w:szCs w:val="22"/>
          <w:lang w:val="fr-FR"/>
        </w:rPr>
        <w:t>Rôle central des communautés, des groupes et des individus</w:t>
      </w:r>
    </w:p>
    <w:p w14:paraId="1968D09B" w14:textId="6973A1D0" w:rsidR="00902289" w:rsidRPr="009B071E" w:rsidRDefault="00F97350" w:rsidP="00392D00">
      <w:pPr>
        <w:numPr>
          <w:ilvl w:val="0"/>
          <w:numId w:val="5"/>
        </w:numPr>
        <w:spacing w:after="120"/>
        <w:ind w:left="1134" w:hanging="567"/>
        <w:jc w:val="both"/>
        <w:rPr>
          <w:rFonts w:eastAsia="SimSun" w:cs="Arial"/>
          <w:sz w:val="22"/>
          <w:szCs w:val="22"/>
          <w:lang w:val="fr-FR"/>
        </w:rPr>
      </w:pPr>
      <w:r w:rsidRPr="009B071E">
        <w:rPr>
          <w:rFonts w:eastAsia="SimSun" w:cs="Arial"/>
          <w:sz w:val="22"/>
          <w:szCs w:val="22"/>
          <w:u w:val="single"/>
          <w:lang w:val="fr-FR"/>
        </w:rPr>
        <w:t>Prend également note</w:t>
      </w:r>
      <w:r w:rsidRPr="009B071E">
        <w:rPr>
          <w:rFonts w:eastAsia="SimSun" w:cs="Arial"/>
          <w:sz w:val="22"/>
          <w:szCs w:val="22"/>
          <w:lang w:val="fr-FR"/>
        </w:rPr>
        <w:t xml:space="preserve"> qu</w:t>
      </w:r>
      <w:r w:rsidR="00521B04" w:rsidRPr="009B071E">
        <w:rPr>
          <w:rFonts w:eastAsia="SimSun" w:cs="Arial"/>
          <w:sz w:val="22"/>
          <w:szCs w:val="22"/>
          <w:lang w:val="fr-FR"/>
        </w:rPr>
        <w:t>’</w:t>
      </w:r>
      <w:r w:rsidRPr="009B071E">
        <w:rPr>
          <w:rFonts w:eastAsia="SimSun" w:cs="Arial"/>
          <w:sz w:val="22"/>
          <w:szCs w:val="22"/>
          <w:lang w:val="fr-FR"/>
        </w:rPr>
        <w:t>un nombre</w:t>
      </w:r>
      <w:r w:rsidR="00B20619" w:rsidRPr="009B071E">
        <w:rPr>
          <w:rFonts w:eastAsia="SimSun" w:cs="Arial"/>
          <w:sz w:val="22"/>
          <w:szCs w:val="22"/>
          <w:lang w:val="fr-FR"/>
        </w:rPr>
        <w:t xml:space="preserve"> notable</w:t>
      </w:r>
      <w:r w:rsidRPr="009B071E">
        <w:rPr>
          <w:rFonts w:eastAsia="SimSun" w:cs="Arial"/>
          <w:sz w:val="22"/>
          <w:szCs w:val="22"/>
          <w:lang w:val="fr-FR"/>
        </w:rPr>
        <w:t xml:space="preserve"> de candidatures soumises continuent de présenter des lettres de consentement standardisées et des listes d</w:t>
      </w:r>
      <w:r w:rsidR="00521B04" w:rsidRPr="009B071E">
        <w:rPr>
          <w:rFonts w:eastAsia="SimSun" w:cs="Arial"/>
          <w:sz w:val="22"/>
          <w:szCs w:val="22"/>
          <w:lang w:val="fr-FR"/>
        </w:rPr>
        <w:t>’</w:t>
      </w:r>
      <w:r w:rsidRPr="009B071E">
        <w:rPr>
          <w:rFonts w:eastAsia="SimSun" w:cs="Arial"/>
          <w:sz w:val="22"/>
          <w:szCs w:val="22"/>
          <w:lang w:val="fr-FR"/>
        </w:rPr>
        <w:t xml:space="preserve">organisations impliquées dans le plan de sauvegarde, et </w:t>
      </w:r>
      <w:r w:rsidRPr="009B071E">
        <w:rPr>
          <w:rFonts w:eastAsia="SimSun" w:cs="Arial"/>
          <w:sz w:val="22"/>
          <w:szCs w:val="22"/>
          <w:u w:val="single"/>
          <w:lang w:val="fr-FR"/>
        </w:rPr>
        <w:t>rappelle</w:t>
      </w:r>
      <w:r w:rsidRPr="009B071E">
        <w:rPr>
          <w:rFonts w:eastAsia="SimSun" w:cs="Arial"/>
          <w:sz w:val="22"/>
          <w:szCs w:val="22"/>
          <w:lang w:val="fr-FR"/>
        </w:rPr>
        <w:t xml:space="preserve"> aux États soumissionnaires d</w:t>
      </w:r>
      <w:r w:rsidR="00521B04" w:rsidRPr="009B071E">
        <w:rPr>
          <w:rFonts w:eastAsia="SimSun" w:cs="Arial"/>
          <w:sz w:val="22"/>
          <w:szCs w:val="22"/>
          <w:lang w:val="fr-FR"/>
        </w:rPr>
        <w:t>’</w:t>
      </w:r>
      <w:r w:rsidRPr="009B071E">
        <w:rPr>
          <w:rFonts w:eastAsia="SimSun" w:cs="Arial"/>
          <w:sz w:val="22"/>
          <w:szCs w:val="22"/>
          <w:lang w:val="fr-FR"/>
        </w:rPr>
        <w:t>assurer la participation la plus large possible des communautés à la planification des mesures de sauvegarde</w:t>
      </w:r>
      <w:r w:rsidR="004633A7" w:rsidRPr="009B071E">
        <w:rPr>
          <w:rFonts w:eastAsia="SimSun" w:cs="Arial"/>
          <w:sz w:val="22"/>
          <w:szCs w:val="22"/>
          <w:lang w:val="fr-FR"/>
        </w:rPr>
        <w:t>, conformément aux Principes éthiques pour la sauvegarde du patrimoine culturel immatériel, </w:t>
      </w:r>
      <w:r w:rsidRPr="009B071E">
        <w:rPr>
          <w:rFonts w:eastAsia="SimSun" w:cs="Arial"/>
          <w:sz w:val="22"/>
          <w:szCs w:val="22"/>
          <w:lang w:val="fr-FR"/>
        </w:rPr>
        <w:t>et de veiller à ce que les dossiers expliquent clairement le rôle qu</w:t>
      </w:r>
      <w:r w:rsidR="00521B04" w:rsidRPr="009B071E">
        <w:rPr>
          <w:rFonts w:eastAsia="SimSun" w:cs="Arial"/>
          <w:sz w:val="22"/>
          <w:szCs w:val="22"/>
          <w:lang w:val="fr-FR"/>
        </w:rPr>
        <w:t>’</w:t>
      </w:r>
      <w:r w:rsidRPr="009B071E">
        <w:rPr>
          <w:rFonts w:eastAsia="SimSun" w:cs="Arial"/>
          <w:sz w:val="22"/>
          <w:szCs w:val="22"/>
          <w:lang w:val="fr-FR"/>
        </w:rPr>
        <w:t>elles jouent dans le cadre de ces mesures</w:t>
      </w:r>
      <w:r w:rsidR="008E185D" w:rsidRPr="009B071E">
        <w:rPr>
          <w:rFonts w:eastAsia="SimSun" w:cs="Arial"/>
          <w:sz w:val="22"/>
          <w:szCs w:val="22"/>
          <w:lang w:val="fr-FR"/>
        </w:rPr>
        <w:t>.</w:t>
      </w:r>
    </w:p>
    <w:p w14:paraId="2984F4B7" w14:textId="3144EF49" w:rsidR="006B560C" w:rsidRPr="009B071E" w:rsidRDefault="006B560C" w:rsidP="00EB21B9">
      <w:pPr>
        <w:spacing w:after="120"/>
        <w:jc w:val="both"/>
        <w:rPr>
          <w:rFonts w:eastAsia="SimSun" w:cs="Arial"/>
          <w:sz w:val="22"/>
          <w:szCs w:val="22"/>
          <w:highlight w:val="yellow"/>
          <w:lang w:val="fr-FR"/>
        </w:rPr>
      </w:pPr>
    </w:p>
    <w:sectPr w:rsidR="006B560C" w:rsidRPr="009B071E" w:rsidSect="007E3FB0">
      <w:headerReference w:type="even" r:id="rId54"/>
      <w:headerReference w:type="default" r:id="rId55"/>
      <w:footerReference w:type="default" r:id="rId56"/>
      <w:headerReference w:type="first" r:id="rId57"/>
      <w:footerReference w:type="first" r:id="rId58"/>
      <w:type w:val="continuous"/>
      <w:pgSz w:w="11906" w:h="16838"/>
      <w:pgMar w:top="1418" w:right="1134" w:bottom="1134" w:left="1134" w:header="709" w:footer="401" w:gutter="0"/>
      <w:pgBorders w:display="firstPage" w:offsetFrom="page">
        <w:top w:val="single" w:sz="12" w:space="24" w:color="0070C0"/>
        <w:left w:val="single" w:sz="12" w:space="24" w:color="0070C0"/>
        <w:bottom w:val="single" w:sz="12" w:space="24" w:color="0070C0"/>
        <w:right w:val="single" w:sz="12"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4384" w14:textId="77777777" w:rsidR="00E92E9A" w:rsidRDefault="00E92E9A" w:rsidP="004963DE">
      <w:r>
        <w:separator/>
      </w:r>
    </w:p>
  </w:endnote>
  <w:endnote w:type="continuationSeparator" w:id="0">
    <w:p w14:paraId="0FE1F40E" w14:textId="77777777" w:rsidR="00E92E9A" w:rsidRDefault="00E92E9A" w:rsidP="004963DE">
      <w:r>
        <w:continuationSeparator/>
      </w:r>
    </w:p>
  </w:endnote>
  <w:endnote w:type="continuationNotice" w:id="1">
    <w:p w14:paraId="78E983E0" w14:textId="77777777" w:rsidR="00E92E9A" w:rsidRDefault="00E92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D850" w14:textId="3935E0EF" w:rsidR="00B132D0" w:rsidRPr="00845432" w:rsidRDefault="00B132D0" w:rsidP="00845432">
    <w:pPr>
      <w:pStyle w:val="Pieddepage"/>
      <w:tabs>
        <w:tab w:val="clear" w:pos="4513"/>
        <w:tab w:val="clear" w:pos="9026"/>
        <w:tab w:val="right" w:pos="9639"/>
      </w:tabs>
      <w:rPr>
        <w:sz w:val="22"/>
        <w:szCs w:val="22"/>
      </w:rPr>
    </w:pPr>
    <w:r>
      <w:rPr>
        <w:lang w:val="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5B2F" w14:textId="51168ED9" w:rsidR="00B132D0" w:rsidRDefault="00B132D0" w:rsidP="00C77E3F">
    <w:pPr>
      <w:pStyle w:val="Pieddepage"/>
      <w:tabs>
        <w:tab w:val="clear" w:pos="4513"/>
        <w:tab w:val="clear" w:pos="9026"/>
        <w:tab w:val="left" w:pos="5660"/>
      </w:tabs>
    </w:pPr>
    <w:r>
      <w:rPr>
        <w:lang w:val="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82F6" w14:textId="77777777" w:rsidR="00E92E9A" w:rsidRDefault="00E92E9A" w:rsidP="004963DE">
      <w:r>
        <w:separator/>
      </w:r>
    </w:p>
  </w:footnote>
  <w:footnote w:type="continuationSeparator" w:id="0">
    <w:p w14:paraId="76B5E928" w14:textId="77777777" w:rsidR="00E92E9A" w:rsidRDefault="00E92E9A" w:rsidP="004963DE">
      <w:r>
        <w:continuationSeparator/>
      </w:r>
    </w:p>
  </w:footnote>
  <w:footnote w:type="continuationNotice" w:id="1">
    <w:p w14:paraId="1C3D2DCE" w14:textId="77777777" w:rsidR="00E92E9A" w:rsidRDefault="00E92E9A"/>
  </w:footnote>
  <w:footnote w:id="2">
    <w:p w14:paraId="10E919EB" w14:textId="1BFED6D4" w:rsidR="00151A28" w:rsidRPr="00C32CD6" w:rsidRDefault="00151A28" w:rsidP="004C6C15">
      <w:pPr>
        <w:pStyle w:val="Notedebasdepage"/>
        <w:jc w:val="both"/>
        <w:rPr>
          <w:sz w:val="18"/>
          <w:szCs w:val="18"/>
        </w:rPr>
      </w:pPr>
      <w:r w:rsidRPr="00C32CD6">
        <w:rPr>
          <w:rStyle w:val="Appelnotedebasdep"/>
          <w:sz w:val="18"/>
          <w:szCs w:val="18"/>
        </w:rPr>
        <w:footnoteRef/>
      </w:r>
      <w:r w:rsidRPr="00C32CD6">
        <w:rPr>
          <w:sz w:val="18"/>
          <w:szCs w:val="18"/>
        </w:rPr>
        <w:t xml:space="preserve"> </w:t>
      </w:r>
      <w:r w:rsidRPr="00C32CD6">
        <w:rPr>
          <w:rFonts w:ascii="Arial" w:hAnsi="Arial"/>
          <w:sz w:val="18"/>
          <w:szCs w:val="18"/>
        </w:rPr>
        <w:t>Le travail de l</w:t>
      </w:r>
      <w:r w:rsidR="00521B04" w:rsidRPr="00C32CD6">
        <w:rPr>
          <w:rFonts w:eastAsia="SimSun"/>
          <w:color w:val="000000" w:themeColor="text1"/>
          <w:sz w:val="18"/>
          <w:szCs w:val="18"/>
        </w:rPr>
        <w:t>’</w:t>
      </w:r>
      <w:r w:rsidRPr="00C32CD6">
        <w:rPr>
          <w:rFonts w:ascii="Arial" w:hAnsi="Arial"/>
          <w:sz w:val="18"/>
          <w:szCs w:val="18"/>
        </w:rPr>
        <w:t>Organe d</w:t>
      </w:r>
      <w:r w:rsidR="00521B04" w:rsidRPr="00C32CD6">
        <w:rPr>
          <w:rFonts w:eastAsia="SimSun"/>
          <w:color w:val="000000" w:themeColor="text1"/>
          <w:sz w:val="18"/>
          <w:szCs w:val="18"/>
        </w:rPr>
        <w:t>’</w:t>
      </w:r>
      <w:r w:rsidRPr="00C32CD6">
        <w:rPr>
          <w:rFonts w:ascii="Arial" w:hAnsi="Arial"/>
          <w:sz w:val="18"/>
          <w:szCs w:val="18"/>
        </w:rPr>
        <w:t>évaluation en 2023 comprend l</w:t>
      </w:r>
      <w:r w:rsidR="00521B04" w:rsidRPr="00C32CD6">
        <w:rPr>
          <w:rFonts w:eastAsia="SimSun"/>
          <w:color w:val="000000" w:themeColor="text1"/>
          <w:sz w:val="18"/>
          <w:szCs w:val="18"/>
        </w:rPr>
        <w:t>’</w:t>
      </w:r>
      <w:r w:rsidRPr="00C32CD6">
        <w:rPr>
          <w:rFonts w:ascii="Arial" w:hAnsi="Arial"/>
          <w:sz w:val="18"/>
          <w:szCs w:val="18"/>
        </w:rPr>
        <w:t>évaluation des</w:t>
      </w:r>
      <w:r w:rsidRPr="00C32CD6">
        <w:rPr>
          <w:rFonts w:ascii="Arial" w:hAnsi="Arial"/>
          <w:color w:val="000000" w:themeColor="text1"/>
          <w:sz w:val="18"/>
          <w:szCs w:val="18"/>
        </w:rPr>
        <w:t xml:space="preserve"> demandes d</w:t>
      </w:r>
      <w:r w:rsidR="00521B04" w:rsidRPr="00C32CD6">
        <w:rPr>
          <w:rFonts w:eastAsia="SimSun"/>
          <w:color w:val="000000" w:themeColor="text1"/>
          <w:sz w:val="18"/>
          <w:szCs w:val="18"/>
        </w:rPr>
        <w:t>’</w:t>
      </w:r>
      <w:r w:rsidRPr="00C32CD6">
        <w:rPr>
          <w:rFonts w:ascii="Arial" w:hAnsi="Arial"/>
          <w:color w:val="000000" w:themeColor="text1"/>
          <w:sz w:val="18"/>
          <w:szCs w:val="18"/>
        </w:rPr>
        <w:t xml:space="preserve">assistance internationale supérieures à 100 000 dollars </w:t>
      </w:r>
      <w:r w:rsidR="000D2014" w:rsidRPr="00C32CD6">
        <w:rPr>
          <w:rFonts w:ascii="Arial" w:hAnsi="Arial"/>
          <w:color w:val="000000" w:themeColor="text1"/>
          <w:sz w:val="18"/>
          <w:szCs w:val="18"/>
        </w:rPr>
        <w:t xml:space="preserve">des </w:t>
      </w:r>
      <w:r w:rsidR="00592DB7" w:rsidRPr="00C32CD6">
        <w:rPr>
          <w:rFonts w:ascii="Arial" w:hAnsi="Arial"/>
          <w:color w:val="000000" w:themeColor="text1"/>
          <w:sz w:val="18"/>
          <w:szCs w:val="18"/>
        </w:rPr>
        <w:t xml:space="preserve">États-Unis </w:t>
      </w:r>
      <w:r w:rsidRPr="00C32CD6">
        <w:rPr>
          <w:rFonts w:ascii="Arial" w:hAnsi="Arial"/>
          <w:color w:val="000000" w:themeColor="text1"/>
          <w:sz w:val="18"/>
          <w:szCs w:val="18"/>
        </w:rPr>
        <w:t>conformément à l</w:t>
      </w:r>
      <w:r w:rsidR="00521B04" w:rsidRPr="00C32CD6">
        <w:rPr>
          <w:rFonts w:eastAsia="SimSun"/>
          <w:color w:val="000000" w:themeColor="text1"/>
          <w:sz w:val="18"/>
          <w:szCs w:val="18"/>
        </w:rPr>
        <w:t>’</w:t>
      </w:r>
      <w:r w:rsidRPr="00C32CD6">
        <w:rPr>
          <w:rFonts w:ascii="Arial" w:hAnsi="Arial"/>
          <w:color w:val="000000" w:themeColor="text1"/>
          <w:sz w:val="18"/>
          <w:szCs w:val="18"/>
        </w:rPr>
        <w:t xml:space="preserve">édition 2020 des Directives opérationnelles pour la mise en œuvre de la Convention de 2003. Suite aux </w:t>
      </w:r>
      <w:r w:rsidR="000D2014" w:rsidRPr="00C32CD6">
        <w:rPr>
          <w:rFonts w:ascii="Arial" w:hAnsi="Arial"/>
          <w:color w:val="000000" w:themeColor="text1"/>
          <w:sz w:val="18"/>
          <w:szCs w:val="18"/>
        </w:rPr>
        <w:t>amendements</w:t>
      </w:r>
      <w:r w:rsidRPr="00C32CD6">
        <w:rPr>
          <w:rFonts w:ascii="Arial" w:hAnsi="Arial"/>
          <w:color w:val="000000" w:themeColor="text1"/>
          <w:sz w:val="18"/>
          <w:szCs w:val="18"/>
        </w:rPr>
        <w:t xml:space="preserve"> apportées aux Directives opérationnelles par la neuvième session de l</w:t>
      </w:r>
      <w:r w:rsidR="00521B04" w:rsidRPr="00C32CD6">
        <w:rPr>
          <w:rFonts w:eastAsia="SimSun"/>
          <w:color w:val="000000" w:themeColor="text1"/>
          <w:sz w:val="18"/>
          <w:szCs w:val="18"/>
        </w:rPr>
        <w:t>’</w:t>
      </w:r>
      <w:r w:rsidRPr="00C32CD6">
        <w:rPr>
          <w:rFonts w:ascii="Arial" w:hAnsi="Arial"/>
          <w:color w:val="000000" w:themeColor="text1"/>
          <w:sz w:val="18"/>
          <w:szCs w:val="18"/>
        </w:rPr>
        <w:t>Assemblée générale</w:t>
      </w:r>
      <w:r w:rsidRPr="00C32CD6">
        <w:rPr>
          <w:rFonts w:ascii="Arial" w:hAnsi="Arial"/>
          <w:sz w:val="18"/>
          <w:szCs w:val="18"/>
        </w:rPr>
        <w:t xml:space="preserve"> en juillet 2022, à l</w:t>
      </w:r>
      <w:r w:rsidR="00521B04" w:rsidRPr="00C32CD6">
        <w:rPr>
          <w:rFonts w:eastAsia="SimSun"/>
          <w:color w:val="000000" w:themeColor="text1"/>
          <w:sz w:val="18"/>
          <w:szCs w:val="18"/>
        </w:rPr>
        <w:t>’</w:t>
      </w:r>
      <w:r w:rsidRPr="00C32CD6">
        <w:rPr>
          <w:rFonts w:ascii="Arial" w:hAnsi="Arial"/>
          <w:sz w:val="18"/>
          <w:szCs w:val="18"/>
        </w:rPr>
        <w:t>issue de la réflexion globale sur les mécanismes d</w:t>
      </w:r>
      <w:r w:rsidR="00521B04" w:rsidRPr="00C32CD6">
        <w:rPr>
          <w:rFonts w:eastAsia="SimSun"/>
          <w:color w:val="000000" w:themeColor="text1"/>
          <w:sz w:val="18"/>
          <w:szCs w:val="18"/>
        </w:rPr>
        <w:t>’</w:t>
      </w:r>
      <w:r w:rsidRPr="00C32CD6">
        <w:rPr>
          <w:rFonts w:ascii="Arial" w:hAnsi="Arial"/>
          <w:sz w:val="18"/>
          <w:szCs w:val="18"/>
        </w:rPr>
        <w:t>inscription de la Convention, toutes les demandes d</w:t>
      </w:r>
      <w:r w:rsidR="00521B04" w:rsidRPr="00C32CD6">
        <w:rPr>
          <w:rFonts w:eastAsia="SimSun"/>
          <w:color w:val="000000" w:themeColor="text1"/>
          <w:sz w:val="18"/>
          <w:szCs w:val="18"/>
        </w:rPr>
        <w:t>’</w:t>
      </w:r>
      <w:r w:rsidRPr="00C32CD6">
        <w:rPr>
          <w:rFonts w:ascii="Arial" w:hAnsi="Arial"/>
          <w:sz w:val="18"/>
          <w:szCs w:val="18"/>
        </w:rPr>
        <w:t xml:space="preserve">assistance internationale « autonomes » sont examinées par le Bureau du Comité et non plus par le Comité (le montant maximum que les États parties peuvent demander est plafonné à 100 000 </w:t>
      </w:r>
      <w:r w:rsidR="000D2014" w:rsidRPr="00C32CD6">
        <w:rPr>
          <w:rFonts w:ascii="Arial" w:hAnsi="Arial"/>
          <w:sz w:val="18"/>
          <w:szCs w:val="18"/>
        </w:rPr>
        <w:t xml:space="preserve">dollars des </w:t>
      </w:r>
      <w:r w:rsidR="00F5362E" w:rsidRPr="00C32CD6">
        <w:rPr>
          <w:rFonts w:ascii="Arial" w:hAnsi="Arial"/>
          <w:sz w:val="18"/>
          <w:szCs w:val="18"/>
        </w:rPr>
        <w:t>États-Unis</w:t>
      </w:r>
      <w:r w:rsidRPr="00C32CD6">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A207" w14:textId="4C03BB03" w:rsidR="00B132D0" w:rsidRPr="00093D5A" w:rsidRDefault="00B132D0" w:rsidP="00D519E8">
    <w:pPr>
      <w:pStyle w:val="En-tte"/>
      <w:rPr>
        <w:rFonts w:cs="Arial"/>
      </w:rPr>
    </w:pPr>
    <w:bookmarkStart w:id="10" w:name="_Hlk85648568"/>
    <w:r>
      <w:rPr>
        <w:rFonts w:cs="Arial"/>
        <w:sz w:val="20"/>
        <w:szCs w:val="20"/>
        <w:lang w:val="fr"/>
      </w:rPr>
      <w:t>LHE/23/18.COM</w:t>
    </w:r>
    <w:bookmarkEnd w:id="10"/>
    <w:r w:rsidR="00637B8B">
      <w:rPr>
        <w:rFonts w:cs="Arial"/>
        <w:sz w:val="20"/>
        <w:szCs w:val="20"/>
        <w:lang w:val="fr"/>
      </w:rPr>
      <w:t>/8</w:t>
    </w:r>
    <w:r>
      <w:rPr>
        <w:rFonts w:cs="Arial"/>
        <w:sz w:val="20"/>
        <w:szCs w:val="20"/>
        <w:lang w:val="fr"/>
      </w:rPr>
      <w:t xml:space="preserve"> – page </w:t>
    </w:r>
    <w:r>
      <w:rPr>
        <w:rStyle w:val="Numrodepage"/>
        <w:rFonts w:cs="Arial"/>
        <w:sz w:val="20"/>
        <w:szCs w:val="20"/>
        <w:lang w:val="fr"/>
      </w:rPr>
      <w:fldChar w:fldCharType="begin"/>
    </w:r>
    <w:r>
      <w:rPr>
        <w:rStyle w:val="Numrodepage"/>
        <w:rFonts w:cs="Arial"/>
        <w:sz w:val="20"/>
        <w:szCs w:val="20"/>
        <w:lang w:val="fr"/>
      </w:rPr>
      <w:instrText xml:space="preserve"> PAGE </w:instrText>
    </w:r>
    <w:r>
      <w:rPr>
        <w:rStyle w:val="Numrodepage"/>
        <w:rFonts w:cs="Arial"/>
        <w:sz w:val="20"/>
        <w:szCs w:val="20"/>
        <w:lang w:val="fr"/>
      </w:rPr>
      <w:fldChar w:fldCharType="separate"/>
    </w:r>
    <w:r>
      <w:rPr>
        <w:rStyle w:val="Numrodepage"/>
        <w:rFonts w:cs="Arial"/>
        <w:noProof/>
        <w:sz w:val="20"/>
        <w:szCs w:val="20"/>
        <w:lang w:val="fr"/>
      </w:rPr>
      <w:t>2</w:t>
    </w:r>
    <w:r>
      <w:rPr>
        <w:rStyle w:val="Numrodepage"/>
        <w:rFonts w:cs="Arial"/>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573B" w14:textId="5CAEB21D" w:rsidR="00B132D0" w:rsidRPr="00093D5A" w:rsidRDefault="00B132D0" w:rsidP="00D519E8">
    <w:pPr>
      <w:pStyle w:val="En-tte"/>
      <w:jc w:val="right"/>
      <w:rPr>
        <w:rFonts w:cs="Arial"/>
      </w:rPr>
    </w:pPr>
    <w:r>
      <w:rPr>
        <w:rFonts w:cs="Arial"/>
        <w:sz w:val="20"/>
        <w:szCs w:val="20"/>
        <w:lang w:val="fr"/>
      </w:rPr>
      <w:t>LHE/23/18.COM/</w:t>
    </w:r>
    <w:r w:rsidR="00637B8B">
      <w:rPr>
        <w:rFonts w:cs="Arial"/>
        <w:sz w:val="20"/>
        <w:szCs w:val="20"/>
        <w:lang w:val="fr"/>
      </w:rPr>
      <w:t>8</w:t>
    </w:r>
    <w:r>
      <w:rPr>
        <w:rFonts w:cs="Arial"/>
        <w:sz w:val="20"/>
        <w:szCs w:val="20"/>
        <w:lang w:val="fr"/>
      </w:rPr>
      <w:t xml:space="preserve"> – page </w:t>
    </w:r>
    <w:r>
      <w:rPr>
        <w:rStyle w:val="Numrodepage"/>
        <w:rFonts w:cs="Arial"/>
        <w:sz w:val="20"/>
        <w:szCs w:val="20"/>
        <w:lang w:val="fr"/>
      </w:rPr>
      <w:fldChar w:fldCharType="begin"/>
    </w:r>
    <w:r>
      <w:rPr>
        <w:rStyle w:val="Numrodepage"/>
        <w:rFonts w:cs="Arial"/>
        <w:sz w:val="20"/>
        <w:szCs w:val="20"/>
        <w:lang w:val="fr"/>
      </w:rPr>
      <w:instrText xml:space="preserve"> PAGE </w:instrText>
    </w:r>
    <w:r>
      <w:rPr>
        <w:rStyle w:val="Numrodepage"/>
        <w:rFonts w:cs="Arial"/>
        <w:sz w:val="20"/>
        <w:szCs w:val="20"/>
        <w:lang w:val="fr"/>
      </w:rPr>
      <w:fldChar w:fldCharType="separate"/>
    </w:r>
    <w:r>
      <w:rPr>
        <w:rStyle w:val="Numrodepage"/>
        <w:rFonts w:cs="Arial"/>
        <w:noProof/>
        <w:sz w:val="20"/>
        <w:szCs w:val="20"/>
        <w:lang w:val="fr"/>
      </w:rPr>
      <w:t>3</w:t>
    </w:r>
    <w:r>
      <w:rPr>
        <w:rStyle w:val="Numrodepage"/>
        <w:rFonts w:cs="Arial"/>
        <w:sz w:val="20"/>
        <w:szCs w:val="20"/>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1F43" w14:textId="3E0B1DE1" w:rsidR="00B132D0" w:rsidRPr="00E95AE2" w:rsidRDefault="00B132D0" w:rsidP="004E7BFE">
    <w:pPr>
      <w:pStyle w:val="En-tte"/>
      <w:rPr>
        <w:sz w:val="22"/>
        <w:szCs w:val="22"/>
      </w:rPr>
    </w:pPr>
  </w:p>
  <w:p w14:paraId="25AD32B8" w14:textId="34F3FAA5" w:rsidR="00B132D0" w:rsidRPr="00F33BB2" w:rsidRDefault="00562D8A" w:rsidP="004E7BFE">
    <w:pPr>
      <w:pStyle w:val="En-tte"/>
      <w:spacing w:after="520"/>
      <w:jc w:val="right"/>
      <w:rPr>
        <w:rFonts w:cs="Arial"/>
        <w:b/>
        <w:color w:val="0070C0"/>
        <w:sz w:val="44"/>
        <w:szCs w:val="44"/>
        <w:lang w:val="pt-PT"/>
      </w:rPr>
    </w:pPr>
    <w:r>
      <w:rPr>
        <w:rFonts w:cs="Arial"/>
        <w:b/>
        <w:noProof/>
        <w:sz w:val="44"/>
        <w:szCs w:val="44"/>
        <w:lang w:val="pt-PT"/>
      </w:rPr>
      <w:drawing>
        <wp:anchor distT="0" distB="0" distL="114300" distR="114300" simplePos="0" relativeHeight="251661312" behindDoc="1" locked="0" layoutInCell="1" allowOverlap="1" wp14:anchorId="0415D84A" wp14:editId="55173F96">
          <wp:simplePos x="0" y="0"/>
          <wp:positionH relativeFrom="column">
            <wp:posOffset>0</wp:posOffset>
          </wp:positionH>
          <wp:positionV relativeFrom="paragraph">
            <wp:posOffset>-635</wp:posOffset>
          </wp:positionV>
          <wp:extent cx="1657350" cy="1391920"/>
          <wp:effectExtent l="0" t="0" r="0" b="0"/>
          <wp:wrapNone/>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r w:rsidR="00B132D0" w:rsidRPr="00F33BB2">
      <w:rPr>
        <w:rFonts w:cs="Arial"/>
        <w:b/>
        <w:bCs/>
        <w:color w:val="0070C0"/>
        <w:sz w:val="44"/>
        <w:szCs w:val="44"/>
        <w:lang w:val="pt-PT"/>
      </w:rPr>
      <w:t>18 COM</w:t>
    </w:r>
  </w:p>
  <w:p w14:paraId="007F8D79" w14:textId="45BE9014" w:rsidR="00B132D0" w:rsidRPr="00F33BB2" w:rsidRDefault="00B132D0" w:rsidP="004E7BFE">
    <w:pPr>
      <w:jc w:val="right"/>
      <w:rPr>
        <w:rFonts w:cs="Arial"/>
        <w:b/>
        <w:color w:val="0070C0"/>
        <w:sz w:val="22"/>
        <w:szCs w:val="22"/>
        <w:lang w:val="pt-PT"/>
      </w:rPr>
    </w:pPr>
    <w:r w:rsidRPr="00F33BB2">
      <w:rPr>
        <w:rFonts w:cs="Arial"/>
        <w:b/>
        <w:bCs/>
        <w:color w:val="0070C0"/>
        <w:sz w:val="22"/>
        <w:szCs w:val="22"/>
        <w:lang w:val="pt-PT"/>
      </w:rPr>
      <w:t>LHE/23/18.COM</w:t>
    </w:r>
    <w:r w:rsidR="00637B8B">
      <w:rPr>
        <w:rFonts w:cs="Arial"/>
        <w:b/>
        <w:bCs/>
        <w:color w:val="0070C0"/>
        <w:sz w:val="22"/>
        <w:szCs w:val="22"/>
        <w:lang w:val="pt-PT"/>
      </w:rPr>
      <w:t>/8</w:t>
    </w:r>
  </w:p>
  <w:p w14:paraId="3862F927" w14:textId="2D540320" w:rsidR="00B132D0" w:rsidRPr="00BD52B7" w:rsidRDefault="00B132D0" w:rsidP="004E7BFE">
    <w:pPr>
      <w:jc w:val="right"/>
      <w:rPr>
        <w:rFonts w:eastAsiaTheme="minorEastAsia" w:cs="Arial"/>
        <w:b/>
        <w:color w:val="0070C0"/>
        <w:sz w:val="22"/>
        <w:szCs w:val="22"/>
        <w:lang w:val="fr-FR"/>
      </w:rPr>
    </w:pPr>
    <w:r>
      <w:rPr>
        <w:rFonts w:cs="Arial"/>
        <w:b/>
        <w:bCs/>
        <w:color w:val="0070C0"/>
        <w:sz w:val="22"/>
        <w:szCs w:val="22"/>
        <w:lang w:val="fr"/>
      </w:rPr>
      <w:t xml:space="preserve">Paris, </w:t>
    </w:r>
    <w:r w:rsidR="00B10C29">
      <w:rPr>
        <w:rFonts w:cs="Arial"/>
        <w:b/>
        <w:bCs/>
        <w:color w:val="0070C0"/>
        <w:sz w:val="22"/>
        <w:szCs w:val="22"/>
        <w:lang w:val="fr"/>
      </w:rPr>
      <w:t xml:space="preserve">le </w:t>
    </w:r>
    <w:r w:rsidR="00BA3A7C">
      <w:rPr>
        <w:rFonts w:cs="Arial"/>
        <w:b/>
        <w:bCs/>
        <w:color w:val="0070C0"/>
        <w:sz w:val="22"/>
        <w:szCs w:val="22"/>
        <w:lang w:val="fr"/>
      </w:rPr>
      <w:t>6 novembre</w:t>
    </w:r>
    <w:r w:rsidR="00C36680">
      <w:rPr>
        <w:rFonts w:cs="Arial"/>
        <w:b/>
        <w:bCs/>
        <w:color w:val="0070C0"/>
        <w:sz w:val="22"/>
        <w:szCs w:val="22"/>
        <w:lang w:val="fr"/>
      </w:rPr>
      <w:t xml:space="preserve"> </w:t>
    </w:r>
    <w:r>
      <w:rPr>
        <w:rFonts w:cs="Arial"/>
        <w:b/>
        <w:bCs/>
        <w:color w:val="0070C0"/>
        <w:sz w:val="22"/>
        <w:szCs w:val="22"/>
        <w:lang w:val="fr"/>
      </w:rPr>
      <w:t>2023</w:t>
    </w:r>
  </w:p>
  <w:p w14:paraId="23A1C52B" w14:textId="21B21AAE" w:rsidR="00B132D0" w:rsidRPr="004E7BFE" w:rsidRDefault="00B132D0" w:rsidP="004E7BFE">
    <w:pPr>
      <w:spacing w:after="240"/>
      <w:jc w:val="right"/>
      <w:rPr>
        <w:rFonts w:cs="Arial"/>
        <w:b/>
        <w:color w:val="0070C0"/>
        <w:sz w:val="22"/>
        <w:szCs w:val="22"/>
      </w:rPr>
    </w:pPr>
    <w:r>
      <w:rPr>
        <w:rFonts w:cs="Arial"/>
        <w:b/>
        <w:bCs/>
        <w:color w:val="0070C0"/>
        <w:sz w:val="22"/>
        <w:szCs w:val="22"/>
        <w:lang w:val="fr"/>
      </w:rPr>
      <w:t>Original</w:t>
    </w:r>
    <w:r>
      <w:rPr>
        <w:rFonts w:cs="Arial"/>
        <w:color w:val="0070C0"/>
        <w:sz w:val="22"/>
        <w:szCs w:val="22"/>
        <w:lang w:val="fr"/>
      </w:rPr>
      <w:t> </w:t>
    </w:r>
    <w:r>
      <w:rPr>
        <w:rFonts w:cs="Arial"/>
        <w:b/>
        <w:bCs/>
        <w:color w:val="0070C0"/>
        <w:sz w:val="22"/>
        <w:szCs w:val="22"/>
        <w:lang w:val="fr"/>
      </w:rPr>
      <w:t>: anglais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4B6"/>
    <w:multiLevelType w:val="hybridMultilevel"/>
    <w:tmpl w:val="DB165A9E"/>
    <w:lvl w:ilvl="0" w:tplc="B776D396">
      <w:start w:val="1"/>
      <w:numFmt w:val="decimal"/>
      <w:lvlText w:val="%1."/>
      <w:lvlJc w:val="left"/>
      <w:pPr>
        <w:ind w:left="-207" w:hanging="360"/>
      </w:pPr>
      <w:rPr>
        <w:rFonts w:hint="default"/>
        <w:b w:val="0"/>
        <w:bCs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D254D88"/>
    <w:multiLevelType w:val="hybridMultilevel"/>
    <w:tmpl w:val="1592D1C6"/>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C35FE0"/>
    <w:multiLevelType w:val="hybridMultilevel"/>
    <w:tmpl w:val="CCCC23B2"/>
    <w:lvl w:ilvl="0" w:tplc="BA82A3FA">
      <w:start w:val="1"/>
      <w:numFmt w:val="decimal"/>
      <w:lvlText w:val="%1."/>
      <w:lvlJc w:val="left"/>
      <w:pPr>
        <w:ind w:left="360" w:hanging="360"/>
      </w:pPr>
      <w:rPr>
        <w:rFonts w:hint="default"/>
        <w:b w:val="0"/>
        <w:bCs/>
      </w:rPr>
    </w:lvl>
    <w:lvl w:ilvl="1" w:tplc="0409001B">
      <w:start w:val="1"/>
      <w:numFmt w:val="lowerRoman"/>
      <w:lvlText w:val="%2."/>
      <w:lvlJc w:val="right"/>
      <w:pPr>
        <w:ind w:left="1440" w:hanging="360"/>
      </w:pPr>
    </w:lvl>
    <w:lvl w:ilvl="2" w:tplc="9E023BDE">
      <w:start w:val="1"/>
      <w:numFmt w:val="lowerRoman"/>
      <w:lvlText w:val="%3."/>
      <w:lvlJc w:val="right"/>
      <w:pPr>
        <w:ind w:left="2160" w:hanging="180"/>
      </w:pPr>
      <w:rPr>
        <w:b w:val="0"/>
        <w:bCs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970E88"/>
    <w:multiLevelType w:val="hybridMultilevel"/>
    <w:tmpl w:val="2D0225B6"/>
    <w:lvl w:ilvl="0" w:tplc="FFFFFFFF">
      <w:start w:val="1"/>
      <w:numFmt w:val="lowerRoman"/>
      <w:lvlText w:val="%1."/>
      <w:lvlJc w:val="right"/>
      <w:pPr>
        <w:ind w:left="1350" w:hanging="360"/>
      </w:pPr>
      <w:rPr>
        <w:i w:val="0"/>
        <w:iCs/>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 w15:restartNumberingAfterBreak="0">
    <w:nsid w:val="2F503BFB"/>
    <w:multiLevelType w:val="hybridMultilevel"/>
    <w:tmpl w:val="38F098C2"/>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F07BFE"/>
    <w:multiLevelType w:val="hybridMultilevel"/>
    <w:tmpl w:val="33A00B98"/>
    <w:lvl w:ilvl="0" w:tplc="45E6D660">
      <w:start w:val="1"/>
      <w:numFmt w:val="upperLetter"/>
      <w:pStyle w:val="COMPara"/>
      <w:lvlText w:val="%1."/>
      <w:lvlJc w:val="left"/>
      <w:pPr>
        <w:ind w:left="360" w:hanging="360"/>
      </w:pPr>
      <w:rPr>
        <w:rFonts w:hint="default"/>
        <w:b/>
        <w:bCs w:val="0"/>
        <w:i w:val="0"/>
        <w:color w:val="auto"/>
        <w:sz w:val="22"/>
        <w:szCs w:val="22"/>
        <w:lang w:val="en-GB"/>
      </w:rPr>
    </w:lvl>
    <w:lvl w:ilvl="1" w:tplc="F774A78A">
      <w:start w:val="1"/>
      <w:numFmt w:val="lowerRoman"/>
      <w:lvlText w:val="%2."/>
      <w:lvlJc w:val="right"/>
      <w:pPr>
        <w:ind w:left="1350" w:hanging="360"/>
      </w:pPr>
      <w:rPr>
        <w:rFonts w:hint="default"/>
        <w:b w:val="0"/>
        <w:bCs/>
        <w:i w:val="0"/>
        <w:iCs/>
        <w:strike w:val="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7A4DB1"/>
    <w:multiLevelType w:val="hybridMultilevel"/>
    <w:tmpl w:val="E08028D2"/>
    <w:lvl w:ilvl="0" w:tplc="7ED0944A">
      <w:start w:val="1"/>
      <w:numFmt w:val="lowerRoman"/>
      <w:pStyle w:val="COMParaDecision"/>
      <w:lvlText w:val="%1."/>
      <w:lvlJc w:val="left"/>
      <w:pPr>
        <w:ind w:left="1287" w:hanging="360"/>
      </w:pPr>
      <w:rPr>
        <w:rFonts w:ascii="Arial" w:eastAsia="SimSun" w:hAnsi="Arial" w:cs="Arial"/>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CB505C"/>
    <w:multiLevelType w:val="hybridMultilevel"/>
    <w:tmpl w:val="3B02502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469A4801"/>
    <w:multiLevelType w:val="hybridMultilevel"/>
    <w:tmpl w:val="9E7A5B90"/>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7117AC"/>
    <w:multiLevelType w:val="multilevel"/>
    <w:tmpl w:val="E70EBFFC"/>
    <w:numStyleLink w:val="Headingsubdecision"/>
  </w:abstractNum>
  <w:abstractNum w:abstractNumId="12" w15:restartNumberingAfterBreak="0">
    <w:nsid w:val="5AE43910"/>
    <w:multiLevelType w:val="hybridMultilevel"/>
    <w:tmpl w:val="7F56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913FA"/>
    <w:multiLevelType w:val="hybridMultilevel"/>
    <w:tmpl w:val="87C284E4"/>
    <w:lvl w:ilvl="0" w:tplc="0410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3979"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66CA1EB0"/>
    <w:multiLevelType w:val="hybridMultilevel"/>
    <w:tmpl w:val="D0D4FDB8"/>
    <w:lvl w:ilvl="0" w:tplc="D10AF67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12AA81B8">
      <w:start w:val="1"/>
      <w:numFmt w:val="lowerRoman"/>
      <w:lvlText w:val="%3."/>
      <w:lvlJc w:val="right"/>
      <w:pPr>
        <w:ind w:left="990" w:hanging="180"/>
      </w:pPr>
      <w:rPr>
        <w:b w:val="0"/>
        <w:bCs/>
        <w:i w:val="0"/>
        <w:iCs/>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0B7EDE"/>
    <w:multiLevelType w:val="hybridMultilevel"/>
    <w:tmpl w:val="02747AFE"/>
    <w:lvl w:ilvl="0" w:tplc="FFFFFFFF">
      <w:start w:val="1"/>
      <w:numFmt w:val="decimal"/>
      <w:lvlText w:val="%1."/>
      <w:lvlJc w:val="left"/>
      <w:pPr>
        <w:ind w:left="720" w:hanging="360"/>
      </w:pPr>
      <w:rPr>
        <w:rFonts w:hint="default"/>
        <w:b w:val="0"/>
        <w:bCs/>
      </w:rPr>
    </w:lvl>
    <w:lvl w:ilvl="1" w:tplc="E57C7F74">
      <w:start w:val="1"/>
      <w:numFmt w:val="lowerRoman"/>
      <w:lvlText w:val="%2."/>
      <w:lvlJc w:val="right"/>
      <w:pPr>
        <w:ind w:left="1440" w:hanging="360"/>
      </w:pPr>
      <w:rPr>
        <w:i w:val="0"/>
        <w:iCs/>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2251E0"/>
    <w:multiLevelType w:val="hybridMultilevel"/>
    <w:tmpl w:val="2D0225B6"/>
    <w:lvl w:ilvl="0" w:tplc="FFFFFFFF">
      <w:start w:val="1"/>
      <w:numFmt w:val="lowerRoman"/>
      <w:lvlText w:val="%1."/>
      <w:lvlJc w:val="right"/>
      <w:pPr>
        <w:ind w:left="1350" w:hanging="360"/>
      </w:pPr>
      <w:rPr>
        <w:i w:val="0"/>
        <w:iCs/>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8" w15:restartNumberingAfterBreak="0">
    <w:nsid w:val="6C280845"/>
    <w:multiLevelType w:val="hybridMultilevel"/>
    <w:tmpl w:val="D8AA76C0"/>
    <w:lvl w:ilvl="0" w:tplc="FFFFFFFF">
      <w:start w:val="1"/>
      <w:numFmt w:val="decimal"/>
      <w:lvlText w:val="%1."/>
      <w:lvlJc w:val="left"/>
      <w:pPr>
        <w:ind w:left="720" w:hanging="360"/>
      </w:pPr>
      <w:rPr>
        <w:rFonts w:hint="default"/>
        <w:b w:val="0"/>
        <w:bCs/>
      </w:rPr>
    </w:lvl>
    <w:lvl w:ilvl="1" w:tplc="0409001B">
      <w:start w:val="1"/>
      <w:numFmt w:val="lowerRoman"/>
      <w:lvlText w:val="%2."/>
      <w:lvlJc w:val="right"/>
      <w:pPr>
        <w:ind w:left="1440" w:hanging="360"/>
      </w:p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40328E"/>
    <w:multiLevelType w:val="hybridMultilevel"/>
    <w:tmpl w:val="140C5418"/>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7303C2"/>
    <w:multiLevelType w:val="hybridMultilevel"/>
    <w:tmpl w:val="78D03770"/>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2D00D370">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293CE2"/>
    <w:multiLevelType w:val="hybridMultilevel"/>
    <w:tmpl w:val="1A6031C4"/>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B348A4"/>
    <w:multiLevelType w:val="hybridMultilevel"/>
    <w:tmpl w:val="2D0225B6"/>
    <w:lvl w:ilvl="0" w:tplc="0CBA919C">
      <w:start w:val="1"/>
      <w:numFmt w:val="lowerRoman"/>
      <w:lvlText w:val="%1."/>
      <w:lvlJc w:val="right"/>
      <w:pPr>
        <w:ind w:left="1350" w:hanging="360"/>
      </w:pPr>
      <w:rPr>
        <w:i w:val="0"/>
        <w:iCs/>
      </w:rPr>
    </w:lvl>
    <w:lvl w:ilvl="1" w:tplc="04100019">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num w:numId="1" w16cid:durableId="2048870483">
    <w:abstractNumId w:val="14"/>
  </w:num>
  <w:num w:numId="2" w16cid:durableId="1446923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1478946">
    <w:abstractNumId w:val="6"/>
  </w:num>
  <w:num w:numId="4" w16cid:durableId="414784541">
    <w:abstractNumId w:val="7"/>
  </w:num>
  <w:num w:numId="5" w16cid:durableId="643435479">
    <w:abstractNumId w:val="0"/>
  </w:num>
  <w:num w:numId="6" w16cid:durableId="1067728594">
    <w:abstractNumId w:val="1"/>
  </w:num>
  <w:num w:numId="7" w16cid:durableId="1881090101">
    <w:abstractNumId w:val="3"/>
  </w:num>
  <w:num w:numId="8" w16cid:durableId="669219088">
    <w:abstractNumId w:val="15"/>
  </w:num>
  <w:num w:numId="9" w16cid:durableId="167255908">
    <w:abstractNumId w:val="8"/>
  </w:num>
  <w:num w:numId="10" w16cid:durableId="402027143">
    <w:abstractNumId w:val="20"/>
  </w:num>
  <w:num w:numId="11" w16cid:durableId="1205404941">
    <w:abstractNumId w:val="19"/>
  </w:num>
  <w:num w:numId="12" w16cid:durableId="836652317">
    <w:abstractNumId w:val="22"/>
  </w:num>
  <w:num w:numId="13" w16cid:durableId="1754356321">
    <w:abstractNumId w:val="5"/>
  </w:num>
  <w:num w:numId="14" w16cid:durableId="273368932">
    <w:abstractNumId w:val="13"/>
  </w:num>
  <w:num w:numId="15" w16cid:durableId="21519839">
    <w:abstractNumId w:val="21"/>
  </w:num>
  <w:num w:numId="16" w16cid:durableId="1398286645">
    <w:abstractNumId w:val="2"/>
  </w:num>
  <w:num w:numId="17" w16cid:durableId="49614365">
    <w:abstractNumId w:val="10"/>
  </w:num>
  <w:num w:numId="18" w16cid:durableId="770929750">
    <w:abstractNumId w:val="16"/>
  </w:num>
  <w:num w:numId="19" w16cid:durableId="2093383328">
    <w:abstractNumId w:val="18"/>
  </w:num>
  <w:num w:numId="20" w16cid:durableId="1815414061">
    <w:abstractNumId w:val="6"/>
  </w:num>
  <w:num w:numId="21" w16cid:durableId="831679655">
    <w:abstractNumId w:val="6"/>
  </w:num>
  <w:num w:numId="22" w16cid:durableId="322702936">
    <w:abstractNumId w:val="6"/>
  </w:num>
  <w:num w:numId="23" w16cid:durableId="1468544759">
    <w:abstractNumId w:val="6"/>
  </w:num>
  <w:num w:numId="24" w16cid:durableId="1480804505">
    <w:abstractNumId w:val="17"/>
  </w:num>
  <w:num w:numId="25" w16cid:durableId="333142904">
    <w:abstractNumId w:val="6"/>
  </w:num>
  <w:num w:numId="26" w16cid:durableId="339091526">
    <w:abstractNumId w:val="4"/>
  </w:num>
  <w:num w:numId="27" w16cid:durableId="893080335">
    <w:abstractNumId w:val="6"/>
  </w:num>
  <w:num w:numId="28" w16cid:durableId="386301034">
    <w:abstractNumId w:val="6"/>
  </w:num>
  <w:num w:numId="29" w16cid:durableId="838689051">
    <w:abstractNumId w:val="6"/>
  </w:num>
  <w:num w:numId="30" w16cid:durableId="721562542">
    <w:abstractNumId w:val="6"/>
  </w:num>
  <w:num w:numId="31" w16cid:durableId="19547547">
    <w:abstractNumId w:val="6"/>
  </w:num>
  <w:num w:numId="32" w16cid:durableId="1371346213">
    <w:abstractNumId w:val="6"/>
  </w:num>
  <w:num w:numId="33" w16cid:durableId="542331712">
    <w:abstractNumId w:val="6"/>
  </w:num>
  <w:num w:numId="34" w16cid:durableId="1454909908">
    <w:abstractNumId w:val="6"/>
  </w:num>
  <w:num w:numId="35" w16cid:durableId="607782938">
    <w:abstractNumId w:val="6"/>
  </w:num>
  <w:num w:numId="36" w16cid:durableId="254553332">
    <w:abstractNumId w:val="6"/>
  </w:num>
  <w:num w:numId="37" w16cid:durableId="740251902">
    <w:abstractNumId w:val="6"/>
    <w:lvlOverride w:ilvl="0">
      <w:startOverride w:val="1"/>
    </w:lvlOverride>
  </w:num>
  <w:num w:numId="38" w16cid:durableId="2517642">
    <w:abstractNumId w:val="6"/>
  </w:num>
  <w:num w:numId="39" w16cid:durableId="2141264613">
    <w:abstractNumId w:val="6"/>
  </w:num>
  <w:num w:numId="40" w16cid:durableId="848057288">
    <w:abstractNumId w:val="6"/>
  </w:num>
  <w:num w:numId="41" w16cid:durableId="725447294">
    <w:abstractNumId w:val="6"/>
  </w:num>
  <w:num w:numId="42" w16cid:durableId="123935890">
    <w:abstractNumId w:val="6"/>
  </w:num>
  <w:num w:numId="43" w16cid:durableId="2018263162">
    <w:abstractNumId w:val="6"/>
  </w:num>
  <w:num w:numId="44" w16cid:durableId="1451321731">
    <w:abstractNumId w:val="6"/>
  </w:num>
  <w:num w:numId="45" w16cid:durableId="865364303">
    <w:abstractNumId w:val="6"/>
  </w:num>
  <w:num w:numId="46" w16cid:durableId="752892814">
    <w:abstractNumId w:val="6"/>
  </w:num>
  <w:num w:numId="47" w16cid:durableId="2143309772">
    <w:abstractNumId w:val="6"/>
  </w:num>
  <w:num w:numId="48" w16cid:durableId="1805345501">
    <w:abstractNumId w:val="6"/>
  </w:num>
  <w:num w:numId="49" w16cid:durableId="627518361">
    <w:abstractNumId w:val="6"/>
  </w:num>
  <w:num w:numId="50" w16cid:durableId="1333333640">
    <w:abstractNumId w:val="6"/>
  </w:num>
  <w:num w:numId="51" w16cid:durableId="473764901">
    <w:abstractNumId w:val="6"/>
  </w:num>
  <w:num w:numId="52" w16cid:durableId="502668927">
    <w:abstractNumId w:val="6"/>
  </w:num>
  <w:num w:numId="53" w16cid:durableId="1661345904">
    <w:abstractNumId w:val="6"/>
  </w:num>
  <w:num w:numId="54" w16cid:durableId="1391689726">
    <w:abstractNumId w:val="6"/>
  </w:num>
  <w:num w:numId="55" w16cid:durableId="328873147">
    <w:abstractNumId w:val="6"/>
  </w:num>
  <w:num w:numId="56" w16cid:durableId="1660424868">
    <w:abstractNumId w:val="6"/>
  </w:num>
  <w:num w:numId="57" w16cid:durableId="1521360087">
    <w:abstractNumId w:val="6"/>
  </w:num>
  <w:num w:numId="58" w16cid:durableId="253125733">
    <w:abstractNumId w:val="6"/>
  </w:num>
  <w:num w:numId="59" w16cid:durableId="486674589">
    <w:abstractNumId w:val="6"/>
  </w:num>
  <w:num w:numId="60" w16cid:durableId="1253315947">
    <w:abstractNumId w:val="6"/>
  </w:num>
  <w:num w:numId="61" w16cid:durableId="957876080">
    <w:abstractNumId w:val="6"/>
  </w:num>
  <w:num w:numId="62" w16cid:durableId="480535962">
    <w:abstractNumId w:val="6"/>
  </w:num>
  <w:num w:numId="63" w16cid:durableId="1206287497">
    <w:abstractNumId w:val="6"/>
  </w:num>
  <w:num w:numId="64" w16cid:durableId="1238709623">
    <w:abstractNumId w:val="6"/>
  </w:num>
  <w:num w:numId="65" w16cid:durableId="2130198473">
    <w:abstractNumId w:val="6"/>
  </w:num>
  <w:num w:numId="66" w16cid:durableId="1237594952">
    <w:abstractNumId w:val="6"/>
  </w:num>
  <w:num w:numId="67" w16cid:durableId="1556233136">
    <w:abstractNumId w:val="6"/>
  </w:num>
  <w:num w:numId="68" w16cid:durableId="1099108888">
    <w:abstractNumId w:val="6"/>
  </w:num>
  <w:num w:numId="69" w16cid:durableId="1859655742">
    <w:abstractNumId w:val="6"/>
  </w:num>
  <w:num w:numId="70" w16cid:durableId="2023817939">
    <w:abstractNumId w:val="6"/>
  </w:num>
  <w:num w:numId="71" w16cid:durableId="1040008937">
    <w:abstractNumId w:val="6"/>
  </w:num>
  <w:num w:numId="72" w16cid:durableId="1808936102">
    <w:abstractNumId w:val="6"/>
  </w:num>
  <w:num w:numId="73" w16cid:durableId="1607150340">
    <w:abstractNumId w:val="6"/>
  </w:num>
  <w:num w:numId="74" w16cid:durableId="1432700264">
    <w:abstractNumId w:val="6"/>
  </w:num>
  <w:num w:numId="75" w16cid:durableId="1041127396">
    <w:abstractNumId w:val="6"/>
  </w:num>
  <w:num w:numId="76" w16cid:durableId="1816213135">
    <w:abstractNumId w:val="6"/>
  </w:num>
  <w:num w:numId="77" w16cid:durableId="431511844">
    <w:abstractNumId w:val="6"/>
  </w:num>
  <w:num w:numId="78" w16cid:durableId="45031434">
    <w:abstractNumId w:val="6"/>
  </w:num>
  <w:num w:numId="79" w16cid:durableId="1539926877">
    <w:abstractNumId w:val="6"/>
  </w:num>
  <w:num w:numId="80" w16cid:durableId="66609120">
    <w:abstractNumId w:val="6"/>
  </w:num>
  <w:num w:numId="81" w16cid:durableId="1487479373">
    <w:abstractNumId w:val="6"/>
  </w:num>
  <w:num w:numId="82" w16cid:durableId="140198682">
    <w:abstractNumId w:val="6"/>
  </w:num>
  <w:num w:numId="83" w16cid:durableId="1654290324">
    <w:abstractNumId w:val="6"/>
  </w:num>
  <w:num w:numId="84" w16cid:durableId="723062225">
    <w:abstractNumId w:val="6"/>
  </w:num>
  <w:num w:numId="85" w16cid:durableId="49310535">
    <w:abstractNumId w:val="6"/>
  </w:num>
  <w:num w:numId="86" w16cid:durableId="1395278349">
    <w:abstractNumId w:val="6"/>
  </w:num>
  <w:num w:numId="87" w16cid:durableId="1388601139">
    <w:abstractNumId w:val="6"/>
  </w:num>
  <w:num w:numId="88" w16cid:durableId="767577624">
    <w:abstractNumId w:val="6"/>
  </w:num>
  <w:num w:numId="89" w16cid:durableId="609241308">
    <w:abstractNumId w:val="6"/>
  </w:num>
  <w:num w:numId="90" w16cid:durableId="228271658">
    <w:abstractNumId w:val="6"/>
  </w:num>
  <w:num w:numId="91" w16cid:durableId="975916547">
    <w:abstractNumId w:val="6"/>
  </w:num>
  <w:num w:numId="92" w16cid:durableId="702286321">
    <w:abstractNumId w:val="12"/>
  </w:num>
  <w:num w:numId="93" w16cid:durableId="938294970">
    <w:abstractNumId w:val="6"/>
  </w:num>
  <w:num w:numId="94" w16cid:durableId="818493646">
    <w:abstractNumId w:val="6"/>
  </w:num>
  <w:num w:numId="95" w16cid:durableId="384305697">
    <w:abstractNumId w:val="9"/>
  </w:num>
  <w:num w:numId="96" w16cid:durableId="1393306140">
    <w:abstractNumId w:val="6"/>
  </w:num>
  <w:num w:numId="97" w16cid:durableId="1698308748">
    <w:abstractNumId w:val="6"/>
  </w:num>
  <w:num w:numId="98" w16cid:durableId="1656762050">
    <w:abstractNumId w:val="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F1"/>
    <w:rsid w:val="000012F2"/>
    <w:rsid w:val="000021D1"/>
    <w:rsid w:val="00003016"/>
    <w:rsid w:val="00003264"/>
    <w:rsid w:val="0000380D"/>
    <w:rsid w:val="00003AED"/>
    <w:rsid w:val="00004BA0"/>
    <w:rsid w:val="00004E4E"/>
    <w:rsid w:val="00007C3C"/>
    <w:rsid w:val="00012543"/>
    <w:rsid w:val="00012A79"/>
    <w:rsid w:val="00012A86"/>
    <w:rsid w:val="00014909"/>
    <w:rsid w:val="00016219"/>
    <w:rsid w:val="0001779A"/>
    <w:rsid w:val="000212E5"/>
    <w:rsid w:val="00021510"/>
    <w:rsid w:val="00021E9C"/>
    <w:rsid w:val="00022AE2"/>
    <w:rsid w:val="00022FA0"/>
    <w:rsid w:val="000257B5"/>
    <w:rsid w:val="00025D73"/>
    <w:rsid w:val="00025F91"/>
    <w:rsid w:val="000268F9"/>
    <w:rsid w:val="00026E2B"/>
    <w:rsid w:val="00027DF1"/>
    <w:rsid w:val="0003052F"/>
    <w:rsid w:val="0003299F"/>
    <w:rsid w:val="00032D08"/>
    <w:rsid w:val="000340BE"/>
    <w:rsid w:val="00034DB4"/>
    <w:rsid w:val="00035E2B"/>
    <w:rsid w:val="00036B9B"/>
    <w:rsid w:val="00036D4C"/>
    <w:rsid w:val="000370CC"/>
    <w:rsid w:val="0004046C"/>
    <w:rsid w:val="00041DB6"/>
    <w:rsid w:val="00042D0B"/>
    <w:rsid w:val="0004458F"/>
    <w:rsid w:val="00045752"/>
    <w:rsid w:val="00046A99"/>
    <w:rsid w:val="00050536"/>
    <w:rsid w:val="0005140B"/>
    <w:rsid w:val="000521B6"/>
    <w:rsid w:val="000521E6"/>
    <w:rsid w:val="0005249C"/>
    <w:rsid w:val="000540B0"/>
    <w:rsid w:val="0005457B"/>
    <w:rsid w:val="00054B14"/>
    <w:rsid w:val="00056F52"/>
    <w:rsid w:val="00057E0F"/>
    <w:rsid w:val="000604E8"/>
    <w:rsid w:val="00062E0E"/>
    <w:rsid w:val="00066ECD"/>
    <w:rsid w:val="00075C4A"/>
    <w:rsid w:val="00076672"/>
    <w:rsid w:val="00077110"/>
    <w:rsid w:val="00082367"/>
    <w:rsid w:val="0008302D"/>
    <w:rsid w:val="000841F9"/>
    <w:rsid w:val="00084A1C"/>
    <w:rsid w:val="00085C00"/>
    <w:rsid w:val="000864B5"/>
    <w:rsid w:val="00086B0C"/>
    <w:rsid w:val="0008750A"/>
    <w:rsid w:val="00090B01"/>
    <w:rsid w:val="00090BFA"/>
    <w:rsid w:val="000915A7"/>
    <w:rsid w:val="0009165E"/>
    <w:rsid w:val="00091C1C"/>
    <w:rsid w:val="00091E2E"/>
    <w:rsid w:val="00092807"/>
    <w:rsid w:val="00092F4F"/>
    <w:rsid w:val="00093D5A"/>
    <w:rsid w:val="000944C3"/>
    <w:rsid w:val="0009572C"/>
    <w:rsid w:val="000962E4"/>
    <w:rsid w:val="000968B2"/>
    <w:rsid w:val="000977C1"/>
    <w:rsid w:val="000A18EC"/>
    <w:rsid w:val="000A2F85"/>
    <w:rsid w:val="000A3951"/>
    <w:rsid w:val="000A4E92"/>
    <w:rsid w:val="000A4F22"/>
    <w:rsid w:val="000A667A"/>
    <w:rsid w:val="000A6D2D"/>
    <w:rsid w:val="000B0462"/>
    <w:rsid w:val="000B0FDA"/>
    <w:rsid w:val="000B2329"/>
    <w:rsid w:val="000B4B06"/>
    <w:rsid w:val="000B69C7"/>
    <w:rsid w:val="000C12F9"/>
    <w:rsid w:val="000C1816"/>
    <w:rsid w:val="000C1E04"/>
    <w:rsid w:val="000C4613"/>
    <w:rsid w:val="000C5EF7"/>
    <w:rsid w:val="000C5F3C"/>
    <w:rsid w:val="000D1665"/>
    <w:rsid w:val="000D2014"/>
    <w:rsid w:val="000D2403"/>
    <w:rsid w:val="000D2482"/>
    <w:rsid w:val="000D2811"/>
    <w:rsid w:val="000D2B37"/>
    <w:rsid w:val="000D49B1"/>
    <w:rsid w:val="000D74D5"/>
    <w:rsid w:val="000E0423"/>
    <w:rsid w:val="000E359C"/>
    <w:rsid w:val="000E387F"/>
    <w:rsid w:val="000E396A"/>
    <w:rsid w:val="000E3BA3"/>
    <w:rsid w:val="000E43A1"/>
    <w:rsid w:val="000E47F6"/>
    <w:rsid w:val="000E4FFE"/>
    <w:rsid w:val="000E61DE"/>
    <w:rsid w:val="000E7496"/>
    <w:rsid w:val="000E7684"/>
    <w:rsid w:val="000F1EB7"/>
    <w:rsid w:val="000F2639"/>
    <w:rsid w:val="000F2CD7"/>
    <w:rsid w:val="000F2DA1"/>
    <w:rsid w:val="000F54CA"/>
    <w:rsid w:val="001011D5"/>
    <w:rsid w:val="00101901"/>
    <w:rsid w:val="00101B08"/>
    <w:rsid w:val="00101EA2"/>
    <w:rsid w:val="001037DE"/>
    <w:rsid w:val="00103F05"/>
    <w:rsid w:val="001057B9"/>
    <w:rsid w:val="00105DEE"/>
    <w:rsid w:val="00106CE5"/>
    <w:rsid w:val="0010727B"/>
    <w:rsid w:val="00110952"/>
    <w:rsid w:val="00111BBC"/>
    <w:rsid w:val="00111BD2"/>
    <w:rsid w:val="00111C08"/>
    <w:rsid w:val="001136CC"/>
    <w:rsid w:val="0011373D"/>
    <w:rsid w:val="00113F7C"/>
    <w:rsid w:val="00116253"/>
    <w:rsid w:val="00116D79"/>
    <w:rsid w:val="0012058A"/>
    <w:rsid w:val="001206DE"/>
    <w:rsid w:val="001210B5"/>
    <w:rsid w:val="00121A88"/>
    <w:rsid w:val="001229EF"/>
    <w:rsid w:val="00123386"/>
    <w:rsid w:val="001237B4"/>
    <w:rsid w:val="00125D9A"/>
    <w:rsid w:val="001268E2"/>
    <w:rsid w:val="00132261"/>
    <w:rsid w:val="0013232F"/>
    <w:rsid w:val="0013254E"/>
    <w:rsid w:val="001348D6"/>
    <w:rsid w:val="00134BD0"/>
    <w:rsid w:val="00135214"/>
    <w:rsid w:val="001356EF"/>
    <w:rsid w:val="00135E6A"/>
    <w:rsid w:val="00136E20"/>
    <w:rsid w:val="001427DD"/>
    <w:rsid w:val="00143511"/>
    <w:rsid w:val="0014538B"/>
    <w:rsid w:val="00145C11"/>
    <w:rsid w:val="001460FE"/>
    <w:rsid w:val="00146941"/>
    <w:rsid w:val="0015080F"/>
    <w:rsid w:val="00151A28"/>
    <w:rsid w:val="00151AF5"/>
    <w:rsid w:val="00151EF2"/>
    <w:rsid w:val="00152537"/>
    <w:rsid w:val="001535CD"/>
    <w:rsid w:val="001538F3"/>
    <w:rsid w:val="00154265"/>
    <w:rsid w:val="001549FB"/>
    <w:rsid w:val="0015508C"/>
    <w:rsid w:val="00156149"/>
    <w:rsid w:val="0016127D"/>
    <w:rsid w:val="001633B1"/>
    <w:rsid w:val="00163914"/>
    <w:rsid w:val="00163E7F"/>
    <w:rsid w:val="001643B0"/>
    <w:rsid w:val="00164762"/>
    <w:rsid w:val="00164BCF"/>
    <w:rsid w:val="00164C20"/>
    <w:rsid w:val="00167664"/>
    <w:rsid w:val="00167867"/>
    <w:rsid w:val="0017030D"/>
    <w:rsid w:val="00170700"/>
    <w:rsid w:val="0017100B"/>
    <w:rsid w:val="0017128A"/>
    <w:rsid w:val="001726DC"/>
    <w:rsid w:val="00176CF9"/>
    <w:rsid w:val="001771C3"/>
    <w:rsid w:val="0017744E"/>
    <w:rsid w:val="00177890"/>
    <w:rsid w:val="001818FC"/>
    <w:rsid w:val="00182EEE"/>
    <w:rsid w:val="00185A20"/>
    <w:rsid w:val="00186BF0"/>
    <w:rsid w:val="001878D1"/>
    <w:rsid w:val="001902C8"/>
    <w:rsid w:val="00191B11"/>
    <w:rsid w:val="00191DD1"/>
    <w:rsid w:val="00192807"/>
    <w:rsid w:val="00192D5A"/>
    <w:rsid w:val="0019397C"/>
    <w:rsid w:val="001961DF"/>
    <w:rsid w:val="0019707E"/>
    <w:rsid w:val="001977CC"/>
    <w:rsid w:val="001A0F6A"/>
    <w:rsid w:val="001A2274"/>
    <w:rsid w:val="001A29FA"/>
    <w:rsid w:val="001A4248"/>
    <w:rsid w:val="001A58A7"/>
    <w:rsid w:val="001A6512"/>
    <w:rsid w:val="001A6898"/>
    <w:rsid w:val="001A6D0F"/>
    <w:rsid w:val="001B0974"/>
    <w:rsid w:val="001B0B47"/>
    <w:rsid w:val="001B0BC3"/>
    <w:rsid w:val="001B1690"/>
    <w:rsid w:val="001B2C8F"/>
    <w:rsid w:val="001B2E0D"/>
    <w:rsid w:val="001B34CE"/>
    <w:rsid w:val="001B3FE4"/>
    <w:rsid w:val="001B4D6C"/>
    <w:rsid w:val="001B5342"/>
    <w:rsid w:val="001B5430"/>
    <w:rsid w:val="001B643E"/>
    <w:rsid w:val="001B6B5C"/>
    <w:rsid w:val="001C10D7"/>
    <w:rsid w:val="001C1FED"/>
    <w:rsid w:val="001C25D0"/>
    <w:rsid w:val="001C2779"/>
    <w:rsid w:val="001C2E16"/>
    <w:rsid w:val="001C333C"/>
    <w:rsid w:val="001C3A85"/>
    <w:rsid w:val="001C5D23"/>
    <w:rsid w:val="001C7C2D"/>
    <w:rsid w:val="001D003C"/>
    <w:rsid w:val="001D175C"/>
    <w:rsid w:val="001D4FA3"/>
    <w:rsid w:val="001D5647"/>
    <w:rsid w:val="001D5834"/>
    <w:rsid w:val="001D58F4"/>
    <w:rsid w:val="001D5A13"/>
    <w:rsid w:val="001D5AF5"/>
    <w:rsid w:val="001D5ED6"/>
    <w:rsid w:val="001D7F40"/>
    <w:rsid w:val="001E160D"/>
    <w:rsid w:val="001E44BF"/>
    <w:rsid w:val="001E4887"/>
    <w:rsid w:val="001E54D7"/>
    <w:rsid w:val="001E6D4F"/>
    <w:rsid w:val="001E715F"/>
    <w:rsid w:val="001F23C7"/>
    <w:rsid w:val="001F28C5"/>
    <w:rsid w:val="001F34D9"/>
    <w:rsid w:val="001F3A8E"/>
    <w:rsid w:val="001F3C6E"/>
    <w:rsid w:val="001F3F82"/>
    <w:rsid w:val="001F41CF"/>
    <w:rsid w:val="001F78A0"/>
    <w:rsid w:val="00200EF4"/>
    <w:rsid w:val="00201830"/>
    <w:rsid w:val="00203881"/>
    <w:rsid w:val="00204C1E"/>
    <w:rsid w:val="00205C92"/>
    <w:rsid w:val="002060D6"/>
    <w:rsid w:val="002069B1"/>
    <w:rsid w:val="00210333"/>
    <w:rsid w:val="00210536"/>
    <w:rsid w:val="00211B50"/>
    <w:rsid w:val="00211F94"/>
    <w:rsid w:val="00213523"/>
    <w:rsid w:val="00215B93"/>
    <w:rsid w:val="002170E3"/>
    <w:rsid w:val="002222B9"/>
    <w:rsid w:val="0022425F"/>
    <w:rsid w:val="002253F2"/>
    <w:rsid w:val="00225521"/>
    <w:rsid w:val="00226B7D"/>
    <w:rsid w:val="00227616"/>
    <w:rsid w:val="00227DF1"/>
    <w:rsid w:val="00227FB9"/>
    <w:rsid w:val="002305EE"/>
    <w:rsid w:val="00232567"/>
    <w:rsid w:val="0023506C"/>
    <w:rsid w:val="002351EA"/>
    <w:rsid w:val="002352B0"/>
    <w:rsid w:val="0023552F"/>
    <w:rsid w:val="00235A89"/>
    <w:rsid w:val="00237F88"/>
    <w:rsid w:val="00240170"/>
    <w:rsid w:val="00242101"/>
    <w:rsid w:val="002438B0"/>
    <w:rsid w:val="00243A3C"/>
    <w:rsid w:val="002459AF"/>
    <w:rsid w:val="00245C22"/>
    <w:rsid w:val="00245E9E"/>
    <w:rsid w:val="0024724C"/>
    <w:rsid w:val="00247577"/>
    <w:rsid w:val="00247ECF"/>
    <w:rsid w:val="002507AB"/>
    <w:rsid w:val="00250EBF"/>
    <w:rsid w:val="0025227B"/>
    <w:rsid w:val="00252AB0"/>
    <w:rsid w:val="00252CE8"/>
    <w:rsid w:val="002559F7"/>
    <w:rsid w:val="00255D05"/>
    <w:rsid w:val="002604F3"/>
    <w:rsid w:val="002608A5"/>
    <w:rsid w:val="00261B66"/>
    <w:rsid w:val="002621D8"/>
    <w:rsid w:val="00264C90"/>
    <w:rsid w:val="00265068"/>
    <w:rsid w:val="002653B3"/>
    <w:rsid w:val="0026685B"/>
    <w:rsid w:val="00267B8D"/>
    <w:rsid w:val="00267F0B"/>
    <w:rsid w:val="0027088C"/>
    <w:rsid w:val="002724A5"/>
    <w:rsid w:val="00273166"/>
    <w:rsid w:val="00273502"/>
    <w:rsid w:val="00273F6F"/>
    <w:rsid w:val="00275A94"/>
    <w:rsid w:val="002765C0"/>
    <w:rsid w:val="00276641"/>
    <w:rsid w:val="00276EB2"/>
    <w:rsid w:val="00277651"/>
    <w:rsid w:val="0028045E"/>
    <w:rsid w:val="002813F9"/>
    <w:rsid w:val="00281EA4"/>
    <w:rsid w:val="00281F70"/>
    <w:rsid w:val="002835B6"/>
    <w:rsid w:val="00284393"/>
    <w:rsid w:val="00284C8B"/>
    <w:rsid w:val="00286398"/>
    <w:rsid w:val="00287E39"/>
    <w:rsid w:val="00290F0C"/>
    <w:rsid w:val="00293A79"/>
    <w:rsid w:val="00297D76"/>
    <w:rsid w:val="002A0D33"/>
    <w:rsid w:val="002A106D"/>
    <w:rsid w:val="002A2594"/>
    <w:rsid w:val="002A2B11"/>
    <w:rsid w:val="002A2FE3"/>
    <w:rsid w:val="002A3256"/>
    <w:rsid w:val="002A482B"/>
    <w:rsid w:val="002A65D5"/>
    <w:rsid w:val="002A6E77"/>
    <w:rsid w:val="002A7684"/>
    <w:rsid w:val="002B0495"/>
    <w:rsid w:val="002B2773"/>
    <w:rsid w:val="002B3ED7"/>
    <w:rsid w:val="002B4D4C"/>
    <w:rsid w:val="002B5374"/>
    <w:rsid w:val="002C044E"/>
    <w:rsid w:val="002C10D8"/>
    <w:rsid w:val="002C1402"/>
    <w:rsid w:val="002C14AB"/>
    <w:rsid w:val="002C2979"/>
    <w:rsid w:val="002C2DC9"/>
    <w:rsid w:val="002C4397"/>
    <w:rsid w:val="002C51A9"/>
    <w:rsid w:val="002C5D60"/>
    <w:rsid w:val="002C70D1"/>
    <w:rsid w:val="002C735A"/>
    <w:rsid w:val="002D00D9"/>
    <w:rsid w:val="002D1A1F"/>
    <w:rsid w:val="002D268F"/>
    <w:rsid w:val="002D33F1"/>
    <w:rsid w:val="002D343E"/>
    <w:rsid w:val="002D402C"/>
    <w:rsid w:val="002D4BE0"/>
    <w:rsid w:val="002D5D5B"/>
    <w:rsid w:val="002D5E38"/>
    <w:rsid w:val="002D7912"/>
    <w:rsid w:val="002D7AD9"/>
    <w:rsid w:val="002E1132"/>
    <w:rsid w:val="002E1D15"/>
    <w:rsid w:val="002E364A"/>
    <w:rsid w:val="002E41DB"/>
    <w:rsid w:val="002E4632"/>
    <w:rsid w:val="002E5072"/>
    <w:rsid w:val="002E5702"/>
    <w:rsid w:val="002E691A"/>
    <w:rsid w:val="002F0FD0"/>
    <w:rsid w:val="002F27EF"/>
    <w:rsid w:val="002F4197"/>
    <w:rsid w:val="002F46D9"/>
    <w:rsid w:val="002F721C"/>
    <w:rsid w:val="003016B1"/>
    <w:rsid w:val="003017ED"/>
    <w:rsid w:val="00303BF7"/>
    <w:rsid w:val="003049B6"/>
    <w:rsid w:val="00304ED8"/>
    <w:rsid w:val="00307111"/>
    <w:rsid w:val="0030744C"/>
    <w:rsid w:val="00310CD4"/>
    <w:rsid w:val="00313DEE"/>
    <w:rsid w:val="00315B69"/>
    <w:rsid w:val="003167E6"/>
    <w:rsid w:val="00316B7B"/>
    <w:rsid w:val="00316C80"/>
    <w:rsid w:val="003202F4"/>
    <w:rsid w:val="00322322"/>
    <w:rsid w:val="0032241B"/>
    <w:rsid w:val="003236D2"/>
    <w:rsid w:val="00324485"/>
    <w:rsid w:val="00324E25"/>
    <w:rsid w:val="00326DB1"/>
    <w:rsid w:val="00330B94"/>
    <w:rsid w:val="0033136C"/>
    <w:rsid w:val="003316DE"/>
    <w:rsid w:val="003336E5"/>
    <w:rsid w:val="0033445F"/>
    <w:rsid w:val="0033553A"/>
    <w:rsid w:val="00335A0B"/>
    <w:rsid w:val="00336C8B"/>
    <w:rsid w:val="00340D09"/>
    <w:rsid w:val="00340ED4"/>
    <w:rsid w:val="0034279F"/>
    <w:rsid w:val="00343164"/>
    <w:rsid w:val="00343545"/>
    <w:rsid w:val="003442E5"/>
    <w:rsid w:val="00344BE3"/>
    <w:rsid w:val="00345550"/>
    <w:rsid w:val="00345D5D"/>
    <w:rsid w:val="0034793C"/>
    <w:rsid w:val="00351699"/>
    <w:rsid w:val="0035420E"/>
    <w:rsid w:val="00354831"/>
    <w:rsid w:val="003549FE"/>
    <w:rsid w:val="00354BE9"/>
    <w:rsid w:val="00354CA1"/>
    <w:rsid w:val="003551BA"/>
    <w:rsid w:val="00355586"/>
    <w:rsid w:val="003578AD"/>
    <w:rsid w:val="00361623"/>
    <w:rsid w:val="00362B87"/>
    <w:rsid w:val="00362C44"/>
    <w:rsid w:val="003648AE"/>
    <w:rsid w:val="00364F08"/>
    <w:rsid w:val="003666D8"/>
    <w:rsid w:val="00366A78"/>
    <w:rsid w:val="00366B72"/>
    <w:rsid w:val="00366EC1"/>
    <w:rsid w:val="00367638"/>
    <w:rsid w:val="003709AE"/>
    <w:rsid w:val="003709D6"/>
    <w:rsid w:val="00371501"/>
    <w:rsid w:val="003729E7"/>
    <w:rsid w:val="00373873"/>
    <w:rsid w:val="0037642E"/>
    <w:rsid w:val="00377524"/>
    <w:rsid w:val="00382D54"/>
    <w:rsid w:val="003857C9"/>
    <w:rsid w:val="003874B5"/>
    <w:rsid w:val="00387A27"/>
    <w:rsid w:val="00390595"/>
    <w:rsid w:val="003907D5"/>
    <w:rsid w:val="003922A8"/>
    <w:rsid w:val="00392989"/>
    <w:rsid w:val="00392D00"/>
    <w:rsid w:val="00397B62"/>
    <w:rsid w:val="00397DEC"/>
    <w:rsid w:val="003A02E8"/>
    <w:rsid w:val="003A1235"/>
    <w:rsid w:val="003A144C"/>
    <w:rsid w:val="003A28DC"/>
    <w:rsid w:val="003A2FEB"/>
    <w:rsid w:val="003A4ABC"/>
    <w:rsid w:val="003A4B5B"/>
    <w:rsid w:val="003A4CE7"/>
    <w:rsid w:val="003A6F23"/>
    <w:rsid w:val="003A7CDE"/>
    <w:rsid w:val="003B2482"/>
    <w:rsid w:val="003B2FE0"/>
    <w:rsid w:val="003B36B6"/>
    <w:rsid w:val="003B534D"/>
    <w:rsid w:val="003B5673"/>
    <w:rsid w:val="003B5AC6"/>
    <w:rsid w:val="003B6970"/>
    <w:rsid w:val="003B7389"/>
    <w:rsid w:val="003B7CC8"/>
    <w:rsid w:val="003C20B2"/>
    <w:rsid w:val="003C2D55"/>
    <w:rsid w:val="003C5F11"/>
    <w:rsid w:val="003C5F7C"/>
    <w:rsid w:val="003C6DCE"/>
    <w:rsid w:val="003C7328"/>
    <w:rsid w:val="003D0200"/>
    <w:rsid w:val="003D1A9F"/>
    <w:rsid w:val="003D28AD"/>
    <w:rsid w:val="003D29D4"/>
    <w:rsid w:val="003D2D86"/>
    <w:rsid w:val="003D39EB"/>
    <w:rsid w:val="003D3A14"/>
    <w:rsid w:val="003D3EA3"/>
    <w:rsid w:val="003D4321"/>
    <w:rsid w:val="003D49B5"/>
    <w:rsid w:val="003D5955"/>
    <w:rsid w:val="003D5E72"/>
    <w:rsid w:val="003D6881"/>
    <w:rsid w:val="003D77BF"/>
    <w:rsid w:val="003D7E53"/>
    <w:rsid w:val="003E159C"/>
    <w:rsid w:val="003E2684"/>
    <w:rsid w:val="003E2C4F"/>
    <w:rsid w:val="003E2CFE"/>
    <w:rsid w:val="003E455A"/>
    <w:rsid w:val="003E4E30"/>
    <w:rsid w:val="003E64F2"/>
    <w:rsid w:val="003F0115"/>
    <w:rsid w:val="003F23B5"/>
    <w:rsid w:val="003F2A73"/>
    <w:rsid w:val="003F3A64"/>
    <w:rsid w:val="003F61A7"/>
    <w:rsid w:val="003F6BE4"/>
    <w:rsid w:val="003F7D47"/>
    <w:rsid w:val="00400913"/>
    <w:rsid w:val="0040173D"/>
    <w:rsid w:val="00401A0F"/>
    <w:rsid w:val="00401C5A"/>
    <w:rsid w:val="00402B7D"/>
    <w:rsid w:val="0040539B"/>
    <w:rsid w:val="00406035"/>
    <w:rsid w:val="00407599"/>
    <w:rsid w:val="004075B2"/>
    <w:rsid w:val="00410EE5"/>
    <w:rsid w:val="00414486"/>
    <w:rsid w:val="00414770"/>
    <w:rsid w:val="00414B47"/>
    <w:rsid w:val="00415BE0"/>
    <w:rsid w:val="00416D6E"/>
    <w:rsid w:val="0042006F"/>
    <w:rsid w:val="00420146"/>
    <w:rsid w:val="00420782"/>
    <w:rsid w:val="00422307"/>
    <w:rsid w:val="0042282D"/>
    <w:rsid w:val="00423EB3"/>
    <w:rsid w:val="00427011"/>
    <w:rsid w:val="00427F26"/>
    <w:rsid w:val="00430F04"/>
    <w:rsid w:val="00432BFB"/>
    <w:rsid w:val="0043306D"/>
    <w:rsid w:val="004334D2"/>
    <w:rsid w:val="0043376B"/>
    <w:rsid w:val="004338D7"/>
    <w:rsid w:val="00434794"/>
    <w:rsid w:val="00434978"/>
    <w:rsid w:val="00434A0E"/>
    <w:rsid w:val="004362D0"/>
    <w:rsid w:val="0043685D"/>
    <w:rsid w:val="0043727D"/>
    <w:rsid w:val="00437BDC"/>
    <w:rsid w:val="00441F00"/>
    <w:rsid w:val="004424D7"/>
    <w:rsid w:val="00442F9A"/>
    <w:rsid w:val="004439B8"/>
    <w:rsid w:val="00445195"/>
    <w:rsid w:val="00445A48"/>
    <w:rsid w:val="00446180"/>
    <w:rsid w:val="00446575"/>
    <w:rsid w:val="004508A5"/>
    <w:rsid w:val="004509FC"/>
    <w:rsid w:val="00450BB8"/>
    <w:rsid w:val="00452EFE"/>
    <w:rsid w:val="00453904"/>
    <w:rsid w:val="00454E31"/>
    <w:rsid w:val="004554E8"/>
    <w:rsid w:val="004579B7"/>
    <w:rsid w:val="00460553"/>
    <w:rsid w:val="00460BFA"/>
    <w:rsid w:val="00461464"/>
    <w:rsid w:val="0046231A"/>
    <w:rsid w:val="004627CF"/>
    <w:rsid w:val="004633A7"/>
    <w:rsid w:val="00465430"/>
    <w:rsid w:val="00465734"/>
    <w:rsid w:val="00466373"/>
    <w:rsid w:val="004669B2"/>
    <w:rsid w:val="004677E3"/>
    <w:rsid w:val="004678F1"/>
    <w:rsid w:val="00470249"/>
    <w:rsid w:val="004709D7"/>
    <w:rsid w:val="00471100"/>
    <w:rsid w:val="004716BA"/>
    <w:rsid w:val="0047196E"/>
    <w:rsid w:val="0047247F"/>
    <w:rsid w:val="00472A94"/>
    <w:rsid w:val="00472CE1"/>
    <w:rsid w:val="00473697"/>
    <w:rsid w:val="004758EE"/>
    <w:rsid w:val="0048407B"/>
    <w:rsid w:val="004859A3"/>
    <w:rsid w:val="00485CC8"/>
    <w:rsid w:val="0048679F"/>
    <w:rsid w:val="00486809"/>
    <w:rsid w:val="00487B3B"/>
    <w:rsid w:val="00491908"/>
    <w:rsid w:val="00491BD0"/>
    <w:rsid w:val="00492468"/>
    <w:rsid w:val="00492A57"/>
    <w:rsid w:val="004938CD"/>
    <w:rsid w:val="00493F09"/>
    <w:rsid w:val="00495B2E"/>
    <w:rsid w:val="004963DE"/>
    <w:rsid w:val="0049770E"/>
    <w:rsid w:val="004979FB"/>
    <w:rsid w:val="00497C1B"/>
    <w:rsid w:val="004A04A5"/>
    <w:rsid w:val="004A10D9"/>
    <w:rsid w:val="004A416F"/>
    <w:rsid w:val="004A599B"/>
    <w:rsid w:val="004A5FDD"/>
    <w:rsid w:val="004A77F7"/>
    <w:rsid w:val="004A7C06"/>
    <w:rsid w:val="004A7C3D"/>
    <w:rsid w:val="004B0BD6"/>
    <w:rsid w:val="004B0FBA"/>
    <w:rsid w:val="004B26F8"/>
    <w:rsid w:val="004B2E23"/>
    <w:rsid w:val="004B4884"/>
    <w:rsid w:val="004B746F"/>
    <w:rsid w:val="004C0D2C"/>
    <w:rsid w:val="004C1FD7"/>
    <w:rsid w:val="004C3649"/>
    <w:rsid w:val="004C3D21"/>
    <w:rsid w:val="004C63A3"/>
    <w:rsid w:val="004C6AAD"/>
    <w:rsid w:val="004C6C15"/>
    <w:rsid w:val="004C7777"/>
    <w:rsid w:val="004C78FA"/>
    <w:rsid w:val="004D0325"/>
    <w:rsid w:val="004D06CC"/>
    <w:rsid w:val="004D1D9E"/>
    <w:rsid w:val="004D2342"/>
    <w:rsid w:val="004D3573"/>
    <w:rsid w:val="004E0EE8"/>
    <w:rsid w:val="004E18B6"/>
    <w:rsid w:val="004E21BE"/>
    <w:rsid w:val="004E2A65"/>
    <w:rsid w:val="004E31E9"/>
    <w:rsid w:val="004E38FD"/>
    <w:rsid w:val="004E439D"/>
    <w:rsid w:val="004E5912"/>
    <w:rsid w:val="004E6CE9"/>
    <w:rsid w:val="004E6F9C"/>
    <w:rsid w:val="004E7BFE"/>
    <w:rsid w:val="004F1B76"/>
    <w:rsid w:val="004F41E8"/>
    <w:rsid w:val="004F4632"/>
    <w:rsid w:val="004F6EA1"/>
    <w:rsid w:val="0050051F"/>
    <w:rsid w:val="005034DD"/>
    <w:rsid w:val="0050371D"/>
    <w:rsid w:val="00503B7F"/>
    <w:rsid w:val="005063F0"/>
    <w:rsid w:val="00506B40"/>
    <w:rsid w:val="00506F05"/>
    <w:rsid w:val="00507DA1"/>
    <w:rsid w:val="00510A18"/>
    <w:rsid w:val="005118A2"/>
    <w:rsid w:val="00512647"/>
    <w:rsid w:val="005137D1"/>
    <w:rsid w:val="0051587A"/>
    <w:rsid w:val="0051710B"/>
    <w:rsid w:val="00517175"/>
    <w:rsid w:val="005174FE"/>
    <w:rsid w:val="005177E7"/>
    <w:rsid w:val="00520401"/>
    <w:rsid w:val="0052045E"/>
    <w:rsid w:val="00520878"/>
    <w:rsid w:val="00520A02"/>
    <w:rsid w:val="00520BC4"/>
    <w:rsid w:val="0052144A"/>
    <w:rsid w:val="005219E3"/>
    <w:rsid w:val="00521B04"/>
    <w:rsid w:val="00521D81"/>
    <w:rsid w:val="00525A13"/>
    <w:rsid w:val="00526446"/>
    <w:rsid w:val="0053072F"/>
    <w:rsid w:val="00530BBC"/>
    <w:rsid w:val="00531768"/>
    <w:rsid w:val="00532B92"/>
    <w:rsid w:val="00533370"/>
    <w:rsid w:val="00533F10"/>
    <w:rsid w:val="00534B60"/>
    <w:rsid w:val="00535110"/>
    <w:rsid w:val="0053703B"/>
    <w:rsid w:val="00537D97"/>
    <w:rsid w:val="00540799"/>
    <w:rsid w:val="00541AAD"/>
    <w:rsid w:val="00542F45"/>
    <w:rsid w:val="00542F6B"/>
    <w:rsid w:val="00543911"/>
    <w:rsid w:val="00544368"/>
    <w:rsid w:val="005470E2"/>
    <w:rsid w:val="005508D1"/>
    <w:rsid w:val="0055114C"/>
    <w:rsid w:val="0055212C"/>
    <w:rsid w:val="00552486"/>
    <w:rsid w:val="00552F44"/>
    <w:rsid w:val="00552FFF"/>
    <w:rsid w:val="00553374"/>
    <w:rsid w:val="005546BC"/>
    <w:rsid w:val="005564AC"/>
    <w:rsid w:val="0055763B"/>
    <w:rsid w:val="00557853"/>
    <w:rsid w:val="00561A98"/>
    <w:rsid w:val="00561B80"/>
    <w:rsid w:val="005622E6"/>
    <w:rsid w:val="00562D8A"/>
    <w:rsid w:val="0056321C"/>
    <w:rsid w:val="005635FF"/>
    <w:rsid w:val="00564022"/>
    <w:rsid w:val="00564F37"/>
    <w:rsid w:val="00565881"/>
    <w:rsid w:val="00567656"/>
    <w:rsid w:val="00570735"/>
    <w:rsid w:val="00572860"/>
    <w:rsid w:val="00572D8B"/>
    <w:rsid w:val="005736D3"/>
    <w:rsid w:val="0057440E"/>
    <w:rsid w:val="00575575"/>
    <w:rsid w:val="00575905"/>
    <w:rsid w:val="00575982"/>
    <w:rsid w:val="00581108"/>
    <w:rsid w:val="005833F6"/>
    <w:rsid w:val="0058383F"/>
    <w:rsid w:val="00583861"/>
    <w:rsid w:val="00584C6C"/>
    <w:rsid w:val="00584DC7"/>
    <w:rsid w:val="005861D2"/>
    <w:rsid w:val="00590A6B"/>
    <w:rsid w:val="00590BED"/>
    <w:rsid w:val="005918BA"/>
    <w:rsid w:val="00591BDB"/>
    <w:rsid w:val="00591EB7"/>
    <w:rsid w:val="0059211E"/>
    <w:rsid w:val="00592B45"/>
    <w:rsid w:val="00592DB7"/>
    <w:rsid w:val="0059357A"/>
    <w:rsid w:val="00594FBD"/>
    <w:rsid w:val="0059639D"/>
    <w:rsid w:val="0059643A"/>
    <w:rsid w:val="0059775C"/>
    <w:rsid w:val="00597917"/>
    <w:rsid w:val="005A0E86"/>
    <w:rsid w:val="005A3E13"/>
    <w:rsid w:val="005A445E"/>
    <w:rsid w:val="005A4C1D"/>
    <w:rsid w:val="005A68DA"/>
    <w:rsid w:val="005A7E76"/>
    <w:rsid w:val="005B0D53"/>
    <w:rsid w:val="005B1116"/>
    <w:rsid w:val="005B11B9"/>
    <w:rsid w:val="005B3204"/>
    <w:rsid w:val="005B3223"/>
    <w:rsid w:val="005B45F8"/>
    <w:rsid w:val="005B4AA1"/>
    <w:rsid w:val="005B5B71"/>
    <w:rsid w:val="005B66E9"/>
    <w:rsid w:val="005B68D7"/>
    <w:rsid w:val="005B6F2B"/>
    <w:rsid w:val="005B7005"/>
    <w:rsid w:val="005B73FC"/>
    <w:rsid w:val="005B7708"/>
    <w:rsid w:val="005C163F"/>
    <w:rsid w:val="005C235B"/>
    <w:rsid w:val="005C2B7E"/>
    <w:rsid w:val="005C41AC"/>
    <w:rsid w:val="005C5678"/>
    <w:rsid w:val="005C5E72"/>
    <w:rsid w:val="005C6C61"/>
    <w:rsid w:val="005C79ED"/>
    <w:rsid w:val="005D28DF"/>
    <w:rsid w:val="005D2954"/>
    <w:rsid w:val="005D48F3"/>
    <w:rsid w:val="005D4916"/>
    <w:rsid w:val="005D4D8A"/>
    <w:rsid w:val="005D55C0"/>
    <w:rsid w:val="005D5D3C"/>
    <w:rsid w:val="005D7AAF"/>
    <w:rsid w:val="005E0272"/>
    <w:rsid w:val="005E0405"/>
    <w:rsid w:val="005E133B"/>
    <w:rsid w:val="005E1705"/>
    <w:rsid w:val="005E2EC6"/>
    <w:rsid w:val="005E36FD"/>
    <w:rsid w:val="005E5259"/>
    <w:rsid w:val="005E591D"/>
    <w:rsid w:val="005E62A8"/>
    <w:rsid w:val="005E710F"/>
    <w:rsid w:val="005E7479"/>
    <w:rsid w:val="005E7715"/>
    <w:rsid w:val="005F217F"/>
    <w:rsid w:val="005F4AB7"/>
    <w:rsid w:val="005F6D1C"/>
    <w:rsid w:val="005F6FED"/>
    <w:rsid w:val="005F7B51"/>
    <w:rsid w:val="005F7DAC"/>
    <w:rsid w:val="00600661"/>
    <w:rsid w:val="006006CE"/>
    <w:rsid w:val="006008CE"/>
    <w:rsid w:val="00600AFC"/>
    <w:rsid w:val="006022E4"/>
    <w:rsid w:val="00603C00"/>
    <w:rsid w:val="00604C03"/>
    <w:rsid w:val="006058F6"/>
    <w:rsid w:val="00606C97"/>
    <w:rsid w:val="0060718D"/>
    <w:rsid w:val="00607AD4"/>
    <w:rsid w:val="00607EC6"/>
    <w:rsid w:val="006100A3"/>
    <w:rsid w:val="00610FF2"/>
    <w:rsid w:val="00612763"/>
    <w:rsid w:val="00613C60"/>
    <w:rsid w:val="00614F3E"/>
    <w:rsid w:val="0061759C"/>
    <w:rsid w:val="00620E80"/>
    <w:rsid w:val="00621A3A"/>
    <w:rsid w:val="00621E50"/>
    <w:rsid w:val="0062243D"/>
    <w:rsid w:val="006258FA"/>
    <w:rsid w:val="00626509"/>
    <w:rsid w:val="0062670A"/>
    <w:rsid w:val="0063149D"/>
    <w:rsid w:val="00631945"/>
    <w:rsid w:val="00631B5E"/>
    <w:rsid w:val="00637312"/>
    <w:rsid w:val="00637684"/>
    <w:rsid w:val="00637894"/>
    <w:rsid w:val="00637B8B"/>
    <w:rsid w:val="00640BF4"/>
    <w:rsid w:val="00641F32"/>
    <w:rsid w:val="00642BA7"/>
    <w:rsid w:val="0064506C"/>
    <w:rsid w:val="0064561C"/>
    <w:rsid w:val="00646AB5"/>
    <w:rsid w:val="00651D61"/>
    <w:rsid w:val="00651E4F"/>
    <w:rsid w:val="00654E31"/>
    <w:rsid w:val="006551B7"/>
    <w:rsid w:val="00656368"/>
    <w:rsid w:val="0065722A"/>
    <w:rsid w:val="006578F0"/>
    <w:rsid w:val="00657C60"/>
    <w:rsid w:val="006609D6"/>
    <w:rsid w:val="00660FB0"/>
    <w:rsid w:val="00661CBA"/>
    <w:rsid w:val="0066441A"/>
    <w:rsid w:val="006660FD"/>
    <w:rsid w:val="006664E7"/>
    <w:rsid w:val="0066695D"/>
    <w:rsid w:val="00666BDC"/>
    <w:rsid w:val="0067248F"/>
    <w:rsid w:val="00673680"/>
    <w:rsid w:val="006739D5"/>
    <w:rsid w:val="00673CD0"/>
    <w:rsid w:val="00676036"/>
    <w:rsid w:val="00677925"/>
    <w:rsid w:val="00677954"/>
    <w:rsid w:val="00677D03"/>
    <w:rsid w:val="006835B3"/>
    <w:rsid w:val="00684E61"/>
    <w:rsid w:val="00686764"/>
    <w:rsid w:val="0068694A"/>
    <w:rsid w:val="00686A6F"/>
    <w:rsid w:val="00686A9A"/>
    <w:rsid w:val="006876C2"/>
    <w:rsid w:val="00687871"/>
    <w:rsid w:val="00687F22"/>
    <w:rsid w:val="006906EB"/>
    <w:rsid w:val="00690F2F"/>
    <w:rsid w:val="00692D5C"/>
    <w:rsid w:val="006935CC"/>
    <w:rsid w:val="0069380D"/>
    <w:rsid w:val="00693977"/>
    <w:rsid w:val="00694A8E"/>
    <w:rsid w:val="00694B89"/>
    <w:rsid w:val="00694F48"/>
    <w:rsid w:val="00697A27"/>
    <w:rsid w:val="006A3359"/>
    <w:rsid w:val="006A521A"/>
    <w:rsid w:val="006A5628"/>
    <w:rsid w:val="006A7F23"/>
    <w:rsid w:val="006B1199"/>
    <w:rsid w:val="006B5395"/>
    <w:rsid w:val="006B560C"/>
    <w:rsid w:val="006B6A5E"/>
    <w:rsid w:val="006B6D8F"/>
    <w:rsid w:val="006B7B15"/>
    <w:rsid w:val="006C2CA1"/>
    <w:rsid w:val="006C34F1"/>
    <w:rsid w:val="006C4423"/>
    <w:rsid w:val="006C45B7"/>
    <w:rsid w:val="006C4F14"/>
    <w:rsid w:val="006C5294"/>
    <w:rsid w:val="006D0554"/>
    <w:rsid w:val="006D13AE"/>
    <w:rsid w:val="006D15F7"/>
    <w:rsid w:val="006D1776"/>
    <w:rsid w:val="006D1CDF"/>
    <w:rsid w:val="006D1D7E"/>
    <w:rsid w:val="006D2325"/>
    <w:rsid w:val="006D35DD"/>
    <w:rsid w:val="006D370C"/>
    <w:rsid w:val="006D4C6A"/>
    <w:rsid w:val="006D575C"/>
    <w:rsid w:val="006D5D4C"/>
    <w:rsid w:val="006D6087"/>
    <w:rsid w:val="006D792F"/>
    <w:rsid w:val="006E0F69"/>
    <w:rsid w:val="006E163B"/>
    <w:rsid w:val="006E1905"/>
    <w:rsid w:val="006E1D1D"/>
    <w:rsid w:val="006E280B"/>
    <w:rsid w:val="006E31A2"/>
    <w:rsid w:val="006E4809"/>
    <w:rsid w:val="006E55F8"/>
    <w:rsid w:val="006E646B"/>
    <w:rsid w:val="006F0AA1"/>
    <w:rsid w:val="006F1461"/>
    <w:rsid w:val="006F201B"/>
    <w:rsid w:val="006F6CEB"/>
    <w:rsid w:val="00700582"/>
    <w:rsid w:val="00700E7C"/>
    <w:rsid w:val="00703522"/>
    <w:rsid w:val="00703C1F"/>
    <w:rsid w:val="00704D85"/>
    <w:rsid w:val="00705862"/>
    <w:rsid w:val="00706E57"/>
    <w:rsid w:val="00707336"/>
    <w:rsid w:val="00707601"/>
    <w:rsid w:val="00707908"/>
    <w:rsid w:val="00710221"/>
    <w:rsid w:val="00710E88"/>
    <w:rsid w:val="00711A11"/>
    <w:rsid w:val="00712223"/>
    <w:rsid w:val="007125B6"/>
    <w:rsid w:val="00713BCB"/>
    <w:rsid w:val="00714C60"/>
    <w:rsid w:val="00715A5E"/>
    <w:rsid w:val="007166A4"/>
    <w:rsid w:val="00720C2D"/>
    <w:rsid w:val="0072192C"/>
    <w:rsid w:val="00721CDB"/>
    <w:rsid w:val="0072414C"/>
    <w:rsid w:val="00730897"/>
    <w:rsid w:val="00730E82"/>
    <w:rsid w:val="00733122"/>
    <w:rsid w:val="00733C39"/>
    <w:rsid w:val="00735434"/>
    <w:rsid w:val="007356C9"/>
    <w:rsid w:val="007378C7"/>
    <w:rsid w:val="00737919"/>
    <w:rsid w:val="007407F8"/>
    <w:rsid w:val="00740B59"/>
    <w:rsid w:val="00742194"/>
    <w:rsid w:val="00743B35"/>
    <w:rsid w:val="00743F79"/>
    <w:rsid w:val="00746ACF"/>
    <w:rsid w:val="00751074"/>
    <w:rsid w:val="007511D9"/>
    <w:rsid w:val="007523AF"/>
    <w:rsid w:val="00752BCD"/>
    <w:rsid w:val="0075327F"/>
    <w:rsid w:val="00753421"/>
    <w:rsid w:val="007542B7"/>
    <w:rsid w:val="00754CE4"/>
    <w:rsid w:val="00756318"/>
    <w:rsid w:val="007612F4"/>
    <w:rsid w:val="00761351"/>
    <w:rsid w:val="00761497"/>
    <w:rsid w:val="00762918"/>
    <w:rsid w:val="007631C8"/>
    <w:rsid w:val="00763C17"/>
    <w:rsid w:val="00764CAB"/>
    <w:rsid w:val="00765CE0"/>
    <w:rsid w:val="00765E36"/>
    <w:rsid w:val="00766B75"/>
    <w:rsid w:val="00772853"/>
    <w:rsid w:val="00773EE9"/>
    <w:rsid w:val="00774825"/>
    <w:rsid w:val="007748E8"/>
    <w:rsid w:val="00774F9B"/>
    <w:rsid w:val="007761ED"/>
    <w:rsid w:val="00776414"/>
    <w:rsid w:val="00776B78"/>
    <w:rsid w:val="0077705D"/>
    <w:rsid w:val="007800BA"/>
    <w:rsid w:val="007808F2"/>
    <w:rsid w:val="00781FC6"/>
    <w:rsid w:val="0078310C"/>
    <w:rsid w:val="00785E80"/>
    <w:rsid w:val="0078635B"/>
    <w:rsid w:val="007877B7"/>
    <w:rsid w:val="00790282"/>
    <w:rsid w:val="007916DF"/>
    <w:rsid w:val="00794045"/>
    <w:rsid w:val="00796285"/>
    <w:rsid w:val="00796DA8"/>
    <w:rsid w:val="00796FEE"/>
    <w:rsid w:val="007978C8"/>
    <w:rsid w:val="00797BB3"/>
    <w:rsid w:val="007A112D"/>
    <w:rsid w:val="007A1136"/>
    <w:rsid w:val="007A1739"/>
    <w:rsid w:val="007A22F6"/>
    <w:rsid w:val="007A2D97"/>
    <w:rsid w:val="007A40C9"/>
    <w:rsid w:val="007A423A"/>
    <w:rsid w:val="007A44CE"/>
    <w:rsid w:val="007A5067"/>
    <w:rsid w:val="007A5D7A"/>
    <w:rsid w:val="007A66A2"/>
    <w:rsid w:val="007A6A16"/>
    <w:rsid w:val="007A745F"/>
    <w:rsid w:val="007A7614"/>
    <w:rsid w:val="007A7ABB"/>
    <w:rsid w:val="007A7C3A"/>
    <w:rsid w:val="007B12B4"/>
    <w:rsid w:val="007B20B9"/>
    <w:rsid w:val="007B27BB"/>
    <w:rsid w:val="007B3E62"/>
    <w:rsid w:val="007B4429"/>
    <w:rsid w:val="007B488D"/>
    <w:rsid w:val="007B614E"/>
    <w:rsid w:val="007B66BE"/>
    <w:rsid w:val="007B6C7B"/>
    <w:rsid w:val="007B7BAF"/>
    <w:rsid w:val="007C0466"/>
    <w:rsid w:val="007C10FE"/>
    <w:rsid w:val="007C1260"/>
    <w:rsid w:val="007C17E8"/>
    <w:rsid w:val="007C202B"/>
    <w:rsid w:val="007C202C"/>
    <w:rsid w:val="007C40BB"/>
    <w:rsid w:val="007C4712"/>
    <w:rsid w:val="007C47F2"/>
    <w:rsid w:val="007D10B4"/>
    <w:rsid w:val="007D23A4"/>
    <w:rsid w:val="007D2C13"/>
    <w:rsid w:val="007D3823"/>
    <w:rsid w:val="007D4716"/>
    <w:rsid w:val="007D484A"/>
    <w:rsid w:val="007D5773"/>
    <w:rsid w:val="007D7B03"/>
    <w:rsid w:val="007E0052"/>
    <w:rsid w:val="007E03E2"/>
    <w:rsid w:val="007E31E3"/>
    <w:rsid w:val="007E3FB0"/>
    <w:rsid w:val="007E53A7"/>
    <w:rsid w:val="007E5F9E"/>
    <w:rsid w:val="007E6D51"/>
    <w:rsid w:val="007E712D"/>
    <w:rsid w:val="007F0990"/>
    <w:rsid w:val="007F11F9"/>
    <w:rsid w:val="007F1865"/>
    <w:rsid w:val="007F19C0"/>
    <w:rsid w:val="007F3987"/>
    <w:rsid w:val="007F53DC"/>
    <w:rsid w:val="007F68FE"/>
    <w:rsid w:val="007F6ACC"/>
    <w:rsid w:val="007F74D6"/>
    <w:rsid w:val="00800291"/>
    <w:rsid w:val="00802394"/>
    <w:rsid w:val="0080292A"/>
    <w:rsid w:val="0080382A"/>
    <w:rsid w:val="00804AAD"/>
    <w:rsid w:val="00804DD2"/>
    <w:rsid w:val="008055A7"/>
    <w:rsid w:val="00805671"/>
    <w:rsid w:val="00805E02"/>
    <w:rsid w:val="008060F3"/>
    <w:rsid w:val="0080675D"/>
    <w:rsid w:val="0080789F"/>
    <w:rsid w:val="00810B57"/>
    <w:rsid w:val="0081120F"/>
    <w:rsid w:val="00811497"/>
    <w:rsid w:val="008129FC"/>
    <w:rsid w:val="0081599E"/>
    <w:rsid w:val="0081666A"/>
    <w:rsid w:val="00816FAD"/>
    <w:rsid w:val="008202A5"/>
    <w:rsid w:val="008214C8"/>
    <w:rsid w:val="00821B24"/>
    <w:rsid w:val="00822CB7"/>
    <w:rsid w:val="00822D67"/>
    <w:rsid w:val="00823CC1"/>
    <w:rsid w:val="00826036"/>
    <w:rsid w:val="008261E1"/>
    <w:rsid w:val="00830572"/>
    <w:rsid w:val="00833AAA"/>
    <w:rsid w:val="00833CAA"/>
    <w:rsid w:val="008355D5"/>
    <w:rsid w:val="00837DF2"/>
    <w:rsid w:val="00837E5F"/>
    <w:rsid w:val="00841413"/>
    <w:rsid w:val="008429BB"/>
    <w:rsid w:val="00842C98"/>
    <w:rsid w:val="00845432"/>
    <w:rsid w:val="00845498"/>
    <w:rsid w:val="008456D6"/>
    <w:rsid w:val="00846FC8"/>
    <w:rsid w:val="0084712A"/>
    <w:rsid w:val="008506B2"/>
    <w:rsid w:val="00852504"/>
    <w:rsid w:val="0085477A"/>
    <w:rsid w:val="00854993"/>
    <w:rsid w:val="0085549F"/>
    <w:rsid w:val="008565EA"/>
    <w:rsid w:val="00856E5C"/>
    <w:rsid w:val="00862498"/>
    <w:rsid w:val="008637E8"/>
    <w:rsid w:val="00864B50"/>
    <w:rsid w:val="008653D4"/>
    <w:rsid w:val="00867B09"/>
    <w:rsid w:val="00870D4B"/>
    <w:rsid w:val="00870FE6"/>
    <w:rsid w:val="00871911"/>
    <w:rsid w:val="00872252"/>
    <w:rsid w:val="00874210"/>
    <w:rsid w:val="008744C6"/>
    <w:rsid w:val="008746F1"/>
    <w:rsid w:val="00876259"/>
    <w:rsid w:val="0087688B"/>
    <w:rsid w:val="008770E0"/>
    <w:rsid w:val="008805F9"/>
    <w:rsid w:val="00880DB6"/>
    <w:rsid w:val="0088358D"/>
    <w:rsid w:val="00883F60"/>
    <w:rsid w:val="0088407F"/>
    <w:rsid w:val="00885614"/>
    <w:rsid w:val="00886479"/>
    <w:rsid w:val="00886AA7"/>
    <w:rsid w:val="008873F7"/>
    <w:rsid w:val="00887A14"/>
    <w:rsid w:val="00887B9D"/>
    <w:rsid w:val="00890357"/>
    <w:rsid w:val="00890BF4"/>
    <w:rsid w:val="00891125"/>
    <w:rsid w:val="00891D2C"/>
    <w:rsid w:val="008936AF"/>
    <w:rsid w:val="00893819"/>
    <w:rsid w:val="00894D71"/>
    <w:rsid w:val="00896A6B"/>
    <w:rsid w:val="00896C2A"/>
    <w:rsid w:val="00897BD9"/>
    <w:rsid w:val="008A0380"/>
    <w:rsid w:val="008A0484"/>
    <w:rsid w:val="008A0574"/>
    <w:rsid w:val="008A0C71"/>
    <w:rsid w:val="008A1BE6"/>
    <w:rsid w:val="008A3284"/>
    <w:rsid w:val="008A3BF7"/>
    <w:rsid w:val="008A574B"/>
    <w:rsid w:val="008A5877"/>
    <w:rsid w:val="008A59F3"/>
    <w:rsid w:val="008A5B99"/>
    <w:rsid w:val="008A6033"/>
    <w:rsid w:val="008A7169"/>
    <w:rsid w:val="008A7A64"/>
    <w:rsid w:val="008B043B"/>
    <w:rsid w:val="008B153A"/>
    <w:rsid w:val="008B17E5"/>
    <w:rsid w:val="008B1A1B"/>
    <w:rsid w:val="008B4B47"/>
    <w:rsid w:val="008B4C51"/>
    <w:rsid w:val="008B4F50"/>
    <w:rsid w:val="008B708F"/>
    <w:rsid w:val="008C1D4E"/>
    <w:rsid w:val="008C1D9E"/>
    <w:rsid w:val="008C2F61"/>
    <w:rsid w:val="008C389F"/>
    <w:rsid w:val="008C5D9A"/>
    <w:rsid w:val="008C6A0F"/>
    <w:rsid w:val="008C7C81"/>
    <w:rsid w:val="008D06B7"/>
    <w:rsid w:val="008D0769"/>
    <w:rsid w:val="008D0DB8"/>
    <w:rsid w:val="008D1010"/>
    <w:rsid w:val="008D1B7A"/>
    <w:rsid w:val="008D25DA"/>
    <w:rsid w:val="008D29B8"/>
    <w:rsid w:val="008D5ED1"/>
    <w:rsid w:val="008D5F01"/>
    <w:rsid w:val="008D694B"/>
    <w:rsid w:val="008E185D"/>
    <w:rsid w:val="008E1F0E"/>
    <w:rsid w:val="008E3042"/>
    <w:rsid w:val="008E47C2"/>
    <w:rsid w:val="008E4C37"/>
    <w:rsid w:val="008E57D5"/>
    <w:rsid w:val="008E6C0D"/>
    <w:rsid w:val="008E7336"/>
    <w:rsid w:val="008E76EA"/>
    <w:rsid w:val="008F00E2"/>
    <w:rsid w:val="008F0238"/>
    <w:rsid w:val="008F199D"/>
    <w:rsid w:val="008F44FD"/>
    <w:rsid w:val="008F46FD"/>
    <w:rsid w:val="008F5CB4"/>
    <w:rsid w:val="008F5FC3"/>
    <w:rsid w:val="00900013"/>
    <w:rsid w:val="00902289"/>
    <w:rsid w:val="00903851"/>
    <w:rsid w:val="00904717"/>
    <w:rsid w:val="00904D8F"/>
    <w:rsid w:val="009078B5"/>
    <w:rsid w:val="00907E88"/>
    <w:rsid w:val="00911732"/>
    <w:rsid w:val="009117E9"/>
    <w:rsid w:val="0091385B"/>
    <w:rsid w:val="00915040"/>
    <w:rsid w:val="0091504D"/>
    <w:rsid w:val="00915930"/>
    <w:rsid w:val="00916131"/>
    <w:rsid w:val="00916AA2"/>
    <w:rsid w:val="009171E5"/>
    <w:rsid w:val="0092107B"/>
    <w:rsid w:val="0092284E"/>
    <w:rsid w:val="00923742"/>
    <w:rsid w:val="0092396A"/>
    <w:rsid w:val="00923B4F"/>
    <w:rsid w:val="00924D78"/>
    <w:rsid w:val="00925ACE"/>
    <w:rsid w:val="00926582"/>
    <w:rsid w:val="009271F2"/>
    <w:rsid w:val="00930DD7"/>
    <w:rsid w:val="00931240"/>
    <w:rsid w:val="009318C4"/>
    <w:rsid w:val="00931A66"/>
    <w:rsid w:val="00932893"/>
    <w:rsid w:val="00933A6C"/>
    <w:rsid w:val="009342B4"/>
    <w:rsid w:val="0093435B"/>
    <w:rsid w:val="00940069"/>
    <w:rsid w:val="009401B6"/>
    <w:rsid w:val="0094210B"/>
    <w:rsid w:val="00943602"/>
    <w:rsid w:val="00944AE3"/>
    <w:rsid w:val="00944C31"/>
    <w:rsid w:val="00945AC3"/>
    <w:rsid w:val="0094645E"/>
    <w:rsid w:val="00946609"/>
    <w:rsid w:val="00946762"/>
    <w:rsid w:val="00951845"/>
    <w:rsid w:val="00952BCF"/>
    <w:rsid w:val="009537D5"/>
    <w:rsid w:val="00954E31"/>
    <w:rsid w:val="00956434"/>
    <w:rsid w:val="00960C7F"/>
    <w:rsid w:val="00961661"/>
    <w:rsid w:val="009627B1"/>
    <w:rsid w:val="009662AE"/>
    <w:rsid w:val="009670D5"/>
    <w:rsid w:val="00972375"/>
    <w:rsid w:val="00973E8F"/>
    <w:rsid w:val="00974C4B"/>
    <w:rsid w:val="00975E63"/>
    <w:rsid w:val="009761A3"/>
    <w:rsid w:val="0097629D"/>
    <w:rsid w:val="00977279"/>
    <w:rsid w:val="00982448"/>
    <w:rsid w:val="00983299"/>
    <w:rsid w:val="00983766"/>
    <w:rsid w:val="009837E9"/>
    <w:rsid w:val="00983D9E"/>
    <w:rsid w:val="009840D7"/>
    <w:rsid w:val="00985B05"/>
    <w:rsid w:val="00985ED2"/>
    <w:rsid w:val="00985F05"/>
    <w:rsid w:val="00986D86"/>
    <w:rsid w:val="009877E6"/>
    <w:rsid w:val="00990003"/>
    <w:rsid w:val="00991461"/>
    <w:rsid w:val="00991F37"/>
    <w:rsid w:val="00993FC8"/>
    <w:rsid w:val="00994599"/>
    <w:rsid w:val="009949C9"/>
    <w:rsid w:val="00995D55"/>
    <w:rsid w:val="00995EDB"/>
    <w:rsid w:val="00997BA4"/>
    <w:rsid w:val="009A03D0"/>
    <w:rsid w:val="009A2988"/>
    <w:rsid w:val="009A3E0A"/>
    <w:rsid w:val="009A45B4"/>
    <w:rsid w:val="009A4765"/>
    <w:rsid w:val="009A52F7"/>
    <w:rsid w:val="009A7F67"/>
    <w:rsid w:val="009B071E"/>
    <w:rsid w:val="009B1D80"/>
    <w:rsid w:val="009B6BAC"/>
    <w:rsid w:val="009B6D46"/>
    <w:rsid w:val="009B7310"/>
    <w:rsid w:val="009C22BF"/>
    <w:rsid w:val="009C3588"/>
    <w:rsid w:val="009C3916"/>
    <w:rsid w:val="009C4594"/>
    <w:rsid w:val="009C6CAD"/>
    <w:rsid w:val="009C720F"/>
    <w:rsid w:val="009C76F7"/>
    <w:rsid w:val="009D08DC"/>
    <w:rsid w:val="009D156F"/>
    <w:rsid w:val="009D1701"/>
    <w:rsid w:val="009D19BD"/>
    <w:rsid w:val="009D2B49"/>
    <w:rsid w:val="009D2F8E"/>
    <w:rsid w:val="009D3AFA"/>
    <w:rsid w:val="009D6A73"/>
    <w:rsid w:val="009D6F1D"/>
    <w:rsid w:val="009D757B"/>
    <w:rsid w:val="009D7E5A"/>
    <w:rsid w:val="009E009E"/>
    <w:rsid w:val="009E14A2"/>
    <w:rsid w:val="009E1618"/>
    <w:rsid w:val="009E1D96"/>
    <w:rsid w:val="009E2FC4"/>
    <w:rsid w:val="009E3A6D"/>
    <w:rsid w:val="009E3BAB"/>
    <w:rsid w:val="009E498E"/>
    <w:rsid w:val="009E59B1"/>
    <w:rsid w:val="009E5A9D"/>
    <w:rsid w:val="009E6D11"/>
    <w:rsid w:val="009E7728"/>
    <w:rsid w:val="009E785C"/>
    <w:rsid w:val="009E7B74"/>
    <w:rsid w:val="009E7FDC"/>
    <w:rsid w:val="009F023E"/>
    <w:rsid w:val="009F072A"/>
    <w:rsid w:val="009F1CC6"/>
    <w:rsid w:val="009F27C3"/>
    <w:rsid w:val="009F374A"/>
    <w:rsid w:val="009F3828"/>
    <w:rsid w:val="009F3ECC"/>
    <w:rsid w:val="009F4E01"/>
    <w:rsid w:val="009F5362"/>
    <w:rsid w:val="009F60A6"/>
    <w:rsid w:val="009F617C"/>
    <w:rsid w:val="009F647A"/>
    <w:rsid w:val="00A0054F"/>
    <w:rsid w:val="00A011EA"/>
    <w:rsid w:val="00A01BBB"/>
    <w:rsid w:val="00A02D86"/>
    <w:rsid w:val="00A046DD"/>
    <w:rsid w:val="00A050C0"/>
    <w:rsid w:val="00A0623A"/>
    <w:rsid w:val="00A06BB2"/>
    <w:rsid w:val="00A0762F"/>
    <w:rsid w:val="00A102E7"/>
    <w:rsid w:val="00A10E4A"/>
    <w:rsid w:val="00A10FB4"/>
    <w:rsid w:val="00A11208"/>
    <w:rsid w:val="00A11B1D"/>
    <w:rsid w:val="00A120D2"/>
    <w:rsid w:val="00A12C9E"/>
    <w:rsid w:val="00A133E5"/>
    <w:rsid w:val="00A13856"/>
    <w:rsid w:val="00A13E92"/>
    <w:rsid w:val="00A14A50"/>
    <w:rsid w:val="00A1504E"/>
    <w:rsid w:val="00A155A0"/>
    <w:rsid w:val="00A1614A"/>
    <w:rsid w:val="00A17012"/>
    <w:rsid w:val="00A177BB"/>
    <w:rsid w:val="00A2229A"/>
    <w:rsid w:val="00A229B0"/>
    <w:rsid w:val="00A242B0"/>
    <w:rsid w:val="00A24B8F"/>
    <w:rsid w:val="00A24FD4"/>
    <w:rsid w:val="00A25376"/>
    <w:rsid w:val="00A2789F"/>
    <w:rsid w:val="00A3025D"/>
    <w:rsid w:val="00A31BD7"/>
    <w:rsid w:val="00A32120"/>
    <w:rsid w:val="00A329AA"/>
    <w:rsid w:val="00A333E5"/>
    <w:rsid w:val="00A34EAB"/>
    <w:rsid w:val="00A34F7F"/>
    <w:rsid w:val="00A37016"/>
    <w:rsid w:val="00A37BCF"/>
    <w:rsid w:val="00A412CB"/>
    <w:rsid w:val="00A41D50"/>
    <w:rsid w:val="00A41FC9"/>
    <w:rsid w:val="00A42939"/>
    <w:rsid w:val="00A444B8"/>
    <w:rsid w:val="00A45AAF"/>
    <w:rsid w:val="00A5120A"/>
    <w:rsid w:val="00A51EAD"/>
    <w:rsid w:val="00A54725"/>
    <w:rsid w:val="00A5672D"/>
    <w:rsid w:val="00A5789C"/>
    <w:rsid w:val="00A578CA"/>
    <w:rsid w:val="00A60215"/>
    <w:rsid w:val="00A61910"/>
    <w:rsid w:val="00A63A8F"/>
    <w:rsid w:val="00A64D66"/>
    <w:rsid w:val="00A658E7"/>
    <w:rsid w:val="00A65A60"/>
    <w:rsid w:val="00A66D19"/>
    <w:rsid w:val="00A6713C"/>
    <w:rsid w:val="00A67DA1"/>
    <w:rsid w:val="00A70ACA"/>
    <w:rsid w:val="00A7167B"/>
    <w:rsid w:val="00A71ADE"/>
    <w:rsid w:val="00A721AE"/>
    <w:rsid w:val="00A7480B"/>
    <w:rsid w:val="00A75F0A"/>
    <w:rsid w:val="00A76342"/>
    <w:rsid w:val="00A76EA1"/>
    <w:rsid w:val="00A807F5"/>
    <w:rsid w:val="00A817F3"/>
    <w:rsid w:val="00A81BCB"/>
    <w:rsid w:val="00A82449"/>
    <w:rsid w:val="00A84009"/>
    <w:rsid w:val="00A86D73"/>
    <w:rsid w:val="00A8792F"/>
    <w:rsid w:val="00A97DB5"/>
    <w:rsid w:val="00AA27A8"/>
    <w:rsid w:val="00AA27FA"/>
    <w:rsid w:val="00AA3F51"/>
    <w:rsid w:val="00AA4754"/>
    <w:rsid w:val="00AA4BDB"/>
    <w:rsid w:val="00AA4DC6"/>
    <w:rsid w:val="00AA522A"/>
    <w:rsid w:val="00AA5504"/>
    <w:rsid w:val="00AA5EF6"/>
    <w:rsid w:val="00AA668A"/>
    <w:rsid w:val="00AA7029"/>
    <w:rsid w:val="00AA7F29"/>
    <w:rsid w:val="00AB2601"/>
    <w:rsid w:val="00AB270C"/>
    <w:rsid w:val="00AB474E"/>
    <w:rsid w:val="00AB5DF0"/>
    <w:rsid w:val="00AB614C"/>
    <w:rsid w:val="00AB66EE"/>
    <w:rsid w:val="00AB78B3"/>
    <w:rsid w:val="00AB7EF8"/>
    <w:rsid w:val="00AC2994"/>
    <w:rsid w:val="00AC2ABB"/>
    <w:rsid w:val="00AC2F9A"/>
    <w:rsid w:val="00AC37FD"/>
    <w:rsid w:val="00AC52E1"/>
    <w:rsid w:val="00AC5B6C"/>
    <w:rsid w:val="00AC5D05"/>
    <w:rsid w:val="00AC6123"/>
    <w:rsid w:val="00AC7173"/>
    <w:rsid w:val="00AC73BC"/>
    <w:rsid w:val="00AC75A6"/>
    <w:rsid w:val="00AD0500"/>
    <w:rsid w:val="00AD1315"/>
    <w:rsid w:val="00AD15E3"/>
    <w:rsid w:val="00AD206C"/>
    <w:rsid w:val="00AD3080"/>
    <w:rsid w:val="00AD33EA"/>
    <w:rsid w:val="00AD36CE"/>
    <w:rsid w:val="00AD3A3F"/>
    <w:rsid w:val="00AD41A3"/>
    <w:rsid w:val="00AD41B7"/>
    <w:rsid w:val="00AD55D0"/>
    <w:rsid w:val="00AD5E3A"/>
    <w:rsid w:val="00AD6249"/>
    <w:rsid w:val="00AD628B"/>
    <w:rsid w:val="00AD7520"/>
    <w:rsid w:val="00AD7B8F"/>
    <w:rsid w:val="00AE07B9"/>
    <w:rsid w:val="00AE0C3C"/>
    <w:rsid w:val="00AE274A"/>
    <w:rsid w:val="00AE275E"/>
    <w:rsid w:val="00AE354E"/>
    <w:rsid w:val="00AE4568"/>
    <w:rsid w:val="00AE5FDC"/>
    <w:rsid w:val="00AE6DF4"/>
    <w:rsid w:val="00AE7E4B"/>
    <w:rsid w:val="00AF0432"/>
    <w:rsid w:val="00AF063E"/>
    <w:rsid w:val="00AF09DE"/>
    <w:rsid w:val="00AF0C38"/>
    <w:rsid w:val="00AF1315"/>
    <w:rsid w:val="00AF3139"/>
    <w:rsid w:val="00AF3621"/>
    <w:rsid w:val="00AF38B1"/>
    <w:rsid w:val="00AF3B2D"/>
    <w:rsid w:val="00AF4202"/>
    <w:rsid w:val="00AF54BB"/>
    <w:rsid w:val="00AF6DAC"/>
    <w:rsid w:val="00B0126E"/>
    <w:rsid w:val="00B013CD"/>
    <w:rsid w:val="00B028BD"/>
    <w:rsid w:val="00B0415D"/>
    <w:rsid w:val="00B04B51"/>
    <w:rsid w:val="00B053C2"/>
    <w:rsid w:val="00B06E5E"/>
    <w:rsid w:val="00B06F9C"/>
    <w:rsid w:val="00B0712B"/>
    <w:rsid w:val="00B10C29"/>
    <w:rsid w:val="00B11665"/>
    <w:rsid w:val="00B11C56"/>
    <w:rsid w:val="00B1285F"/>
    <w:rsid w:val="00B13203"/>
    <w:rsid w:val="00B132D0"/>
    <w:rsid w:val="00B13888"/>
    <w:rsid w:val="00B13F16"/>
    <w:rsid w:val="00B1446F"/>
    <w:rsid w:val="00B149C0"/>
    <w:rsid w:val="00B16E59"/>
    <w:rsid w:val="00B20429"/>
    <w:rsid w:val="00B20619"/>
    <w:rsid w:val="00B24096"/>
    <w:rsid w:val="00B240FA"/>
    <w:rsid w:val="00B24A52"/>
    <w:rsid w:val="00B24FAC"/>
    <w:rsid w:val="00B250E7"/>
    <w:rsid w:val="00B2552E"/>
    <w:rsid w:val="00B26DA6"/>
    <w:rsid w:val="00B27F0E"/>
    <w:rsid w:val="00B324D7"/>
    <w:rsid w:val="00B33DFF"/>
    <w:rsid w:val="00B342EF"/>
    <w:rsid w:val="00B34F3D"/>
    <w:rsid w:val="00B36A3E"/>
    <w:rsid w:val="00B379DE"/>
    <w:rsid w:val="00B43896"/>
    <w:rsid w:val="00B516B9"/>
    <w:rsid w:val="00B51BA1"/>
    <w:rsid w:val="00B51C17"/>
    <w:rsid w:val="00B529BE"/>
    <w:rsid w:val="00B52D84"/>
    <w:rsid w:val="00B53F38"/>
    <w:rsid w:val="00B553EA"/>
    <w:rsid w:val="00B5679E"/>
    <w:rsid w:val="00B57022"/>
    <w:rsid w:val="00B611FB"/>
    <w:rsid w:val="00B62AFE"/>
    <w:rsid w:val="00B62BBC"/>
    <w:rsid w:val="00B6322D"/>
    <w:rsid w:val="00B66DAE"/>
    <w:rsid w:val="00B71762"/>
    <w:rsid w:val="00B72BD0"/>
    <w:rsid w:val="00B7352C"/>
    <w:rsid w:val="00B735C0"/>
    <w:rsid w:val="00B768C9"/>
    <w:rsid w:val="00B77633"/>
    <w:rsid w:val="00B77DA9"/>
    <w:rsid w:val="00B8041D"/>
    <w:rsid w:val="00B82070"/>
    <w:rsid w:val="00B844EB"/>
    <w:rsid w:val="00B855A9"/>
    <w:rsid w:val="00B85944"/>
    <w:rsid w:val="00B864BA"/>
    <w:rsid w:val="00B86E23"/>
    <w:rsid w:val="00B870CD"/>
    <w:rsid w:val="00B900EA"/>
    <w:rsid w:val="00B90524"/>
    <w:rsid w:val="00B90A49"/>
    <w:rsid w:val="00B910EF"/>
    <w:rsid w:val="00B91A7E"/>
    <w:rsid w:val="00B94434"/>
    <w:rsid w:val="00B94EB4"/>
    <w:rsid w:val="00B9699B"/>
    <w:rsid w:val="00B978FA"/>
    <w:rsid w:val="00BA1727"/>
    <w:rsid w:val="00BA17B8"/>
    <w:rsid w:val="00BA3304"/>
    <w:rsid w:val="00BA3705"/>
    <w:rsid w:val="00BA3881"/>
    <w:rsid w:val="00BA3A7C"/>
    <w:rsid w:val="00BA54CE"/>
    <w:rsid w:val="00BA55CF"/>
    <w:rsid w:val="00BA7562"/>
    <w:rsid w:val="00BA7C8E"/>
    <w:rsid w:val="00BB0D36"/>
    <w:rsid w:val="00BB102B"/>
    <w:rsid w:val="00BB14CA"/>
    <w:rsid w:val="00BB18FF"/>
    <w:rsid w:val="00BB3DBD"/>
    <w:rsid w:val="00BB4251"/>
    <w:rsid w:val="00BB4794"/>
    <w:rsid w:val="00BB59E3"/>
    <w:rsid w:val="00BB678C"/>
    <w:rsid w:val="00BB73B1"/>
    <w:rsid w:val="00BC0C23"/>
    <w:rsid w:val="00BC19FE"/>
    <w:rsid w:val="00BC1F5E"/>
    <w:rsid w:val="00BC21D3"/>
    <w:rsid w:val="00BC7935"/>
    <w:rsid w:val="00BD0592"/>
    <w:rsid w:val="00BD0A95"/>
    <w:rsid w:val="00BD13A6"/>
    <w:rsid w:val="00BD1B5A"/>
    <w:rsid w:val="00BD1D69"/>
    <w:rsid w:val="00BD2544"/>
    <w:rsid w:val="00BD2D53"/>
    <w:rsid w:val="00BD3186"/>
    <w:rsid w:val="00BD4444"/>
    <w:rsid w:val="00BD45CC"/>
    <w:rsid w:val="00BD4653"/>
    <w:rsid w:val="00BD52B7"/>
    <w:rsid w:val="00BD56E6"/>
    <w:rsid w:val="00BD6BE1"/>
    <w:rsid w:val="00BD6F27"/>
    <w:rsid w:val="00BD73AD"/>
    <w:rsid w:val="00BE2517"/>
    <w:rsid w:val="00BE2ACC"/>
    <w:rsid w:val="00BE2C94"/>
    <w:rsid w:val="00BE2F27"/>
    <w:rsid w:val="00BE498A"/>
    <w:rsid w:val="00BE7AC4"/>
    <w:rsid w:val="00BF0F63"/>
    <w:rsid w:val="00BF1F1A"/>
    <w:rsid w:val="00BF2E7F"/>
    <w:rsid w:val="00BF3400"/>
    <w:rsid w:val="00BF3B06"/>
    <w:rsid w:val="00BF41F2"/>
    <w:rsid w:val="00BF49BF"/>
    <w:rsid w:val="00BF5484"/>
    <w:rsid w:val="00BF5B68"/>
    <w:rsid w:val="00C01FBE"/>
    <w:rsid w:val="00C049B8"/>
    <w:rsid w:val="00C07562"/>
    <w:rsid w:val="00C0768F"/>
    <w:rsid w:val="00C10FC3"/>
    <w:rsid w:val="00C124F1"/>
    <w:rsid w:val="00C154AD"/>
    <w:rsid w:val="00C16611"/>
    <w:rsid w:val="00C16E98"/>
    <w:rsid w:val="00C21C04"/>
    <w:rsid w:val="00C2597F"/>
    <w:rsid w:val="00C27F3F"/>
    <w:rsid w:val="00C304D6"/>
    <w:rsid w:val="00C304E7"/>
    <w:rsid w:val="00C30A60"/>
    <w:rsid w:val="00C31612"/>
    <w:rsid w:val="00C31F72"/>
    <w:rsid w:val="00C32530"/>
    <w:rsid w:val="00C32CD6"/>
    <w:rsid w:val="00C33363"/>
    <w:rsid w:val="00C33426"/>
    <w:rsid w:val="00C334E1"/>
    <w:rsid w:val="00C34AF0"/>
    <w:rsid w:val="00C35828"/>
    <w:rsid w:val="00C35C24"/>
    <w:rsid w:val="00C36680"/>
    <w:rsid w:val="00C36879"/>
    <w:rsid w:val="00C37979"/>
    <w:rsid w:val="00C37FE4"/>
    <w:rsid w:val="00C41001"/>
    <w:rsid w:val="00C41126"/>
    <w:rsid w:val="00C42788"/>
    <w:rsid w:val="00C433B6"/>
    <w:rsid w:val="00C50869"/>
    <w:rsid w:val="00C50EF9"/>
    <w:rsid w:val="00C521D0"/>
    <w:rsid w:val="00C527BF"/>
    <w:rsid w:val="00C52997"/>
    <w:rsid w:val="00C53E8E"/>
    <w:rsid w:val="00C548B6"/>
    <w:rsid w:val="00C549B8"/>
    <w:rsid w:val="00C54AE3"/>
    <w:rsid w:val="00C54AE7"/>
    <w:rsid w:val="00C559DF"/>
    <w:rsid w:val="00C568CD"/>
    <w:rsid w:val="00C571CC"/>
    <w:rsid w:val="00C57882"/>
    <w:rsid w:val="00C57D79"/>
    <w:rsid w:val="00C614C7"/>
    <w:rsid w:val="00C614D2"/>
    <w:rsid w:val="00C61A8A"/>
    <w:rsid w:val="00C628D5"/>
    <w:rsid w:val="00C6295E"/>
    <w:rsid w:val="00C6310A"/>
    <w:rsid w:val="00C63A84"/>
    <w:rsid w:val="00C641C1"/>
    <w:rsid w:val="00C6566B"/>
    <w:rsid w:val="00C65BAD"/>
    <w:rsid w:val="00C65CC5"/>
    <w:rsid w:val="00C7095A"/>
    <w:rsid w:val="00C71257"/>
    <w:rsid w:val="00C71D4E"/>
    <w:rsid w:val="00C72163"/>
    <w:rsid w:val="00C729C7"/>
    <w:rsid w:val="00C730CB"/>
    <w:rsid w:val="00C73779"/>
    <w:rsid w:val="00C73ADE"/>
    <w:rsid w:val="00C740ED"/>
    <w:rsid w:val="00C74670"/>
    <w:rsid w:val="00C74743"/>
    <w:rsid w:val="00C74FAB"/>
    <w:rsid w:val="00C75BCD"/>
    <w:rsid w:val="00C76DA5"/>
    <w:rsid w:val="00C77B6E"/>
    <w:rsid w:val="00C77E3F"/>
    <w:rsid w:val="00C81822"/>
    <w:rsid w:val="00C85A33"/>
    <w:rsid w:val="00C86673"/>
    <w:rsid w:val="00C90F1A"/>
    <w:rsid w:val="00C9153E"/>
    <w:rsid w:val="00C91966"/>
    <w:rsid w:val="00C9371B"/>
    <w:rsid w:val="00C93AD6"/>
    <w:rsid w:val="00C94F9E"/>
    <w:rsid w:val="00C955DF"/>
    <w:rsid w:val="00C95B02"/>
    <w:rsid w:val="00C96495"/>
    <w:rsid w:val="00C96B69"/>
    <w:rsid w:val="00CA0C20"/>
    <w:rsid w:val="00CA0D21"/>
    <w:rsid w:val="00CA12D3"/>
    <w:rsid w:val="00CA1638"/>
    <w:rsid w:val="00CA2CF2"/>
    <w:rsid w:val="00CA347B"/>
    <w:rsid w:val="00CA3791"/>
    <w:rsid w:val="00CA3D2B"/>
    <w:rsid w:val="00CA63D7"/>
    <w:rsid w:val="00CB1890"/>
    <w:rsid w:val="00CB191E"/>
    <w:rsid w:val="00CB37C7"/>
    <w:rsid w:val="00CC03E4"/>
    <w:rsid w:val="00CC273C"/>
    <w:rsid w:val="00CC31AC"/>
    <w:rsid w:val="00CC409C"/>
    <w:rsid w:val="00CD0598"/>
    <w:rsid w:val="00CD0958"/>
    <w:rsid w:val="00CD11E9"/>
    <w:rsid w:val="00CD14A6"/>
    <w:rsid w:val="00CD2545"/>
    <w:rsid w:val="00CD44E9"/>
    <w:rsid w:val="00CD50CB"/>
    <w:rsid w:val="00CD5DB3"/>
    <w:rsid w:val="00CD6214"/>
    <w:rsid w:val="00CD654A"/>
    <w:rsid w:val="00CD68B8"/>
    <w:rsid w:val="00CD6D24"/>
    <w:rsid w:val="00CE08ED"/>
    <w:rsid w:val="00CE2985"/>
    <w:rsid w:val="00CE5E8C"/>
    <w:rsid w:val="00CE6856"/>
    <w:rsid w:val="00CE7281"/>
    <w:rsid w:val="00CE77CF"/>
    <w:rsid w:val="00CF004C"/>
    <w:rsid w:val="00CF02C4"/>
    <w:rsid w:val="00CF09C8"/>
    <w:rsid w:val="00CF3398"/>
    <w:rsid w:val="00CF3DE0"/>
    <w:rsid w:val="00CF4B1C"/>
    <w:rsid w:val="00CF4FBF"/>
    <w:rsid w:val="00CF6BFB"/>
    <w:rsid w:val="00CF70CE"/>
    <w:rsid w:val="00CF7645"/>
    <w:rsid w:val="00CF7AEC"/>
    <w:rsid w:val="00D00223"/>
    <w:rsid w:val="00D00365"/>
    <w:rsid w:val="00D00825"/>
    <w:rsid w:val="00D040C5"/>
    <w:rsid w:val="00D07A17"/>
    <w:rsid w:val="00D07E28"/>
    <w:rsid w:val="00D115F3"/>
    <w:rsid w:val="00D115FA"/>
    <w:rsid w:val="00D11636"/>
    <w:rsid w:val="00D13C52"/>
    <w:rsid w:val="00D14150"/>
    <w:rsid w:val="00D16384"/>
    <w:rsid w:val="00D16EF2"/>
    <w:rsid w:val="00D174D2"/>
    <w:rsid w:val="00D17761"/>
    <w:rsid w:val="00D17890"/>
    <w:rsid w:val="00D21A33"/>
    <w:rsid w:val="00D23097"/>
    <w:rsid w:val="00D239C3"/>
    <w:rsid w:val="00D25AF3"/>
    <w:rsid w:val="00D25BC9"/>
    <w:rsid w:val="00D26CB6"/>
    <w:rsid w:val="00D3090B"/>
    <w:rsid w:val="00D312DA"/>
    <w:rsid w:val="00D315ED"/>
    <w:rsid w:val="00D323B0"/>
    <w:rsid w:val="00D328E1"/>
    <w:rsid w:val="00D34069"/>
    <w:rsid w:val="00D34AEF"/>
    <w:rsid w:val="00D3597F"/>
    <w:rsid w:val="00D3617C"/>
    <w:rsid w:val="00D36B58"/>
    <w:rsid w:val="00D41D38"/>
    <w:rsid w:val="00D41F16"/>
    <w:rsid w:val="00D41FD9"/>
    <w:rsid w:val="00D422F7"/>
    <w:rsid w:val="00D459DB"/>
    <w:rsid w:val="00D4609D"/>
    <w:rsid w:val="00D5017D"/>
    <w:rsid w:val="00D502F9"/>
    <w:rsid w:val="00D50CB1"/>
    <w:rsid w:val="00D519E8"/>
    <w:rsid w:val="00D540AC"/>
    <w:rsid w:val="00D56595"/>
    <w:rsid w:val="00D60C6F"/>
    <w:rsid w:val="00D6160B"/>
    <w:rsid w:val="00D617F2"/>
    <w:rsid w:val="00D6330D"/>
    <w:rsid w:val="00D641E9"/>
    <w:rsid w:val="00D66344"/>
    <w:rsid w:val="00D70896"/>
    <w:rsid w:val="00D70FA2"/>
    <w:rsid w:val="00D719D4"/>
    <w:rsid w:val="00D71E2A"/>
    <w:rsid w:val="00D72BAD"/>
    <w:rsid w:val="00D7369D"/>
    <w:rsid w:val="00D73C85"/>
    <w:rsid w:val="00D7656C"/>
    <w:rsid w:val="00D768C9"/>
    <w:rsid w:val="00D76CB0"/>
    <w:rsid w:val="00D7708C"/>
    <w:rsid w:val="00D77F3B"/>
    <w:rsid w:val="00D832F0"/>
    <w:rsid w:val="00D84402"/>
    <w:rsid w:val="00D85E51"/>
    <w:rsid w:val="00D873BA"/>
    <w:rsid w:val="00D876CF"/>
    <w:rsid w:val="00D87D16"/>
    <w:rsid w:val="00D91081"/>
    <w:rsid w:val="00D928E7"/>
    <w:rsid w:val="00D94004"/>
    <w:rsid w:val="00D94DD5"/>
    <w:rsid w:val="00D94F81"/>
    <w:rsid w:val="00D965F1"/>
    <w:rsid w:val="00DA134D"/>
    <w:rsid w:val="00DA1BC2"/>
    <w:rsid w:val="00DA2029"/>
    <w:rsid w:val="00DA23FD"/>
    <w:rsid w:val="00DA2D34"/>
    <w:rsid w:val="00DA3485"/>
    <w:rsid w:val="00DA4F87"/>
    <w:rsid w:val="00DA7125"/>
    <w:rsid w:val="00DB0765"/>
    <w:rsid w:val="00DB29FC"/>
    <w:rsid w:val="00DB305B"/>
    <w:rsid w:val="00DB36F0"/>
    <w:rsid w:val="00DB49C0"/>
    <w:rsid w:val="00DB4B93"/>
    <w:rsid w:val="00DB5B4C"/>
    <w:rsid w:val="00DB5CE5"/>
    <w:rsid w:val="00DB635D"/>
    <w:rsid w:val="00DB67A6"/>
    <w:rsid w:val="00DB6F91"/>
    <w:rsid w:val="00DC013D"/>
    <w:rsid w:val="00DC0CC5"/>
    <w:rsid w:val="00DC28AF"/>
    <w:rsid w:val="00DC28FF"/>
    <w:rsid w:val="00DC31BD"/>
    <w:rsid w:val="00DC4EFA"/>
    <w:rsid w:val="00DC5EB9"/>
    <w:rsid w:val="00DD039A"/>
    <w:rsid w:val="00DD04E2"/>
    <w:rsid w:val="00DD0598"/>
    <w:rsid w:val="00DD2EB5"/>
    <w:rsid w:val="00DD2F92"/>
    <w:rsid w:val="00DD3711"/>
    <w:rsid w:val="00DD4094"/>
    <w:rsid w:val="00DE108A"/>
    <w:rsid w:val="00DE475F"/>
    <w:rsid w:val="00DE59A8"/>
    <w:rsid w:val="00DE65BE"/>
    <w:rsid w:val="00DE67D6"/>
    <w:rsid w:val="00DE72BD"/>
    <w:rsid w:val="00DF03C9"/>
    <w:rsid w:val="00DF14DB"/>
    <w:rsid w:val="00DF2B5E"/>
    <w:rsid w:val="00DF357C"/>
    <w:rsid w:val="00DF3FE9"/>
    <w:rsid w:val="00DF5C5D"/>
    <w:rsid w:val="00DF6531"/>
    <w:rsid w:val="00DF657C"/>
    <w:rsid w:val="00DF7561"/>
    <w:rsid w:val="00DF7B2F"/>
    <w:rsid w:val="00E0216C"/>
    <w:rsid w:val="00E021B3"/>
    <w:rsid w:val="00E03269"/>
    <w:rsid w:val="00E0433C"/>
    <w:rsid w:val="00E04E3B"/>
    <w:rsid w:val="00E06167"/>
    <w:rsid w:val="00E10A58"/>
    <w:rsid w:val="00E119E3"/>
    <w:rsid w:val="00E1222D"/>
    <w:rsid w:val="00E14446"/>
    <w:rsid w:val="00E16113"/>
    <w:rsid w:val="00E2068B"/>
    <w:rsid w:val="00E2094B"/>
    <w:rsid w:val="00E212F1"/>
    <w:rsid w:val="00E22B0B"/>
    <w:rsid w:val="00E24312"/>
    <w:rsid w:val="00E247C7"/>
    <w:rsid w:val="00E24B8C"/>
    <w:rsid w:val="00E2526E"/>
    <w:rsid w:val="00E26752"/>
    <w:rsid w:val="00E26D12"/>
    <w:rsid w:val="00E26F55"/>
    <w:rsid w:val="00E272CD"/>
    <w:rsid w:val="00E31462"/>
    <w:rsid w:val="00E32890"/>
    <w:rsid w:val="00E331D8"/>
    <w:rsid w:val="00E33988"/>
    <w:rsid w:val="00E33B85"/>
    <w:rsid w:val="00E34D65"/>
    <w:rsid w:val="00E3787A"/>
    <w:rsid w:val="00E37CA6"/>
    <w:rsid w:val="00E412CA"/>
    <w:rsid w:val="00E43134"/>
    <w:rsid w:val="00E43555"/>
    <w:rsid w:val="00E438AA"/>
    <w:rsid w:val="00E43DB7"/>
    <w:rsid w:val="00E452E0"/>
    <w:rsid w:val="00E45881"/>
    <w:rsid w:val="00E46EF8"/>
    <w:rsid w:val="00E50822"/>
    <w:rsid w:val="00E52173"/>
    <w:rsid w:val="00E52D67"/>
    <w:rsid w:val="00E53618"/>
    <w:rsid w:val="00E53A4A"/>
    <w:rsid w:val="00E53C09"/>
    <w:rsid w:val="00E56856"/>
    <w:rsid w:val="00E56D73"/>
    <w:rsid w:val="00E57A4C"/>
    <w:rsid w:val="00E57D08"/>
    <w:rsid w:val="00E57F69"/>
    <w:rsid w:val="00E61CA4"/>
    <w:rsid w:val="00E65915"/>
    <w:rsid w:val="00E6788F"/>
    <w:rsid w:val="00E72EBF"/>
    <w:rsid w:val="00E744D6"/>
    <w:rsid w:val="00E759F1"/>
    <w:rsid w:val="00E75AF8"/>
    <w:rsid w:val="00E76D0D"/>
    <w:rsid w:val="00E77922"/>
    <w:rsid w:val="00E80831"/>
    <w:rsid w:val="00E81A38"/>
    <w:rsid w:val="00E82DC9"/>
    <w:rsid w:val="00E83343"/>
    <w:rsid w:val="00E834A2"/>
    <w:rsid w:val="00E852B4"/>
    <w:rsid w:val="00E85C52"/>
    <w:rsid w:val="00E85DCF"/>
    <w:rsid w:val="00E8698F"/>
    <w:rsid w:val="00E92C0E"/>
    <w:rsid w:val="00E92E9A"/>
    <w:rsid w:val="00E941AC"/>
    <w:rsid w:val="00E96144"/>
    <w:rsid w:val="00E9656A"/>
    <w:rsid w:val="00E96747"/>
    <w:rsid w:val="00E97D3D"/>
    <w:rsid w:val="00EA07D9"/>
    <w:rsid w:val="00EA08E2"/>
    <w:rsid w:val="00EA443B"/>
    <w:rsid w:val="00EA46E3"/>
    <w:rsid w:val="00EA4DAF"/>
    <w:rsid w:val="00EA4E5B"/>
    <w:rsid w:val="00EA5BDB"/>
    <w:rsid w:val="00EA6716"/>
    <w:rsid w:val="00EA6970"/>
    <w:rsid w:val="00EA6A47"/>
    <w:rsid w:val="00EB0145"/>
    <w:rsid w:val="00EB0A60"/>
    <w:rsid w:val="00EB0E75"/>
    <w:rsid w:val="00EB21B9"/>
    <w:rsid w:val="00EB4891"/>
    <w:rsid w:val="00EB548A"/>
    <w:rsid w:val="00EB55D0"/>
    <w:rsid w:val="00EB62B9"/>
    <w:rsid w:val="00EB7155"/>
    <w:rsid w:val="00EB7261"/>
    <w:rsid w:val="00EB7DE4"/>
    <w:rsid w:val="00EC03E0"/>
    <w:rsid w:val="00EC0842"/>
    <w:rsid w:val="00EC1CBD"/>
    <w:rsid w:val="00EC2038"/>
    <w:rsid w:val="00EC2889"/>
    <w:rsid w:val="00EC459B"/>
    <w:rsid w:val="00EC4AFB"/>
    <w:rsid w:val="00EC61DA"/>
    <w:rsid w:val="00ED012C"/>
    <w:rsid w:val="00ED207A"/>
    <w:rsid w:val="00ED2124"/>
    <w:rsid w:val="00ED40CD"/>
    <w:rsid w:val="00ED43DB"/>
    <w:rsid w:val="00ED486C"/>
    <w:rsid w:val="00ED508C"/>
    <w:rsid w:val="00ED57E8"/>
    <w:rsid w:val="00ED5DD7"/>
    <w:rsid w:val="00ED6F59"/>
    <w:rsid w:val="00ED7401"/>
    <w:rsid w:val="00EE0251"/>
    <w:rsid w:val="00EE0681"/>
    <w:rsid w:val="00EE3CEB"/>
    <w:rsid w:val="00EE5623"/>
    <w:rsid w:val="00EE5880"/>
    <w:rsid w:val="00EE62FB"/>
    <w:rsid w:val="00EE6BE9"/>
    <w:rsid w:val="00EE751F"/>
    <w:rsid w:val="00EE78E5"/>
    <w:rsid w:val="00EE7969"/>
    <w:rsid w:val="00EF0308"/>
    <w:rsid w:val="00EF074B"/>
    <w:rsid w:val="00EF1D9C"/>
    <w:rsid w:val="00EF33F7"/>
    <w:rsid w:val="00EF393F"/>
    <w:rsid w:val="00EF44D2"/>
    <w:rsid w:val="00EF5560"/>
    <w:rsid w:val="00EF6ACC"/>
    <w:rsid w:val="00EF6B0C"/>
    <w:rsid w:val="00F000EF"/>
    <w:rsid w:val="00F012A4"/>
    <w:rsid w:val="00F030A5"/>
    <w:rsid w:val="00F04588"/>
    <w:rsid w:val="00F04A2D"/>
    <w:rsid w:val="00F04E4A"/>
    <w:rsid w:val="00F06C83"/>
    <w:rsid w:val="00F10319"/>
    <w:rsid w:val="00F1040F"/>
    <w:rsid w:val="00F11121"/>
    <w:rsid w:val="00F11774"/>
    <w:rsid w:val="00F13A4D"/>
    <w:rsid w:val="00F14430"/>
    <w:rsid w:val="00F1453E"/>
    <w:rsid w:val="00F155C3"/>
    <w:rsid w:val="00F15E59"/>
    <w:rsid w:val="00F1620B"/>
    <w:rsid w:val="00F215A7"/>
    <w:rsid w:val="00F21ECE"/>
    <w:rsid w:val="00F22474"/>
    <w:rsid w:val="00F24BD2"/>
    <w:rsid w:val="00F252DB"/>
    <w:rsid w:val="00F26093"/>
    <w:rsid w:val="00F266D0"/>
    <w:rsid w:val="00F27AA5"/>
    <w:rsid w:val="00F304E2"/>
    <w:rsid w:val="00F306C3"/>
    <w:rsid w:val="00F307BE"/>
    <w:rsid w:val="00F30DD6"/>
    <w:rsid w:val="00F3170C"/>
    <w:rsid w:val="00F331B4"/>
    <w:rsid w:val="00F33BB2"/>
    <w:rsid w:val="00F3472E"/>
    <w:rsid w:val="00F34967"/>
    <w:rsid w:val="00F34A22"/>
    <w:rsid w:val="00F363BB"/>
    <w:rsid w:val="00F36FEB"/>
    <w:rsid w:val="00F37FEC"/>
    <w:rsid w:val="00F4001E"/>
    <w:rsid w:val="00F40EF9"/>
    <w:rsid w:val="00F42B78"/>
    <w:rsid w:val="00F430FE"/>
    <w:rsid w:val="00F44038"/>
    <w:rsid w:val="00F44162"/>
    <w:rsid w:val="00F45D79"/>
    <w:rsid w:val="00F473C6"/>
    <w:rsid w:val="00F478CB"/>
    <w:rsid w:val="00F512F5"/>
    <w:rsid w:val="00F53181"/>
    <w:rsid w:val="00F5362E"/>
    <w:rsid w:val="00F53E6F"/>
    <w:rsid w:val="00F54560"/>
    <w:rsid w:val="00F54D70"/>
    <w:rsid w:val="00F561F4"/>
    <w:rsid w:val="00F5682F"/>
    <w:rsid w:val="00F60A77"/>
    <w:rsid w:val="00F61C6C"/>
    <w:rsid w:val="00F6276E"/>
    <w:rsid w:val="00F63295"/>
    <w:rsid w:val="00F65006"/>
    <w:rsid w:val="00F65AE3"/>
    <w:rsid w:val="00F65CD4"/>
    <w:rsid w:val="00F66453"/>
    <w:rsid w:val="00F703A6"/>
    <w:rsid w:val="00F71506"/>
    <w:rsid w:val="00F73E0F"/>
    <w:rsid w:val="00F7458B"/>
    <w:rsid w:val="00F74D58"/>
    <w:rsid w:val="00F76164"/>
    <w:rsid w:val="00F7623A"/>
    <w:rsid w:val="00F77730"/>
    <w:rsid w:val="00F7778A"/>
    <w:rsid w:val="00F80446"/>
    <w:rsid w:val="00F810ED"/>
    <w:rsid w:val="00F82795"/>
    <w:rsid w:val="00F84519"/>
    <w:rsid w:val="00F8528D"/>
    <w:rsid w:val="00F871B6"/>
    <w:rsid w:val="00F873D7"/>
    <w:rsid w:val="00F8770E"/>
    <w:rsid w:val="00F9024B"/>
    <w:rsid w:val="00F911D2"/>
    <w:rsid w:val="00F928BD"/>
    <w:rsid w:val="00F92D25"/>
    <w:rsid w:val="00F930B0"/>
    <w:rsid w:val="00F941A3"/>
    <w:rsid w:val="00F946F6"/>
    <w:rsid w:val="00F95E84"/>
    <w:rsid w:val="00F96713"/>
    <w:rsid w:val="00F96E1D"/>
    <w:rsid w:val="00F97341"/>
    <w:rsid w:val="00F97350"/>
    <w:rsid w:val="00FA013D"/>
    <w:rsid w:val="00FA0DC0"/>
    <w:rsid w:val="00FA245B"/>
    <w:rsid w:val="00FA4894"/>
    <w:rsid w:val="00FA4A97"/>
    <w:rsid w:val="00FA4D10"/>
    <w:rsid w:val="00FA5C91"/>
    <w:rsid w:val="00FA5F58"/>
    <w:rsid w:val="00FA7CDB"/>
    <w:rsid w:val="00FB004B"/>
    <w:rsid w:val="00FB0412"/>
    <w:rsid w:val="00FB181C"/>
    <w:rsid w:val="00FB2612"/>
    <w:rsid w:val="00FB30FC"/>
    <w:rsid w:val="00FB3246"/>
    <w:rsid w:val="00FB44B9"/>
    <w:rsid w:val="00FB6250"/>
    <w:rsid w:val="00FB761A"/>
    <w:rsid w:val="00FB7698"/>
    <w:rsid w:val="00FC0D73"/>
    <w:rsid w:val="00FC4165"/>
    <w:rsid w:val="00FC521D"/>
    <w:rsid w:val="00FC57F5"/>
    <w:rsid w:val="00FC5D1E"/>
    <w:rsid w:val="00FC6419"/>
    <w:rsid w:val="00FC6BDA"/>
    <w:rsid w:val="00FD05F2"/>
    <w:rsid w:val="00FD0726"/>
    <w:rsid w:val="00FD1DD3"/>
    <w:rsid w:val="00FD2B98"/>
    <w:rsid w:val="00FD2CA6"/>
    <w:rsid w:val="00FD3F46"/>
    <w:rsid w:val="00FD403D"/>
    <w:rsid w:val="00FD41C6"/>
    <w:rsid w:val="00FD5878"/>
    <w:rsid w:val="00FD6DF3"/>
    <w:rsid w:val="00FD76E2"/>
    <w:rsid w:val="00FE011D"/>
    <w:rsid w:val="00FE1622"/>
    <w:rsid w:val="00FE2FB8"/>
    <w:rsid w:val="00FE4942"/>
    <w:rsid w:val="00FE67F2"/>
    <w:rsid w:val="00FE70F2"/>
    <w:rsid w:val="00FF0A42"/>
    <w:rsid w:val="00FF1C17"/>
    <w:rsid w:val="00FF1CFB"/>
    <w:rsid w:val="00FF2128"/>
    <w:rsid w:val="00FF22EE"/>
    <w:rsid w:val="00FF23CD"/>
    <w:rsid w:val="00FF3E68"/>
    <w:rsid w:val="00FF3F9B"/>
    <w:rsid w:val="00FF64E7"/>
    <w:rsid w:val="00FF6D46"/>
    <w:rsid w:val="00FF740C"/>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442DD"/>
  <w15:docId w15:val="{311921A1-DA72-416B-AA44-20F3102F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F4"/>
    <w:rPr>
      <w:rFonts w:ascii="Arial" w:eastAsia="Times New Roman" w:hAnsi="Arial"/>
      <w:sz w:val="24"/>
      <w:szCs w:val="24"/>
      <w:lang w:val="en-GB"/>
    </w:rPr>
  </w:style>
  <w:style w:type="paragraph" w:styleId="Titre2">
    <w:name w:val="heading 2"/>
    <w:basedOn w:val="Normal"/>
    <w:next w:val="Normal"/>
    <w:link w:val="Titre2Car"/>
    <w:uiPriority w:val="9"/>
    <w:unhideWhenUsed/>
    <w:qFormat/>
    <w:rsid w:val="0053703B"/>
    <w:pPr>
      <w:keepNext/>
      <w:keepLines/>
      <w:spacing w:before="40"/>
      <w:outlineLvl w:val="1"/>
    </w:pPr>
    <w:rPr>
      <w:rFonts w:eastAsiaTheme="majorEastAsia" w:cs="Arial"/>
    </w:rPr>
  </w:style>
  <w:style w:type="paragraph" w:styleId="Titre4">
    <w:name w:val="heading 4"/>
    <w:aliases w:val="COM Heading"/>
    <w:basedOn w:val="Normal"/>
    <w:next w:val="Normal"/>
    <w:link w:val="Titre4Car"/>
    <w:qFormat/>
    <w:rsid w:val="00322322"/>
    <w:pPr>
      <w:keepNext/>
      <w:keepLines/>
      <w:numPr>
        <w:numId w:val="9"/>
      </w:numPr>
      <w:tabs>
        <w:tab w:val="left" w:pos="567"/>
      </w:tabs>
      <w:snapToGrid w:val="0"/>
      <w:spacing w:after="240"/>
      <w:ind w:left="567" w:hanging="567"/>
      <w:outlineLvl w:val="3"/>
    </w:pPr>
    <w:rPr>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124F1"/>
    <w:pPr>
      <w:autoSpaceDE w:val="0"/>
      <w:autoSpaceDN w:val="0"/>
      <w:adjustRightInd w:val="0"/>
    </w:pPr>
    <w:rPr>
      <w:rFonts w:ascii="Arial" w:hAnsi="Arial" w:cs="Arial"/>
      <w:color w:val="000000"/>
      <w:sz w:val="24"/>
      <w:szCs w:val="24"/>
      <w:lang w:val="en-US" w:eastAsia="zh-CN"/>
    </w:rPr>
  </w:style>
  <w:style w:type="paragraph" w:styleId="Textedebulles">
    <w:name w:val="Balloon Text"/>
    <w:basedOn w:val="Normal"/>
    <w:link w:val="TextedebullesCar"/>
    <w:uiPriority w:val="99"/>
    <w:semiHidden/>
    <w:unhideWhenUsed/>
    <w:rsid w:val="00C124F1"/>
    <w:rPr>
      <w:rFonts w:ascii="Tahoma" w:hAnsi="Tahoma" w:cs="Tahoma"/>
      <w:sz w:val="16"/>
      <w:szCs w:val="16"/>
    </w:rPr>
  </w:style>
  <w:style w:type="character" w:customStyle="1" w:styleId="TextedebullesCar">
    <w:name w:val="Texte de bulles Car"/>
    <w:basedOn w:val="Policepardfaut"/>
    <w:link w:val="Textedebulles"/>
    <w:uiPriority w:val="99"/>
    <w:semiHidden/>
    <w:rsid w:val="00C124F1"/>
    <w:rPr>
      <w:rFonts w:ascii="Tahoma" w:eastAsia="Times New Roman" w:hAnsi="Tahoma" w:cs="Tahoma"/>
      <w:sz w:val="16"/>
      <w:szCs w:val="16"/>
      <w:lang w:val="en-GB" w:eastAsia="fr-FR"/>
    </w:rPr>
  </w:style>
  <w:style w:type="paragraph" w:styleId="Paragraphedeliste">
    <w:name w:val="List Paragraph"/>
    <w:basedOn w:val="Normal"/>
    <w:uiPriority w:val="34"/>
    <w:qFormat/>
    <w:rsid w:val="00E744D6"/>
    <w:pPr>
      <w:ind w:left="708"/>
    </w:pPr>
    <w:rPr>
      <w:rFonts w:ascii="Times New Roman" w:hAnsi="Times New Roman"/>
      <w:lang w:val="en-US" w:eastAsia="en-US"/>
    </w:rPr>
  </w:style>
  <w:style w:type="character" w:styleId="Lienhypertexte">
    <w:name w:val="Hyperlink"/>
    <w:basedOn w:val="Policepardfaut"/>
    <w:uiPriority w:val="99"/>
    <w:unhideWhenUsed/>
    <w:rsid w:val="008D06B7"/>
    <w:rPr>
      <w:color w:val="0000FF"/>
      <w:u w:val="single"/>
    </w:rPr>
  </w:style>
  <w:style w:type="paragraph" w:styleId="NormalWeb">
    <w:name w:val="Normal (Web)"/>
    <w:basedOn w:val="Normal"/>
    <w:uiPriority w:val="99"/>
    <w:unhideWhenUsed/>
    <w:rsid w:val="00E43134"/>
    <w:pPr>
      <w:spacing w:before="100" w:beforeAutospacing="1" w:after="100" w:afterAutospacing="1"/>
    </w:pPr>
    <w:rPr>
      <w:rFonts w:ascii="Times New Roman" w:hAnsi="Times New Roman"/>
      <w:lang w:val="fr-FR"/>
    </w:rPr>
  </w:style>
  <w:style w:type="paragraph" w:styleId="En-tte">
    <w:name w:val="header"/>
    <w:basedOn w:val="Normal"/>
    <w:link w:val="En-tteCar"/>
    <w:uiPriority w:val="99"/>
    <w:unhideWhenUsed/>
    <w:rsid w:val="004963DE"/>
    <w:pPr>
      <w:tabs>
        <w:tab w:val="center" w:pos="4513"/>
        <w:tab w:val="right" w:pos="9026"/>
      </w:tabs>
    </w:pPr>
  </w:style>
  <w:style w:type="character" w:customStyle="1" w:styleId="En-tteCar">
    <w:name w:val="En-tête Car"/>
    <w:basedOn w:val="Policepardfaut"/>
    <w:link w:val="En-tte"/>
    <w:uiPriority w:val="99"/>
    <w:rsid w:val="004963DE"/>
    <w:rPr>
      <w:rFonts w:ascii="Arial" w:eastAsia="Times New Roman" w:hAnsi="Arial"/>
      <w:sz w:val="24"/>
      <w:szCs w:val="24"/>
      <w:lang w:val="en-GB"/>
    </w:rPr>
  </w:style>
  <w:style w:type="paragraph" w:styleId="Pieddepage">
    <w:name w:val="footer"/>
    <w:basedOn w:val="Normal"/>
    <w:link w:val="PieddepageCar"/>
    <w:uiPriority w:val="99"/>
    <w:unhideWhenUsed/>
    <w:rsid w:val="004963DE"/>
    <w:pPr>
      <w:tabs>
        <w:tab w:val="center" w:pos="4513"/>
        <w:tab w:val="right" w:pos="9026"/>
      </w:tabs>
    </w:pPr>
  </w:style>
  <w:style w:type="character" w:customStyle="1" w:styleId="PieddepageCar">
    <w:name w:val="Pied de page Car"/>
    <w:basedOn w:val="Policepardfaut"/>
    <w:link w:val="Pieddepage"/>
    <w:uiPriority w:val="99"/>
    <w:rsid w:val="004963DE"/>
    <w:rPr>
      <w:rFonts w:ascii="Arial" w:eastAsia="Times New Roman" w:hAnsi="Arial"/>
      <w:sz w:val="24"/>
      <w:szCs w:val="24"/>
      <w:lang w:val="en-GB"/>
    </w:rPr>
  </w:style>
  <w:style w:type="character" w:styleId="Marquedecommentaire">
    <w:name w:val="annotation reference"/>
    <w:basedOn w:val="Policepardfaut"/>
    <w:semiHidden/>
    <w:unhideWhenUsed/>
    <w:rsid w:val="0023552F"/>
    <w:rPr>
      <w:sz w:val="16"/>
      <w:szCs w:val="16"/>
    </w:rPr>
  </w:style>
  <w:style w:type="paragraph" w:styleId="Commentaire">
    <w:name w:val="annotation text"/>
    <w:basedOn w:val="Normal"/>
    <w:link w:val="CommentaireCar"/>
    <w:unhideWhenUsed/>
    <w:rsid w:val="0023552F"/>
    <w:rPr>
      <w:sz w:val="20"/>
      <w:szCs w:val="20"/>
    </w:rPr>
  </w:style>
  <w:style w:type="character" w:customStyle="1" w:styleId="CommentaireCar">
    <w:name w:val="Commentaire Car"/>
    <w:basedOn w:val="Policepardfaut"/>
    <w:link w:val="Commentaire"/>
    <w:uiPriority w:val="99"/>
    <w:rsid w:val="0023552F"/>
    <w:rPr>
      <w:rFonts w:ascii="Arial" w:eastAsia="Times New Roman" w:hAnsi="Arial"/>
      <w:lang w:val="en-GB" w:eastAsia="fr-FR"/>
    </w:rPr>
  </w:style>
  <w:style w:type="paragraph" w:styleId="Objetducommentaire">
    <w:name w:val="annotation subject"/>
    <w:basedOn w:val="Commentaire"/>
    <w:next w:val="Commentaire"/>
    <w:link w:val="ObjetducommentaireCar"/>
    <w:uiPriority w:val="99"/>
    <w:semiHidden/>
    <w:unhideWhenUsed/>
    <w:rsid w:val="0023552F"/>
    <w:rPr>
      <w:b/>
      <w:bCs/>
    </w:rPr>
  </w:style>
  <w:style w:type="character" w:customStyle="1" w:styleId="ObjetducommentaireCar">
    <w:name w:val="Objet du commentaire Car"/>
    <w:basedOn w:val="CommentaireCar"/>
    <w:link w:val="Objetducommentaire"/>
    <w:uiPriority w:val="99"/>
    <w:semiHidden/>
    <w:rsid w:val="0023552F"/>
    <w:rPr>
      <w:rFonts w:ascii="Arial" w:eastAsia="Times New Roman" w:hAnsi="Arial"/>
      <w:b/>
      <w:bCs/>
      <w:lang w:val="en-GB" w:eastAsia="fr-FR"/>
    </w:rPr>
  </w:style>
  <w:style w:type="table" w:styleId="Grilledutableau">
    <w:name w:val="Table Grid"/>
    <w:basedOn w:val="TableauNormal"/>
    <w:uiPriority w:val="59"/>
    <w:rsid w:val="00C368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link w:val="SansinterligneCar"/>
    <w:uiPriority w:val="1"/>
    <w:qFormat/>
    <w:rsid w:val="00151EF2"/>
    <w:rPr>
      <w:sz w:val="22"/>
      <w:szCs w:val="22"/>
      <w:lang w:eastAsia="zh-CN"/>
    </w:rPr>
  </w:style>
  <w:style w:type="character" w:customStyle="1" w:styleId="Titre2Car">
    <w:name w:val="Titre 2 Car"/>
    <w:basedOn w:val="Policepardfaut"/>
    <w:link w:val="Titre2"/>
    <w:uiPriority w:val="9"/>
    <w:rsid w:val="0053703B"/>
    <w:rPr>
      <w:rFonts w:ascii="Arial" w:eastAsiaTheme="majorEastAsia" w:hAnsi="Arial" w:cs="Arial"/>
      <w:sz w:val="24"/>
      <w:szCs w:val="24"/>
      <w:lang w:val="en-GB"/>
    </w:rPr>
  </w:style>
  <w:style w:type="paragraph" w:customStyle="1" w:styleId="Style1">
    <w:name w:val="Style1"/>
    <w:basedOn w:val="Normal"/>
    <w:link w:val="Style1Char"/>
    <w:qFormat/>
    <w:rsid w:val="00730E82"/>
    <w:pPr>
      <w:tabs>
        <w:tab w:val="left" w:pos="1134"/>
        <w:tab w:val="left" w:pos="1701"/>
        <w:tab w:val="left" w:pos="2268"/>
      </w:tabs>
      <w:spacing w:before="120" w:after="120"/>
      <w:jc w:val="both"/>
    </w:pPr>
    <w:rPr>
      <w:rFonts w:cs="Arial"/>
      <w:sz w:val="22"/>
      <w:szCs w:val="22"/>
    </w:rPr>
  </w:style>
  <w:style w:type="numbering" w:customStyle="1" w:styleId="Headingsubdecision">
    <w:name w:val="Heading sub decision"/>
    <w:uiPriority w:val="99"/>
    <w:rsid w:val="00730E82"/>
    <w:pPr>
      <w:numPr>
        <w:numId w:val="1"/>
      </w:numPr>
    </w:pPr>
  </w:style>
  <w:style w:type="character" w:customStyle="1" w:styleId="Style1Char">
    <w:name w:val="Style1 Char"/>
    <w:basedOn w:val="Policepardfaut"/>
    <w:link w:val="Style1"/>
    <w:rsid w:val="000977C1"/>
    <w:rPr>
      <w:rFonts w:ascii="Arial" w:eastAsia="Times New Roman" w:hAnsi="Arial" w:cs="Arial"/>
      <w:sz w:val="22"/>
      <w:szCs w:val="22"/>
      <w:lang w:val="en-GB"/>
    </w:rPr>
  </w:style>
  <w:style w:type="paragraph" w:customStyle="1" w:styleId="NoSpacing1">
    <w:name w:val="No Spacing1"/>
    <w:rsid w:val="00F10319"/>
    <w:rPr>
      <w:sz w:val="22"/>
      <w:szCs w:val="22"/>
      <w:lang w:eastAsia="zh-CN" w:bidi="en-US"/>
    </w:rPr>
  </w:style>
  <w:style w:type="character" w:customStyle="1" w:styleId="SansinterligneCar">
    <w:name w:val="Sans interligne Car"/>
    <w:basedOn w:val="Policepardfaut"/>
    <w:link w:val="Sansinterligne"/>
    <w:uiPriority w:val="1"/>
    <w:rsid w:val="00F10319"/>
    <w:rPr>
      <w:sz w:val="22"/>
      <w:szCs w:val="22"/>
      <w:lang w:eastAsia="zh-CN"/>
    </w:rPr>
  </w:style>
  <w:style w:type="character" w:customStyle="1" w:styleId="UnresolvedMention1">
    <w:name w:val="Unresolved Mention1"/>
    <w:basedOn w:val="Policepardfaut"/>
    <w:uiPriority w:val="99"/>
    <w:semiHidden/>
    <w:unhideWhenUsed/>
    <w:rsid w:val="001961DF"/>
    <w:rPr>
      <w:color w:val="605E5C"/>
      <w:shd w:val="clear" w:color="auto" w:fill="E1DFDD"/>
    </w:rPr>
  </w:style>
  <w:style w:type="character" w:styleId="Lienhypertextesuivivisit">
    <w:name w:val="FollowedHyperlink"/>
    <w:basedOn w:val="Policepardfaut"/>
    <w:uiPriority w:val="99"/>
    <w:semiHidden/>
    <w:unhideWhenUsed/>
    <w:rsid w:val="00DE108A"/>
    <w:rPr>
      <w:color w:val="800080" w:themeColor="followedHyperlink"/>
      <w:u w:val="single"/>
    </w:rPr>
  </w:style>
  <w:style w:type="character" w:customStyle="1" w:styleId="UnresolvedMention2">
    <w:name w:val="Unresolved Mention2"/>
    <w:basedOn w:val="Policepardfaut"/>
    <w:uiPriority w:val="99"/>
    <w:semiHidden/>
    <w:unhideWhenUsed/>
    <w:rsid w:val="00DE108A"/>
    <w:rPr>
      <w:color w:val="605E5C"/>
      <w:shd w:val="clear" w:color="auto" w:fill="E1DFDD"/>
    </w:rPr>
  </w:style>
  <w:style w:type="character" w:styleId="Numrodepage">
    <w:name w:val="page number"/>
    <w:basedOn w:val="Policepardfaut"/>
    <w:semiHidden/>
    <w:rsid w:val="00110952"/>
  </w:style>
  <w:style w:type="character" w:customStyle="1" w:styleId="UnresolvedMention3">
    <w:name w:val="Unresolved Mention3"/>
    <w:basedOn w:val="Policepardfaut"/>
    <w:uiPriority w:val="99"/>
    <w:semiHidden/>
    <w:unhideWhenUsed/>
    <w:rsid w:val="00F14430"/>
    <w:rPr>
      <w:color w:val="605E5C"/>
      <w:shd w:val="clear" w:color="auto" w:fill="E1DFDD"/>
    </w:rPr>
  </w:style>
  <w:style w:type="character" w:styleId="Mentionnonrsolue">
    <w:name w:val="Unresolved Mention"/>
    <w:basedOn w:val="Policepardfaut"/>
    <w:uiPriority w:val="99"/>
    <w:semiHidden/>
    <w:unhideWhenUsed/>
    <w:rsid w:val="003D28AD"/>
    <w:rPr>
      <w:color w:val="605E5C"/>
      <w:shd w:val="clear" w:color="auto" w:fill="E1DFDD"/>
    </w:rPr>
  </w:style>
  <w:style w:type="character" w:customStyle="1" w:styleId="Titre4Car">
    <w:name w:val="Titre 4 Car"/>
    <w:aliases w:val="COM Heading Car"/>
    <w:basedOn w:val="Policepardfaut"/>
    <w:link w:val="Titre4"/>
    <w:rsid w:val="00322322"/>
    <w:rPr>
      <w:rFonts w:ascii="Arial" w:eastAsia="Times New Roman" w:hAnsi="Arial"/>
      <w:b/>
      <w:bCs/>
      <w:snapToGrid w:val="0"/>
      <w:sz w:val="22"/>
      <w:szCs w:val="24"/>
      <w:lang w:val="en-GB" w:eastAsia="en-US"/>
    </w:rPr>
  </w:style>
  <w:style w:type="paragraph" w:customStyle="1" w:styleId="Sansinterligne2">
    <w:name w:val="Sans interligne2"/>
    <w:uiPriority w:val="1"/>
    <w:rsid w:val="00322322"/>
    <w:rPr>
      <w:rFonts w:ascii="Times New Roman" w:eastAsia="Times New Roman" w:hAnsi="Times New Roman"/>
      <w:sz w:val="24"/>
      <w:szCs w:val="24"/>
    </w:rPr>
  </w:style>
  <w:style w:type="paragraph" w:customStyle="1" w:styleId="Sansinterligne1">
    <w:name w:val="Sans interligne1"/>
    <w:uiPriority w:val="1"/>
    <w:rsid w:val="00322322"/>
    <w:rPr>
      <w:rFonts w:ascii="Times New Roman" w:eastAsia="Times New Roman" w:hAnsi="Times New Roman"/>
      <w:sz w:val="24"/>
      <w:szCs w:val="24"/>
    </w:rPr>
  </w:style>
  <w:style w:type="paragraph" w:customStyle="1" w:styleId="COMPara">
    <w:name w:val="COM Para"/>
    <w:qFormat/>
    <w:rsid w:val="00322322"/>
    <w:pPr>
      <w:numPr>
        <w:numId w:val="3"/>
      </w:numPr>
      <w:spacing w:after="120"/>
    </w:pPr>
    <w:rPr>
      <w:rFonts w:ascii="Arial" w:eastAsia="Times New Roman" w:hAnsi="Arial" w:cs="Arial"/>
      <w:snapToGrid w:val="0"/>
      <w:sz w:val="22"/>
      <w:szCs w:val="22"/>
      <w:lang w:val="en-GB" w:eastAsia="en-US"/>
    </w:rPr>
  </w:style>
  <w:style w:type="paragraph" w:customStyle="1" w:styleId="COMParaDecision">
    <w:name w:val="COM Para Decision"/>
    <w:basedOn w:val="Normal"/>
    <w:qFormat/>
    <w:rsid w:val="00322322"/>
    <w:pPr>
      <w:numPr>
        <w:numId w:val="4"/>
      </w:numPr>
      <w:autoSpaceDE w:val="0"/>
      <w:autoSpaceDN w:val="0"/>
      <w:adjustRightInd w:val="0"/>
      <w:spacing w:after="120"/>
      <w:jc w:val="both"/>
    </w:pPr>
    <w:rPr>
      <w:rFonts w:eastAsia="SimSun" w:cs="Arial"/>
      <w:sz w:val="22"/>
      <w:szCs w:val="22"/>
      <w:u w:val="single"/>
    </w:rPr>
  </w:style>
  <w:style w:type="paragraph" w:styleId="Notedebasdepage">
    <w:name w:val="footnote text"/>
    <w:basedOn w:val="Normal"/>
    <w:link w:val="NotedebasdepageCar"/>
    <w:uiPriority w:val="99"/>
    <w:semiHidden/>
    <w:unhideWhenUsed/>
    <w:rsid w:val="00322322"/>
    <w:rPr>
      <w:rFonts w:asciiTheme="minorHAnsi" w:eastAsia="Batang" w:hAnsiTheme="minorHAnsi" w:cstheme="minorBidi"/>
      <w:sz w:val="20"/>
      <w:szCs w:val="20"/>
      <w:lang w:val="fr-FR" w:eastAsia="en-US"/>
    </w:rPr>
  </w:style>
  <w:style w:type="character" w:customStyle="1" w:styleId="NotedebasdepageCar">
    <w:name w:val="Note de bas de page Car"/>
    <w:basedOn w:val="Policepardfaut"/>
    <w:link w:val="Notedebasdepage"/>
    <w:uiPriority w:val="99"/>
    <w:semiHidden/>
    <w:rsid w:val="00322322"/>
    <w:rPr>
      <w:rFonts w:asciiTheme="minorHAnsi" w:eastAsia="Batang" w:hAnsiTheme="minorHAnsi" w:cstheme="minorBidi"/>
      <w:lang w:eastAsia="en-US"/>
    </w:rPr>
  </w:style>
  <w:style w:type="character" w:styleId="Appelnotedebasdep">
    <w:name w:val="footnote reference"/>
    <w:basedOn w:val="Policepardfaut"/>
    <w:uiPriority w:val="99"/>
    <w:semiHidden/>
    <w:unhideWhenUsed/>
    <w:rsid w:val="00322322"/>
    <w:rPr>
      <w:vertAlign w:val="superscript"/>
    </w:rPr>
  </w:style>
  <w:style w:type="paragraph" w:styleId="Rvision">
    <w:name w:val="Revision"/>
    <w:hidden/>
    <w:uiPriority w:val="99"/>
    <w:semiHidden/>
    <w:rsid w:val="00322322"/>
    <w:rPr>
      <w:rFonts w:asciiTheme="minorHAnsi" w:eastAsia="Batang" w:hAnsiTheme="minorHAnsi" w:cstheme="minorBidi"/>
      <w:sz w:val="22"/>
      <w:szCs w:val="22"/>
      <w:lang w:eastAsia="en-US"/>
    </w:rPr>
  </w:style>
  <w:style w:type="character" w:customStyle="1" w:styleId="hps">
    <w:name w:val="hps"/>
    <w:rsid w:val="00322322"/>
  </w:style>
  <w:style w:type="paragraph" w:customStyle="1" w:styleId="COMTitleDecision">
    <w:name w:val="COM Title Decision"/>
    <w:basedOn w:val="Normal"/>
    <w:qFormat/>
    <w:rsid w:val="00322322"/>
    <w:pPr>
      <w:keepNext/>
      <w:spacing w:before="240" w:after="120"/>
      <w:ind w:left="567"/>
      <w:jc w:val="both"/>
    </w:pPr>
    <w:rPr>
      <w:rFonts w:cs="Arial"/>
      <w:b/>
      <w:sz w:val="22"/>
      <w:szCs w:val="22"/>
    </w:rPr>
  </w:style>
  <w:style w:type="paragraph" w:customStyle="1" w:styleId="COMPreambulaDecisions">
    <w:name w:val="COM Preambula Decisions"/>
    <w:basedOn w:val="Normal"/>
    <w:qFormat/>
    <w:rsid w:val="00322322"/>
    <w:pPr>
      <w:keepNext/>
      <w:spacing w:after="120"/>
      <w:ind w:left="567"/>
      <w:jc w:val="both"/>
    </w:pPr>
    <w:rPr>
      <w:rFonts w:cs="Arial"/>
      <w:sz w:val="22"/>
      <w:szCs w:val="22"/>
    </w:rPr>
  </w:style>
  <w:style w:type="character" w:customStyle="1" w:styleId="UnresolvedMention4">
    <w:name w:val="Unresolved Mention4"/>
    <w:basedOn w:val="Policepardfaut"/>
    <w:uiPriority w:val="99"/>
    <w:semiHidden/>
    <w:unhideWhenUsed/>
    <w:rsid w:val="00322322"/>
    <w:rPr>
      <w:color w:val="605E5C"/>
      <w:shd w:val="clear" w:color="auto" w:fill="E1DFDD"/>
    </w:rPr>
  </w:style>
  <w:style w:type="paragraph" w:customStyle="1" w:styleId="Marge">
    <w:name w:val="Marge"/>
    <w:basedOn w:val="Normal"/>
    <w:rsid w:val="00322322"/>
    <w:pPr>
      <w:tabs>
        <w:tab w:val="left" w:pos="567"/>
      </w:tabs>
      <w:snapToGrid w:val="0"/>
      <w:spacing w:after="240"/>
      <w:jc w:val="both"/>
    </w:pPr>
    <w:rPr>
      <w:snapToGrid w:val="0"/>
      <w:sz w:val="22"/>
      <w:lang w:val="fr-FR" w:eastAsia="en-US"/>
    </w:rPr>
  </w:style>
  <w:style w:type="paragraph" w:customStyle="1" w:styleId="TIRETbul1cm">
    <w:name w:val="TIRET bul 1cm"/>
    <w:basedOn w:val="Normal"/>
    <w:rsid w:val="00322322"/>
    <w:pPr>
      <w:numPr>
        <w:numId w:val="6"/>
      </w:numPr>
      <w:tabs>
        <w:tab w:val="left" w:pos="851"/>
      </w:tabs>
      <w:adjustRightInd w:val="0"/>
      <w:snapToGrid w:val="0"/>
      <w:spacing w:after="240"/>
      <w:jc w:val="both"/>
    </w:pPr>
    <w:rPr>
      <w:rFonts w:eastAsia="SimSun"/>
      <w:snapToGrid w:val="0"/>
      <w:sz w:val="22"/>
      <w:lang w:val="fr-FR" w:eastAsia="zh-CN"/>
    </w:rPr>
  </w:style>
  <w:style w:type="character" w:customStyle="1" w:styleId="UnresolvedMention5">
    <w:name w:val="Unresolved Mention5"/>
    <w:basedOn w:val="Policepardfaut"/>
    <w:uiPriority w:val="99"/>
    <w:semiHidden/>
    <w:unhideWhenUsed/>
    <w:rsid w:val="00322322"/>
    <w:rPr>
      <w:color w:val="605E5C"/>
      <w:shd w:val="clear" w:color="auto" w:fill="E1DFDD"/>
    </w:rPr>
  </w:style>
  <w:style w:type="character" w:customStyle="1" w:styleId="UnresolvedMention6">
    <w:name w:val="Unresolved Mention6"/>
    <w:basedOn w:val="Policepardfaut"/>
    <w:uiPriority w:val="99"/>
    <w:semiHidden/>
    <w:unhideWhenUsed/>
    <w:rsid w:val="00322322"/>
    <w:rPr>
      <w:color w:val="605E5C"/>
      <w:shd w:val="clear" w:color="auto" w:fill="E1DFDD"/>
    </w:rPr>
  </w:style>
  <w:style w:type="paragraph" w:customStyle="1" w:styleId="ColorfulList-Accent11">
    <w:name w:val="Colorful List - Accent 11"/>
    <w:basedOn w:val="Normal"/>
    <w:uiPriority w:val="34"/>
    <w:rsid w:val="00322322"/>
    <w:pPr>
      <w:ind w:left="720"/>
      <w:contextualSpacing/>
    </w:pPr>
    <w:rPr>
      <w:rFonts w:ascii="Times New Roman" w:hAnsi="Times New Roman"/>
      <w:lang w:val="fr-FR"/>
    </w:rPr>
  </w:style>
  <w:style w:type="paragraph" w:customStyle="1" w:styleId="b">
    <w:name w:val="(b)"/>
    <w:basedOn w:val="Normal"/>
    <w:rsid w:val="00322322"/>
    <w:pPr>
      <w:tabs>
        <w:tab w:val="left" w:pos="-737"/>
        <w:tab w:val="left" w:pos="1134"/>
      </w:tabs>
      <w:snapToGrid w:val="0"/>
      <w:spacing w:after="240"/>
      <w:ind w:left="1134" w:hanging="567"/>
      <w:jc w:val="both"/>
    </w:pPr>
    <w:rPr>
      <w:snapToGrid w:val="0"/>
      <w:sz w:val="22"/>
      <w:lang w:val="fr-FR" w:eastAsia="en-US"/>
    </w:rPr>
  </w:style>
  <w:style w:type="paragraph" w:customStyle="1" w:styleId="Par">
    <w:name w:val="Par"/>
    <w:basedOn w:val="Normal"/>
    <w:rsid w:val="00322322"/>
    <w:pPr>
      <w:tabs>
        <w:tab w:val="left" w:pos="567"/>
      </w:tabs>
      <w:snapToGrid w:val="0"/>
      <w:spacing w:after="240"/>
      <w:ind w:firstLine="567"/>
      <w:jc w:val="both"/>
    </w:pPr>
    <w:rPr>
      <w:snapToGrid w:val="0"/>
      <w:sz w:val="22"/>
      <w:lang w:val="fr-FR" w:eastAsia="en-US"/>
    </w:rPr>
  </w:style>
  <w:style w:type="character" w:customStyle="1" w:styleId="apple-style-span">
    <w:name w:val="apple-style-span"/>
    <w:basedOn w:val="Policepardfaut"/>
    <w:rsid w:val="00322322"/>
  </w:style>
  <w:style w:type="character" w:customStyle="1" w:styleId="apple-converted-space">
    <w:name w:val="apple-converted-space"/>
    <w:basedOn w:val="Policepardfaut"/>
    <w:rsid w:val="00322322"/>
  </w:style>
  <w:style w:type="table" w:customStyle="1" w:styleId="TableGrid1">
    <w:name w:val="Table Grid1"/>
    <w:basedOn w:val="TableauNormal"/>
    <w:next w:val="Grilledutableau"/>
    <w:uiPriority w:val="59"/>
    <w:rsid w:val="0032232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eduscnario">
    <w:name w:val="Texte du scénario"/>
    <w:basedOn w:val="Normal"/>
    <w:qFormat/>
    <w:rsid w:val="00322322"/>
    <w:pPr>
      <w:spacing w:after="240" w:line="360" w:lineRule="auto"/>
      <w:jc w:val="both"/>
    </w:pPr>
    <w:rPr>
      <w:rFonts w:eastAsia="SimSun" w:cs="Arial"/>
    </w:rPr>
  </w:style>
  <w:style w:type="character" w:customStyle="1" w:styleId="markedcontent">
    <w:name w:val="markedcontent"/>
    <w:basedOn w:val="Policepardfaut"/>
    <w:rsid w:val="00322322"/>
  </w:style>
  <w:style w:type="paragraph" w:styleId="PrformatHTML">
    <w:name w:val="HTML Preformatted"/>
    <w:basedOn w:val="Normal"/>
    <w:link w:val="PrformatHTMLCar"/>
    <w:uiPriority w:val="99"/>
    <w:semiHidden/>
    <w:unhideWhenUsed/>
    <w:rsid w:val="00322322"/>
    <w:rPr>
      <w:rFonts w:ascii="Consolas" w:hAnsi="Consolas"/>
      <w:sz w:val="20"/>
      <w:szCs w:val="20"/>
      <w:lang w:val="fr-FR"/>
    </w:rPr>
  </w:style>
  <w:style w:type="character" w:customStyle="1" w:styleId="PrformatHTMLCar">
    <w:name w:val="Préformaté HTML Car"/>
    <w:basedOn w:val="Policepardfaut"/>
    <w:link w:val="PrformatHTML"/>
    <w:uiPriority w:val="99"/>
    <w:semiHidden/>
    <w:rsid w:val="00322322"/>
    <w:rPr>
      <w:rFonts w:ascii="Consolas" w:eastAsia="Times New Roman" w:hAnsi="Consolas"/>
    </w:rPr>
  </w:style>
  <w:style w:type="character" w:customStyle="1" w:styleId="a">
    <w:name w:val="Нет"/>
    <w:rsid w:val="00322322"/>
  </w:style>
  <w:style w:type="character" w:customStyle="1" w:styleId="rynqvb">
    <w:name w:val="rynqvb"/>
    <w:basedOn w:val="Policepardfaut"/>
    <w:rsid w:val="00471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16186">
      <w:bodyDiv w:val="1"/>
      <w:marLeft w:val="0"/>
      <w:marRight w:val="0"/>
      <w:marTop w:val="0"/>
      <w:marBottom w:val="0"/>
      <w:divBdr>
        <w:top w:val="none" w:sz="0" w:space="0" w:color="auto"/>
        <w:left w:val="none" w:sz="0" w:space="0" w:color="auto"/>
        <w:bottom w:val="none" w:sz="0" w:space="0" w:color="auto"/>
        <w:right w:val="none" w:sz="0" w:space="0" w:color="auto"/>
      </w:divBdr>
    </w:div>
    <w:div w:id="312221832">
      <w:bodyDiv w:val="1"/>
      <w:marLeft w:val="0"/>
      <w:marRight w:val="0"/>
      <w:marTop w:val="0"/>
      <w:marBottom w:val="0"/>
      <w:divBdr>
        <w:top w:val="none" w:sz="0" w:space="0" w:color="auto"/>
        <w:left w:val="none" w:sz="0" w:space="0" w:color="auto"/>
        <w:bottom w:val="none" w:sz="0" w:space="0" w:color="auto"/>
        <w:right w:val="none" w:sz="0" w:space="0" w:color="auto"/>
      </w:divBdr>
    </w:div>
    <w:div w:id="345595840">
      <w:bodyDiv w:val="1"/>
      <w:marLeft w:val="0"/>
      <w:marRight w:val="0"/>
      <w:marTop w:val="0"/>
      <w:marBottom w:val="0"/>
      <w:divBdr>
        <w:top w:val="none" w:sz="0" w:space="0" w:color="auto"/>
        <w:left w:val="none" w:sz="0" w:space="0" w:color="auto"/>
        <w:bottom w:val="none" w:sz="0" w:space="0" w:color="auto"/>
        <w:right w:val="none" w:sz="0" w:space="0" w:color="auto"/>
      </w:divBdr>
    </w:div>
    <w:div w:id="1480458573">
      <w:bodyDiv w:val="1"/>
      <w:marLeft w:val="0"/>
      <w:marRight w:val="0"/>
      <w:marTop w:val="0"/>
      <w:marBottom w:val="0"/>
      <w:divBdr>
        <w:top w:val="none" w:sz="0" w:space="0" w:color="auto"/>
        <w:left w:val="none" w:sz="0" w:space="0" w:color="auto"/>
        <w:bottom w:val="none" w:sz="0" w:space="0" w:color="auto"/>
        <w:right w:val="none" w:sz="0" w:space="0" w:color="auto"/>
      </w:divBdr>
    </w:div>
    <w:div w:id="1634293357">
      <w:bodyDiv w:val="1"/>
      <w:marLeft w:val="0"/>
      <w:marRight w:val="0"/>
      <w:marTop w:val="0"/>
      <w:marBottom w:val="0"/>
      <w:divBdr>
        <w:top w:val="none" w:sz="0" w:space="0" w:color="auto"/>
        <w:left w:val="none" w:sz="0" w:space="0" w:color="auto"/>
        <w:bottom w:val="none" w:sz="0" w:space="0" w:color="auto"/>
        <w:right w:val="none" w:sz="0" w:space="0" w:color="auto"/>
      </w:divBdr>
      <w:divsChild>
        <w:div w:id="94411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LHE-23-18.COM-8.a-FR.docx" TargetMode="External"/><Relationship Id="rId18" Type="http://schemas.openxmlformats.org/officeDocument/2006/relationships/hyperlink" Target="https://ich.unesco.org/fr/decisions/17.COM/14?dec=decisions&amp;ref_decision=17.COM" TargetMode="External"/><Relationship Id="rId26" Type="http://schemas.openxmlformats.org/officeDocument/2006/relationships/hyperlink" Target="https://ich.unesco.org/dive/constellation/" TargetMode="External"/><Relationship Id="rId39" Type="http://schemas.openxmlformats.org/officeDocument/2006/relationships/hyperlink" Target="https://ich.unesco.org/fr/Decisions/8.COM/8" TargetMode="External"/><Relationship Id="rId21" Type="http://schemas.openxmlformats.org/officeDocument/2006/relationships/hyperlink" Target="https://ich.unesco.org/fr/18com" TargetMode="External"/><Relationship Id="rId34" Type="http://schemas.openxmlformats.org/officeDocument/2006/relationships/hyperlink" Target="https://ich.unesco.org/fr/Decisions/15.COM/8" TargetMode="External"/><Relationship Id="rId42" Type="http://schemas.openxmlformats.org/officeDocument/2006/relationships/hyperlink" Target="https://ich.unesco.org/fr/Decisions/14.COM/10" TargetMode="External"/><Relationship Id="rId47" Type="http://schemas.openxmlformats.org/officeDocument/2006/relationships/hyperlink" Target="https://ich.unesco.org/fr/Decisions/13.COM/10" TargetMode="External"/><Relationship Id="rId50" Type="http://schemas.openxmlformats.org/officeDocument/2006/relationships/hyperlink" Target="https://ich.unesco.org/doc/src/LHE-21-16.COM-8.a-EN.docx"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doc/src/LHE-23-18.COM-8.d-FR.docx" TargetMode="External"/><Relationship Id="rId20" Type="http://schemas.openxmlformats.org/officeDocument/2006/relationships/hyperlink" Target="https://ich.unesco.org/fr/Decisions/17.COM/15" TargetMode="External"/><Relationship Id="rId29" Type="http://schemas.openxmlformats.org/officeDocument/2006/relationships/hyperlink" Target="https://ich.unesco.org/doc/src/LHE-23-18.COM-10-FR.docx" TargetMode="External"/><Relationship Id="rId41" Type="http://schemas.openxmlformats.org/officeDocument/2006/relationships/hyperlink" Target="https://ich.unesco.org/doc/src/LHE-22-17.COM-7-FR.doc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7.COM/14?dec=decisions&amp;ref_decision=17.COM" TargetMode="External"/><Relationship Id="rId24" Type="http://schemas.openxmlformats.org/officeDocument/2006/relationships/hyperlink" Target="https://ich.unesco.org/fr/decisions/17.COM/14?dec=decisions&amp;ref_decision=17.COM" TargetMode="External"/><Relationship Id="rId32" Type="http://schemas.openxmlformats.org/officeDocument/2006/relationships/hyperlink" Target="https://ich.unesco.org/fr/Decisions/11.COM/10" TargetMode="External"/><Relationship Id="rId37" Type="http://schemas.openxmlformats.org/officeDocument/2006/relationships/hyperlink" Target="https://ich.unesco.org/fr/Decisions/16.COM/8" TargetMode="External"/><Relationship Id="rId40" Type="http://schemas.openxmlformats.org/officeDocument/2006/relationships/hyperlink" Target="https://ich.unesco.org/fr/Decisions/14.COM/10" TargetMode="External"/><Relationship Id="rId45" Type="http://schemas.openxmlformats.org/officeDocument/2006/relationships/hyperlink" Target="https://ich.unesco.org/doc/src/LHE-22-17.COM-7-FR.docx" TargetMode="External"/><Relationship Id="rId53" Type="http://schemas.openxmlformats.org/officeDocument/2006/relationships/hyperlink" Target="https://ich.unesco.org/doc/src/LHE-21-16.COM-8.d-EN.docx"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ch.unesco.org/doc/src/LHE-23-18.COM-8.c-FR.docx" TargetMode="External"/><Relationship Id="rId23" Type="http://schemas.openxmlformats.org/officeDocument/2006/relationships/hyperlink" Target="https://ich.unesco.org/fr/decisions/9.GA/9?dec=decisions&amp;ref_decision=9.GA" TargetMode="External"/><Relationship Id="rId28" Type="http://schemas.openxmlformats.org/officeDocument/2006/relationships/hyperlink" Target="https://ich.unesco.org/fr/Deci&#160;ions/17.COM/7" TargetMode="External"/><Relationship Id="rId36" Type="http://schemas.openxmlformats.org/officeDocument/2006/relationships/hyperlink" Target="https://ich.unesco.org/fr/Decisions/16.COM/8" TargetMode="External"/><Relationship Id="rId49" Type="http://schemas.openxmlformats.org/officeDocument/2006/relationships/image" Target="media/image1.gif"/><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hyperlink" Target="https://ich.unesco.org/fr/decisions/16.COM/16?dec=decisions&amp;ref_decision=16.COM" TargetMode="External"/><Relationship Id="rId19" Type="http://schemas.openxmlformats.org/officeDocument/2006/relationships/hyperlink" Target="https://ich.unesco.org/fr/Decisions/15.COM/9" TargetMode="External"/><Relationship Id="rId31" Type="http://schemas.openxmlformats.org/officeDocument/2006/relationships/hyperlink" Target="https://ich.unesco.org/fr/Decisions/15.COM/8" TargetMode="External"/><Relationship Id="rId44" Type="http://schemas.openxmlformats.org/officeDocument/2006/relationships/hyperlink" Target="https://ich.unesco.org/fr/Decisions/12.COM/11" TargetMode="External"/><Relationship Id="rId52" Type="http://schemas.openxmlformats.org/officeDocument/2006/relationships/hyperlink" Target="https://ich.unesco.org/doc/src/LHE-21-16.COM-8.c-EN.docx"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ich.unesco.org/fr/decisions/17.COM/14?dec=decisions&amp;ref_decision=17.COM" TargetMode="External"/><Relationship Id="rId14" Type="http://schemas.openxmlformats.org/officeDocument/2006/relationships/hyperlink" Target="https://ich.unesco.org/doc/src/LHE-23-18.COM-8.b-FR.docx" TargetMode="External"/><Relationship Id="rId22" Type="http://schemas.openxmlformats.org/officeDocument/2006/relationships/hyperlink" Target="https://ich.unesco.org/fr/decisions/9.GA/9?dec=decisions&amp;ref_decision=9.GA" TargetMode="External"/><Relationship Id="rId27" Type="http://schemas.openxmlformats.org/officeDocument/2006/relationships/hyperlink" Target="https://ich.unesco.org/doc/src/LHE-23-18.COM-12-FR.docx" TargetMode="External"/><Relationship Id="rId30" Type="http://schemas.openxmlformats.org/officeDocument/2006/relationships/hyperlink" Target="https://ich.unesco.org/fr/Decisions/15.COM/8" TargetMode="External"/><Relationship Id="rId35" Type="http://schemas.openxmlformats.org/officeDocument/2006/relationships/hyperlink" Target="https://ich.unesco.org/fr/Decisions/16.COM/8" TargetMode="External"/><Relationship Id="rId43" Type="http://schemas.openxmlformats.org/officeDocument/2006/relationships/hyperlink" Target="https://ich.unesco.org/fr/decisions/13.COM/10?dec=decisions&amp;ref_decision=13.COM" TargetMode="External"/><Relationship Id="rId48" Type="http://schemas.openxmlformats.org/officeDocument/2006/relationships/hyperlink" Target="#Recommendation"/><Relationship Id="rId56" Type="http://schemas.openxmlformats.org/officeDocument/2006/relationships/footer" Target="footer1.xml"/><Relationship Id="rId8" Type="http://schemas.openxmlformats.org/officeDocument/2006/relationships/hyperlink" Target="https://ich.unesco.org/fr/decisions/17.COM/14" TargetMode="External"/><Relationship Id="rId51" Type="http://schemas.openxmlformats.org/officeDocument/2006/relationships/hyperlink" Target="https://ich.unesco.org/doc/src/LHE-21-16.COM-8.b-EN.docx" TargetMode="External"/><Relationship Id="rId3" Type="http://schemas.openxmlformats.org/officeDocument/2006/relationships/styles" Target="styles.xml"/><Relationship Id="rId12" Type="http://schemas.openxmlformats.org/officeDocument/2006/relationships/hyperlink" Target="https://ich.unesco.org/fr/Decisions/17.COM/14" TargetMode="External"/><Relationship Id="rId17" Type="http://schemas.openxmlformats.org/officeDocument/2006/relationships/hyperlink" Target="https://ich.unesco.org/fr/files-2023-under-process-01248" TargetMode="External"/><Relationship Id="rId25" Type="http://schemas.openxmlformats.org/officeDocument/2006/relationships/hyperlink" Target="https://ich.unesco.org/fr/Decisions/17.COM/15" TargetMode="External"/><Relationship Id="rId33" Type="http://schemas.openxmlformats.org/officeDocument/2006/relationships/hyperlink" Target="https://ich.unesco.org/fr/Decisions/14.COM/10" TargetMode="External"/><Relationship Id="rId38" Type="http://schemas.openxmlformats.org/officeDocument/2006/relationships/hyperlink" Target="https://ich.unesco.org/doc/src/LHE-22-17.COM-7-FR.docx" TargetMode="External"/><Relationship Id="rId46" Type="http://schemas.openxmlformats.org/officeDocument/2006/relationships/hyperlink" Target="https://ich.unesco.org/doc/src/LHE-22-17.COM-7-FR.docx" TargetMode="External"/><Relationship Id="rId5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F59EB9CCF84F8AAC3A834DC83DB1D4"/>
        <w:category>
          <w:name w:val="General"/>
          <w:gallery w:val="placeholder"/>
        </w:category>
        <w:types>
          <w:type w:val="bbPlcHdr"/>
        </w:types>
        <w:behaviors>
          <w:behavior w:val="content"/>
        </w:behaviors>
        <w:guid w:val="{2A546201-82D6-4BBE-87D0-2ADAEC4128F4}"/>
      </w:docPartPr>
      <w:docPartBody>
        <w:p w:rsidR="00DF6BD5" w:rsidRDefault="00044A53" w:rsidP="00044A53">
          <w:pPr>
            <w:pStyle w:val="73F59EB9CCF84F8AAC3A834DC83DB1D4"/>
          </w:pPr>
          <w:r>
            <w:rPr>
              <w:color w:val="2F5496" w:themeColor="accent1" w:themeShade="BF"/>
              <w:sz w:val="24"/>
              <w:szCs w:val="24"/>
            </w:rPr>
            <w:t>[Nom de la société]</w:t>
          </w:r>
        </w:p>
      </w:docPartBody>
    </w:docPart>
    <w:docPart>
      <w:docPartPr>
        <w:name w:val="E75D4E981FC047B89A2A45945770EBD7"/>
        <w:category>
          <w:name w:val="General"/>
          <w:gallery w:val="placeholder"/>
        </w:category>
        <w:types>
          <w:type w:val="bbPlcHdr"/>
        </w:types>
        <w:behaviors>
          <w:behavior w:val="content"/>
        </w:behaviors>
        <w:guid w:val="{3CB35D65-DCE1-4665-AF86-4749F816E0C9}"/>
      </w:docPartPr>
      <w:docPartBody>
        <w:p w:rsidR="00DF6BD5" w:rsidRDefault="00044A53" w:rsidP="00044A53">
          <w:pPr>
            <w:pStyle w:val="E75D4E981FC047B89A2A45945770EBD7"/>
          </w:pPr>
          <w:r>
            <w:rPr>
              <w:color w:val="2F5496" w:themeColor="accent1" w:themeShade="BF"/>
              <w:sz w:val="24"/>
              <w:szCs w:val="24"/>
            </w:rPr>
            <w:t>[Sous-titre du document]</w:t>
          </w:r>
        </w:p>
      </w:docPartBody>
    </w:docPart>
    <w:docPart>
      <w:docPartPr>
        <w:name w:val="9EFBCA44EB7B4316BAF795FA701CC017"/>
        <w:category>
          <w:name w:val="General"/>
          <w:gallery w:val="placeholder"/>
        </w:category>
        <w:types>
          <w:type w:val="bbPlcHdr"/>
        </w:types>
        <w:behaviors>
          <w:behavior w:val="content"/>
        </w:behaviors>
        <w:guid w:val="{D51B6E45-705F-454E-8C92-C5A5B5E71CFE}"/>
      </w:docPartPr>
      <w:docPartBody>
        <w:p w:rsidR="00F67BC6" w:rsidRDefault="0010424C" w:rsidP="0010424C">
          <w:pPr>
            <w:pStyle w:val="9EFBCA44EB7B4316BAF795FA701CC017"/>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53"/>
    <w:rsid w:val="000352F0"/>
    <w:rsid w:val="00044951"/>
    <w:rsid w:val="00044A53"/>
    <w:rsid w:val="00070D02"/>
    <w:rsid w:val="0010424C"/>
    <w:rsid w:val="00117815"/>
    <w:rsid w:val="00135991"/>
    <w:rsid w:val="00164EAF"/>
    <w:rsid w:val="00177034"/>
    <w:rsid w:val="001958F2"/>
    <w:rsid w:val="00201405"/>
    <w:rsid w:val="00230685"/>
    <w:rsid w:val="00233645"/>
    <w:rsid w:val="002520C2"/>
    <w:rsid w:val="00297E44"/>
    <w:rsid w:val="002D1F71"/>
    <w:rsid w:val="002E7E4D"/>
    <w:rsid w:val="003224DE"/>
    <w:rsid w:val="0032556A"/>
    <w:rsid w:val="0033728F"/>
    <w:rsid w:val="00345EC4"/>
    <w:rsid w:val="003B34CC"/>
    <w:rsid w:val="004976ED"/>
    <w:rsid w:val="004C2C7D"/>
    <w:rsid w:val="00514EA5"/>
    <w:rsid w:val="0056210E"/>
    <w:rsid w:val="00575D44"/>
    <w:rsid w:val="00581A26"/>
    <w:rsid w:val="005F3AFD"/>
    <w:rsid w:val="00613A32"/>
    <w:rsid w:val="006A67DA"/>
    <w:rsid w:val="00816B87"/>
    <w:rsid w:val="008413B9"/>
    <w:rsid w:val="00867F13"/>
    <w:rsid w:val="008726C0"/>
    <w:rsid w:val="00885CCD"/>
    <w:rsid w:val="008A1694"/>
    <w:rsid w:val="0091347F"/>
    <w:rsid w:val="009340BB"/>
    <w:rsid w:val="00951329"/>
    <w:rsid w:val="00986455"/>
    <w:rsid w:val="00987A7D"/>
    <w:rsid w:val="00A2232E"/>
    <w:rsid w:val="00A533D9"/>
    <w:rsid w:val="00A72BC9"/>
    <w:rsid w:val="00A81DCA"/>
    <w:rsid w:val="00AD6D19"/>
    <w:rsid w:val="00AF6F4A"/>
    <w:rsid w:val="00B506EA"/>
    <w:rsid w:val="00B75659"/>
    <w:rsid w:val="00C03FFF"/>
    <w:rsid w:val="00C37D76"/>
    <w:rsid w:val="00C51E85"/>
    <w:rsid w:val="00C830C8"/>
    <w:rsid w:val="00CC5159"/>
    <w:rsid w:val="00CC5B3C"/>
    <w:rsid w:val="00CC6B96"/>
    <w:rsid w:val="00CC71C2"/>
    <w:rsid w:val="00CE23BE"/>
    <w:rsid w:val="00D04EA6"/>
    <w:rsid w:val="00D21C86"/>
    <w:rsid w:val="00D23AFF"/>
    <w:rsid w:val="00D33997"/>
    <w:rsid w:val="00D36D66"/>
    <w:rsid w:val="00D42862"/>
    <w:rsid w:val="00D54EC7"/>
    <w:rsid w:val="00D73330"/>
    <w:rsid w:val="00DD49BD"/>
    <w:rsid w:val="00DD740C"/>
    <w:rsid w:val="00DF2E42"/>
    <w:rsid w:val="00DF6BD5"/>
    <w:rsid w:val="00E47481"/>
    <w:rsid w:val="00E74FD3"/>
    <w:rsid w:val="00ED502D"/>
    <w:rsid w:val="00F17E42"/>
    <w:rsid w:val="00F2399A"/>
    <w:rsid w:val="00F67BC6"/>
    <w:rsid w:val="00FB00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3F59EB9CCF84F8AAC3A834DC83DB1D4">
    <w:name w:val="73F59EB9CCF84F8AAC3A834DC83DB1D4"/>
    <w:rsid w:val="00044A53"/>
  </w:style>
  <w:style w:type="paragraph" w:customStyle="1" w:styleId="E75D4E981FC047B89A2A45945770EBD7">
    <w:name w:val="E75D4E981FC047B89A2A45945770EBD7"/>
    <w:rsid w:val="00044A53"/>
  </w:style>
  <w:style w:type="paragraph" w:customStyle="1" w:styleId="9EFBCA44EB7B4316BAF795FA701CC017">
    <w:name w:val="9EFBCA44EB7B4316BAF795FA701CC017"/>
    <w:rsid w:val="0010424C"/>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8A0A-C694-3344-A349-E5432101505F}">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17</Pages>
  <Words>8996</Words>
  <Characters>49480</Characters>
  <Application>Microsoft Office Word</Application>
  <DocSecurity>0</DocSecurity>
  <Lines>412</Lines>
  <Paragraphs>116</Paragraphs>
  <ScaleCrop>false</ScaleCrop>
  <HeadingPairs>
    <vt:vector size="6" baseType="variant">
      <vt:variant>
        <vt:lpstr>Title</vt:lpstr>
      </vt:variant>
      <vt:variant>
        <vt:i4>1</vt:i4>
      </vt:variant>
      <vt:variant>
        <vt:lpstr>Titre</vt:lpstr>
      </vt:variant>
      <vt:variant>
        <vt:i4>1</vt:i4>
      </vt:variant>
      <vt:variant>
        <vt:lpstr>Názov</vt:lpstr>
      </vt:variant>
      <vt:variant>
        <vt:i4>1</vt:i4>
      </vt:variant>
    </vt:vector>
  </HeadingPairs>
  <TitlesOfParts>
    <vt:vector size="3" baseType="lpstr">
      <vt:lpstr>Rapport de l’Organe d’évaluation sur ses travaux en 2023</vt:lpstr>
      <vt:lpstr>Rapport de l’Organe d’évaluation sur ses travaux en 2023</vt:lpstr>
      <vt:lpstr>Examination of requests for International Assistance</vt:lpstr>
    </vt:vector>
  </TitlesOfParts>
  <Company>POINT 8 DE L’ORDRE DU JOUR PROVISOIRE</Company>
  <LinksUpToDate>false</LinksUpToDate>
  <CharactersWithSpaces>58360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l’Organe d’évaluation sur ses travaux en 2023</dc:title>
  <dc:subject>Dix-huitième session, Comité intergouvernemental de sauvegarde du patrimoine culturel immatériel (Kasane, République du Botswana – du 4 au 9 décembre 2023)</dc:subject>
  <dc:creator>CLT/CEH/ITH - H. Sicard</dc:creator>
  <cp:lastModifiedBy>Grenetier, Valentin</cp:lastModifiedBy>
  <cp:revision>13</cp:revision>
  <cp:lastPrinted>2023-10-13T14:33:00Z</cp:lastPrinted>
  <dcterms:created xsi:type="dcterms:W3CDTF">2023-11-03T17:49:00Z</dcterms:created>
  <dcterms:modified xsi:type="dcterms:W3CDTF">2023-11-06T21:54:00Z</dcterms:modified>
</cp:coreProperties>
</file>