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8D49CE" w:rsidRDefault="00EC6F8D" w:rsidP="00EC6F8D">
      <w:pPr>
        <w:spacing w:before="1440"/>
        <w:jc w:val="center"/>
        <w:rPr>
          <w:rFonts w:ascii="Arial" w:hAnsi="Arial" w:cs="Arial"/>
          <w:b/>
          <w:sz w:val="22"/>
          <w:szCs w:val="22"/>
          <w:lang w:val="en-GB"/>
        </w:rPr>
      </w:pPr>
      <w:r w:rsidRPr="008D49CE">
        <w:rPr>
          <w:rFonts w:ascii="Arial" w:hAnsi="Arial" w:cs="Arial"/>
          <w:b/>
          <w:sz w:val="22"/>
          <w:szCs w:val="22"/>
          <w:lang w:val="en-GB"/>
        </w:rPr>
        <w:t>CONVENTION FOR THE SAFEGUARDING OF THE</w:t>
      </w:r>
      <w:r w:rsidRPr="008D49CE">
        <w:rPr>
          <w:rFonts w:ascii="Arial" w:hAnsi="Arial" w:cs="Arial"/>
          <w:b/>
          <w:sz w:val="22"/>
          <w:szCs w:val="22"/>
          <w:lang w:val="en-GB"/>
        </w:rPr>
        <w:br/>
        <w:t>INTANGIBLE CULTURAL HERITAGE</w:t>
      </w:r>
    </w:p>
    <w:p w14:paraId="3F72B1D3" w14:textId="37133200" w:rsidR="00EC6F8D" w:rsidRPr="008D49CE" w:rsidRDefault="005C792B" w:rsidP="00EC6F8D">
      <w:pPr>
        <w:spacing w:before="1200"/>
        <w:jc w:val="center"/>
        <w:rPr>
          <w:rFonts w:ascii="Arial" w:hAnsi="Arial" w:cs="Arial"/>
          <w:b/>
          <w:sz w:val="22"/>
          <w:szCs w:val="22"/>
          <w:lang w:val="en-GB"/>
        </w:rPr>
      </w:pPr>
      <w:r w:rsidRPr="008D49CE">
        <w:rPr>
          <w:rFonts w:ascii="Arial" w:hAnsi="Arial" w:cs="Arial"/>
          <w:b/>
          <w:sz w:val="22"/>
          <w:szCs w:val="22"/>
          <w:lang w:val="en-GB"/>
        </w:rPr>
        <w:t>GENERAL ASSEMBLY OF THE STATES PARTIES TO THE CONVENTION</w:t>
      </w:r>
    </w:p>
    <w:p w14:paraId="2E1CD4B4" w14:textId="1F59B9D4" w:rsidR="00EC6F8D" w:rsidRPr="008D49CE" w:rsidRDefault="005C792B" w:rsidP="001D14FE">
      <w:pPr>
        <w:spacing w:before="840"/>
        <w:jc w:val="center"/>
        <w:rPr>
          <w:rFonts w:ascii="Arial" w:hAnsi="Arial" w:cs="Arial"/>
          <w:b/>
          <w:sz w:val="22"/>
          <w:szCs w:val="22"/>
          <w:lang w:val="en-GB"/>
        </w:rPr>
      </w:pPr>
      <w:r w:rsidRPr="008D49CE">
        <w:rPr>
          <w:rFonts w:ascii="Arial" w:eastAsiaTheme="minorEastAsia" w:hAnsi="Arial" w:cs="Arial"/>
          <w:b/>
          <w:sz w:val="22"/>
          <w:szCs w:val="22"/>
          <w:lang w:val="en-GB" w:eastAsia="ko-KR"/>
        </w:rPr>
        <w:t>Tenth</w:t>
      </w:r>
      <w:r w:rsidR="00B2172B" w:rsidRPr="008D49CE">
        <w:rPr>
          <w:rFonts w:ascii="Arial" w:eastAsiaTheme="minorEastAsia" w:hAnsi="Arial" w:cs="Arial"/>
          <w:b/>
          <w:sz w:val="22"/>
          <w:szCs w:val="22"/>
          <w:lang w:val="en-GB" w:eastAsia="ko-KR"/>
        </w:rPr>
        <w:t xml:space="preserve"> </w:t>
      </w:r>
      <w:r w:rsidR="00EC6F8D" w:rsidRPr="008D49CE">
        <w:rPr>
          <w:rFonts w:ascii="Arial" w:hAnsi="Arial" w:cs="Arial"/>
          <w:b/>
          <w:sz w:val="22"/>
          <w:szCs w:val="22"/>
          <w:lang w:val="en-GB"/>
        </w:rPr>
        <w:t>session</w:t>
      </w:r>
    </w:p>
    <w:p w14:paraId="1FD89575" w14:textId="05D2C62D" w:rsidR="00B2172B" w:rsidRPr="008D49CE" w:rsidRDefault="005C792B" w:rsidP="00B2172B">
      <w:pPr>
        <w:jc w:val="center"/>
        <w:rPr>
          <w:rFonts w:ascii="Arial" w:hAnsi="Arial" w:cs="Arial"/>
          <w:b/>
          <w:sz w:val="22"/>
          <w:szCs w:val="22"/>
          <w:lang w:val="en-GB"/>
        </w:rPr>
      </w:pPr>
      <w:r w:rsidRPr="008D49CE">
        <w:rPr>
          <w:rFonts w:ascii="Arial" w:hAnsi="Arial" w:cs="Arial"/>
          <w:b/>
          <w:sz w:val="22"/>
          <w:szCs w:val="22"/>
          <w:lang w:val="en-GB"/>
        </w:rPr>
        <w:t>UNESCO Headquarters, Room I</w:t>
      </w:r>
    </w:p>
    <w:p w14:paraId="52EA6D50" w14:textId="0650D584" w:rsidR="00B2172B" w:rsidRPr="008D49CE" w:rsidRDefault="0054535F" w:rsidP="00B2172B">
      <w:pPr>
        <w:jc w:val="center"/>
        <w:rPr>
          <w:rFonts w:ascii="Arial" w:hAnsi="Arial" w:cs="Arial"/>
          <w:b/>
          <w:sz w:val="22"/>
          <w:szCs w:val="22"/>
          <w:lang w:val="en-GB"/>
        </w:rPr>
      </w:pPr>
      <w:r w:rsidRPr="0035512B">
        <w:rPr>
          <w:rFonts w:ascii="Arial" w:hAnsi="Arial" w:cs="Arial"/>
          <w:b/>
          <w:sz w:val="22"/>
          <w:szCs w:val="22"/>
          <w:lang w:val="en-GB"/>
        </w:rPr>
        <w:t>11</w:t>
      </w:r>
      <w:r w:rsidR="0026221A" w:rsidRPr="0035512B">
        <w:rPr>
          <w:rFonts w:ascii="Arial" w:hAnsi="Arial" w:cs="Arial"/>
          <w:b/>
          <w:sz w:val="22"/>
          <w:szCs w:val="22"/>
          <w:lang w:val="en-GB"/>
        </w:rPr>
        <w:t xml:space="preserve"> to </w:t>
      </w:r>
      <w:r w:rsidR="002D5A71" w:rsidRPr="0035512B">
        <w:rPr>
          <w:rFonts w:ascii="Arial" w:hAnsi="Arial" w:cs="Arial"/>
          <w:b/>
          <w:sz w:val="22"/>
          <w:szCs w:val="22"/>
          <w:lang w:val="en-GB"/>
        </w:rPr>
        <w:t xml:space="preserve">12 </w:t>
      </w:r>
      <w:r w:rsidRPr="0035512B">
        <w:rPr>
          <w:rFonts w:ascii="Arial" w:hAnsi="Arial" w:cs="Arial"/>
          <w:b/>
          <w:sz w:val="22"/>
          <w:szCs w:val="22"/>
          <w:lang w:val="en-GB"/>
        </w:rPr>
        <w:t>June</w:t>
      </w:r>
      <w:r w:rsidR="00B2172B" w:rsidRPr="0035512B">
        <w:rPr>
          <w:rFonts w:ascii="Arial" w:hAnsi="Arial" w:cs="Arial"/>
          <w:b/>
          <w:sz w:val="22"/>
          <w:szCs w:val="22"/>
          <w:lang w:val="en-GB"/>
        </w:rPr>
        <w:t xml:space="preserve"> 202</w:t>
      </w:r>
      <w:r w:rsidR="005C792B" w:rsidRPr="0035512B">
        <w:rPr>
          <w:rFonts w:ascii="Arial" w:hAnsi="Arial" w:cs="Arial"/>
          <w:b/>
          <w:sz w:val="22"/>
          <w:szCs w:val="22"/>
          <w:lang w:val="en-GB"/>
        </w:rPr>
        <w:t>4</w:t>
      </w:r>
    </w:p>
    <w:p w14:paraId="0365203A" w14:textId="54D0460C" w:rsidR="00EC6F8D" w:rsidRPr="008D49CE" w:rsidRDefault="00EC6F8D" w:rsidP="00EC6F8D">
      <w:pPr>
        <w:pStyle w:val="Sansinterligne2"/>
        <w:spacing w:before="1200"/>
        <w:jc w:val="center"/>
        <w:rPr>
          <w:rFonts w:ascii="Arial" w:hAnsi="Arial" w:cs="Arial"/>
          <w:b/>
          <w:sz w:val="22"/>
          <w:szCs w:val="22"/>
          <w:lang w:val="en-GB"/>
        </w:rPr>
      </w:pPr>
      <w:r w:rsidRPr="0035512B">
        <w:rPr>
          <w:rFonts w:ascii="Arial" w:hAnsi="Arial" w:cs="Arial"/>
          <w:b/>
          <w:sz w:val="22"/>
          <w:szCs w:val="22"/>
          <w:u w:val="single"/>
          <w:lang w:val="en-GB"/>
        </w:rPr>
        <w:t>Item</w:t>
      </w:r>
      <w:r w:rsidR="006742E8" w:rsidRPr="0035512B">
        <w:rPr>
          <w:rFonts w:ascii="Arial" w:hAnsi="Arial" w:cs="Arial"/>
          <w:b/>
          <w:sz w:val="22"/>
          <w:szCs w:val="22"/>
          <w:u w:val="single"/>
          <w:lang w:val="en-GB"/>
        </w:rPr>
        <w:t xml:space="preserve"> </w:t>
      </w:r>
      <w:r w:rsidR="008D49CE" w:rsidRPr="0035512B">
        <w:rPr>
          <w:rFonts w:ascii="Arial" w:hAnsi="Arial" w:cs="Arial"/>
          <w:b/>
          <w:sz w:val="22"/>
          <w:szCs w:val="22"/>
          <w:u w:val="single"/>
          <w:lang w:val="en-GB"/>
        </w:rPr>
        <w:t>1</w:t>
      </w:r>
      <w:r w:rsidR="008D49CE" w:rsidRPr="008D49CE">
        <w:rPr>
          <w:rFonts w:ascii="Arial" w:hAnsi="Arial" w:cs="Arial"/>
          <w:b/>
          <w:sz w:val="22"/>
          <w:szCs w:val="22"/>
          <w:u w:val="single"/>
          <w:lang w:val="en-GB"/>
        </w:rPr>
        <w:t xml:space="preserve">1 </w:t>
      </w:r>
      <w:r w:rsidRPr="008D49CE">
        <w:rPr>
          <w:rFonts w:ascii="Arial" w:hAnsi="Arial" w:cs="Arial"/>
          <w:b/>
          <w:sz w:val="22"/>
          <w:szCs w:val="22"/>
          <w:u w:val="single"/>
          <w:lang w:val="en-GB"/>
        </w:rPr>
        <w:t xml:space="preserve">of the </w:t>
      </w:r>
      <w:r w:rsidR="00937D53" w:rsidRPr="008D49CE">
        <w:rPr>
          <w:rFonts w:ascii="Arial" w:hAnsi="Arial" w:cs="Arial"/>
          <w:b/>
          <w:sz w:val="22"/>
          <w:szCs w:val="22"/>
          <w:u w:val="single"/>
          <w:lang w:val="en-GB"/>
        </w:rPr>
        <w:t>p</w:t>
      </w:r>
      <w:r w:rsidRPr="008D49CE">
        <w:rPr>
          <w:rFonts w:ascii="Arial" w:hAnsi="Arial" w:cs="Arial"/>
          <w:b/>
          <w:sz w:val="22"/>
          <w:szCs w:val="22"/>
          <w:u w:val="single"/>
          <w:lang w:val="en-GB"/>
        </w:rPr>
        <w:t xml:space="preserve">rovisional </w:t>
      </w:r>
      <w:r w:rsidR="00937D53" w:rsidRPr="008D49CE">
        <w:rPr>
          <w:rFonts w:ascii="Arial" w:hAnsi="Arial" w:cs="Arial"/>
          <w:b/>
          <w:sz w:val="22"/>
          <w:szCs w:val="22"/>
          <w:u w:val="single"/>
          <w:lang w:val="en-GB"/>
        </w:rPr>
        <w:t>a</w:t>
      </w:r>
      <w:r w:rsidRPr="008D49CE">
        <w:rPr>
          <w:rFonts w:ascii="Arial" w:hAnsi="Arial" w:cs="Arial"/>
          <w:b/>
          <w:sz w:val="22"/>
          <w:szCs w:val="22"/>
          <w:u w:val="single"/>
          <w:lang w:val="en-GB"/>
        </w:rPr>
        <w:t>genda</w:t>
      </w:r>
      <w:r w:rsidRPr="008D49CE">
        <w:rPr>
          <w:rFonts w:ascii="Arial" w:hAnsi="Arial" w:cs="Arial"/>
          <w:b/>
          <w:sz w:val="22"/>
          <w:szCs w:val="22"/>
          <w:lang w:val="en-GB"/>
        </w:rPr>
        <w:t>:</w:t>
      </w:r>
    </w:p>
    <w:p w14:paraId="59920478" w14:textId="64D440BB" w:rsidR="004A2875" w:rsidRPr="008D49CE" w:rsidRDefault="006742E8" w:rsidP="004A2875">
      <w:pPr>
        <w:pStyle w:val="Sansinterligne2"/>
        <w:spacing w:after="960"/>
        <w:jc w:val="center"/>
        <w:rPr>
          <w:rFonts w:ascii="Arial" w:hAnsi="Arial" w:cs="Arial"/>
          <w:bCs/>
          <w:sz w:val="22"/>
          <w:szCs w:val="22"/>
          <w:lang w:val="en-GB"/>
        </w:rPr>
      </w:pPr>
      <w:r w:rsidRPr="008D49CE">
        <w:rPr>
          <w:rFonts w:ascii="Arial" w:hAnsi="Arial" w:cs="Arial"/>
          <w:b/>
          <w:sz w:val="22"/>
          <w:szCs w:val="22"/>
          <w:lang w:val="en-GB"/>
        </w:rPr>
        <w:t xml:space="preserve">Election of the members of the Intergovernmental Committee </w:t>
      </w:r>
      <w:r w:rsidRPr="008D49CE">
        <w:rPr>
          <w:rFonts w:ascii="Arial" w:hAnsi="Arial" w:cs="Arial"/>
          <w:b/>
          <w:sz w:val="22"/>
          <w:szCs w:val="22"/>
          <w:lang w:val="en-GB"/>
        </w:rPr>
        <w:br/>
        <w:t>for the Safeguarding of the Intangible Cultural Heritage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D49CE" w14:paraId="75AC6221" w14:textId="77777777" w:rsidTr="00EC6F8D">
        <w:trPr>
          <w:jc w:val="center"/>
        </w:trPr>
        <w:tc>
          <w:tcPr>
            <w:tcW w:w="5670" w:type="dxa"/>
            <w:vAlign w:val="center"/>
          </w:tcPr>
          <w:p w14:paraId="51C260A9" w14:textId="77777777" w:rsidR="00EC6F8D" w:rsidRPr="008D49CE" w:rsidRDefault="00EC6F8D" w:rsidP="00CA56BB">
            <w:pPr>
              <w:pStyle w:val="Sansinterligne1"/>
              <w:spacing w:before="200" w:after="200"/>
              <w:jc w:val="center"/>
              <w:rPr>
                <w:rFonts w:ascii="Arial" w:hAnsi="Arial" w:cs="Arial"/>
                <w:b/>
                <w:sz w:val="22"/>
                <w:szCs w:val="22"/>
                <w:lang w:val="en-GB"/>
              </w:rPr>
            </w:pPr>
            <w:r w:rsidRPr="008D49CE">
              <w:rPr>
                <w:rFonts w:ascii="Arial" w:hAnsi="Arial" w:cs="Arial"/>
                <w:b/>
                <w:sz w:val="22"/>
                <w:szCs w:val="22"/>
                <w:lang w:val="en-GB"/>
              </w:rPr>
              <w:t>Summary</w:t>
            </w:r>
          </w:p>
          <w:p w14:paraId="612E5DE6" w14:textId="20F43F65" w:rsidR="00BB6EEC" w:rsidRPr="008D49CE" w:rsidRDefault="00CE22AB" w:rsidP="00BB6EEC">
            <w:pPr>
              <w:pStyle w:val="Sansinterligne1"/>
              <w:jc w:val="both"/>
              <w:rPr>
                <w:rFonts w:ascii="Arial" w:hAnsi="Arial" w:cs="Arial"/>
                <w:bCs/>
                <w:sz w:val="22"/>
                <w:szCs w:val="22"/>
                <w:lang w:val="en-GB"/>
              </w:rPr>
            </w:pPr>
            <w:r w:rsidRPr="008D49CE">
              <w:rPr>
                <w:rFonts w:ascii="Arial" w:hAnsi="Arial" w:cs="Arial"/>
                <w:sz w:val="22"/>
                <w:szCs w:val="22"/>
                <w:lang w:val="en-GB"/>
              </w:rPr>
              <w:t>T</w:t>
            </w:r>
            <w:r w:rsidR="006742E8" w:rsidRPr="008D49CE">
              <w:rPr>
                <w:rFonts w:ascii="Arial" w:hAnsi="Arial" w:cs="Arial"/>
                <w:sz w:val="22"/>
                <w:szCs w:val="22"/>
                <w:lang w:val="en-GB"/>
              </w:rPr>
              <w:t>he</w:t>
            </w:r>
            <w:r w:rsidRPr="008D49CE">
              <w:rPr>
                <w:rFonts w:ascii="Arial" w:hAnsi="Arial" w:cs="Arial"/>
                <w:sz w:val="22"/>
                <w:szCs w:val="22"/>
                <w:lang w:val="en-US"/>
              </w:rPr>
              <w:t xml:space="preserve"> 2003 </w:t>
            </w:r>
            <w:r w:rsidR="006742E8" w:rsidRPr="008D49CE">
              <w:rPr>
                <w:rFonts w:ascii="Arial" w:hAnsi="Arial" w:cs="Arial"/>
                <w:sz w:val="22"/>
                <w:szCs w:val="22"/>
                <w:lang w:val="en-GB"/>
              </w:rPr>
              <w:t>Convention</w:t>
            </w:r>
            <w:r w:rsidRPr="008D49CE">
              <w:rPr>
                <w:rFonts w:ascii="Arial" w:hAnsi="Arial" w:cs="Arial"/>
                <w:sz w:val="22"/>
                <w:szCs w:val="22"/>
                <w:lang w:val="en-GB"/>
              </w:rPr>
              <w:t>’s Article 5</w:t>
            </w:r>
            <w:r w:rsidR="006742E8" w:rsidRPr="008D49CE">
              <w:rPr>
                <w:rFonts w:ascii="Arial" w:hAnsi="Arial" w:cs="Arial"/>
                <w:sz w:val="22"/>
                <w:szCs w:val="22"/>
                <w:lang w:val="en-GB"/>
              </w:rPr>
              <w:t xml:space="preserve"> provides that the Intergovernmental Committee for the Safeguarding of the Intangible Cultural Heritage shall </w:t>
            </w:r>
            <w:r w:rsidR="00426485" w:rsidRPr="008D49CE">
              <w:rPr>
                <w:rFonts w:ascii="Arial" w:hAnsi="Arial" w:cs="Arial"/>
                <w:sz w:val="22"/>
                <w:szCs w:val="22"/>
                <w:lang w:val="en-GB"/>
              </w:rPr>
              <w:t xml:space="preserve">be </w:t>
            </w:r>
            <w:r w:rsidR="00FB4C6F" w:rsidRPr="008D49CE">
              <w:rPr>
                <w:rFonts w:ascii="Arial" w:hAnsi="Arial" w:cs="Arial"/>
                <w:sz w:val="22"/>
                <w:szCs w:val="22"/>
                <w:lang w:val="en-GB"/>
              </w:rPr>
              <w:t>composed</w:t>
            </w:r>
            <w:r w:rsidR="006742E8" w:rsidRPr="008D49CE">
              <w:rPr>
                <w:rFonts w:ascii="Arial" w:hAnsi="Arial" w:cs="Arial"/>
                <w:sz w:val="22"/>
                <w:szCs w:val="22"/>
                <w:lang w:val="en-GB"/>
              </w:rPr>
              <w:t xml:space="preserve"> of representatives of twenty-four States Parties to the Convention. </w:t>
            </w:r>
            <w:r w:rsidRPr="008D49CE">
              <w:rPr>
                <w:rFonts w:ascii="Arial" w:hAnsi="Arial" w:cs="Arial"/>
                <w:sz w:val="22"/>
                <w:szCs w:val="22"/>
                <w:lang w:val="en-GB"/>
              </w:rPr>
              <w:t>T</w:t>
            </w:r>
            <w:r w:rsidR="006742E8" w:rsidRPr="008D49CE">
              <w:rPr>
                <w:rFonts w:ascii="Arial" w:hAnsi="Arial" w:cs="Arial"/>
                <w:sz w:val="22"/>
                <w:szCs w:val="22"/>
                <w:lang w:val="en-GB"/>
              </w:rPr>
              <w:t>he General Assembly shall renew half of the States Members of the Committee every two years</w:t>
            </w:r>
            <w:r w:rsidRPr="008D49CE">
              <w:rPr>
                <w:rFonts w:ascii="Arial" w:hAnsi="Arial" w:cs="Arial"/>
                <w:sz w:val="22"/>
                <w:szCs w:val="22"/>
                <w:lang w:val="en-GB"/>
              </w:rPr>
              <w:t xml:space="preserve"> in conformity with Article 6 of the Convention</w:t>
            </w:r>
            <w:r w:rsidR="006742E8" w:rsidRPr="008D49CE">
              <w:rPr>
                <w:rFonts w:ascii="Arial" w:hAnsi="Arial" w:cs="Arial"/>
                <w:sz w:val="22"/>
                <w:szCs w:val="22"/>
                <w:lang w:val="en-GB"/>
              </w:rPr>
              <w:t>.</w:t>
            </w:r>
          </w:p>
          <w:p w14:paraId="290310E8" w14:textId="13FF4AC6" w:rsidR="00EC6F8D" w:rsidRPr="008D49CE" w:rsidRDefault="00EC6F8D" w:rsidP="00CA56BB">
            <w:pPr>
              <w:pStyle w:val="Sansinterligne2"/>
              <w:spacing w:before="200" w:after="200"/>
              <w:jc w:val="both"/>
              <w:rPr>
                <w:rFonts w:ascii="Arial" w:hAnsi="Arial" w:cs="Arial"/>
                <w:b/>
                <w:sz w:val="22"/>
                <w:szCs w:val="22"/>
                <w:lang w:val="en-GB"/>
              </w:rPr>
            </w:pPr>
            <w:r w:rsidRPr="008D49CE">
              <w:rPr>
                <w:rFonts w:ascii="Arial" w:hAnsi="Arial" w:cs="Arial"/>
                <w:b/>
                <w:sz w:val="22"/>
                <w:szCs w:val="22"/>
                <w:lang w:val="en-GB"/>
              </w:rPr>
              <w:t xml:space="preserve">Decision required: </w:t>
            </w:r>
            <w:r w:rsidRPr="008D49CE">
              <w:rPr>
                <w:rFonts w:ascii="Arial" w:hAnsi="Arial" w:cs="Arial"/>
                <w:bCs/>
                <w:sz w:val="22"/>
                <w:szCs w:val="22"/>
                <w:lang w:val="en-GB"/>
              </w:rPr>
              <w:t>paragraph</w:t>
            </w:r>
            <w:r w:rsidR="006742E8" w:rsidRPr="008D49CE">
              <w:rPr>
                <w:rFonts w:ascii="Arial" w:hAnsi="Arial" w:cs="Arial"/>
                <w:bCs/>
                <w:sz w:val="22"/>
                <w:szCs w:val="22"/>
                <w:lang w:val="en-GB"/>
              </w:rPr>
              <w:t xml:space="preserve"> 8</w:t>
            </w:r>
          </w:p>
        </w:tc>
      </w:tr>
    </w:tbl>
    <w:p w14:paraId="713D819F" w14:textId="77777777" w:rsidR="004A2875" w:rsidRPr="008D49CE"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8D49CE">
        <w:rPr>
          <w:lang w:val="en-GB"/>
        </w:rPr>
        <w:br w:type="page"/>
      </w:r>
    </w:p>
    <w:p w14:paraId="5FA2B7DB" w14:textId="5530D50A" w:rsidR="0057439C" w:rsidRPr="008D49CE" w:rsidRDefault="00CE22AB" w:rsidP="003A214A">
      <w:pPr>
        <w:pStyle w:val="COMPara"/>
        <w:ind w:left="567" w:hanging="567"/>
        <w:jc w:val="both"/>
      </w:pPr>
      <w:r w:rsidRPr="008D49CE">
        <w:lastRenderedPageBreak/>
        <w:t xml:space="preserve">The 2003 Convention’s </w:t>
      </w:r>
      <w:r w:rsidR="00EC1DAD" w:rsidRPr="008D49CE">
        <w:t xml:space="preserve">Article 5 provides that the Intergovernmental Committee for the Safeguarding of the Intangible Cultural Heritage shall </w:t>
      </w:r>
      <w:r w:rsidR="00FB4C6F" w:rsidRPr="008D49CE">
        <w:t>be composed</w:t>
      </w:r>
      <w:r w:rsidR="00EC1DAD" w:rsidRPr="008D49CE">
        <w:t xml:space="preserve"> of twenty-four States Members elected by the General Assembly of the States Parties.</w:t>
      </w:r>
    </w:p>
    <w:p w14:paraId="17999597" w14:textId="4D69C82F" w:rsidR="00EC1DAD" w:rsidRPr="008D49CE" w:rsidRDefault="00EC1DAD" w:rsidP="003A214A">
      <w:pPr>
        <w:pStyle w:val="COMPara"/>
        <w:ind w:left="567" w:hanging="567"/>
        <w:jc w:val="both"/>
      </w:pPr>
      <w:r w:rsidRPr="008D49CE">
        <w:t xml:space="preserve">In conformity with Article 6 of the Convention, States Members of the Committee shall be elected for a term of four years. The election shall obey the principles of equitable geographical representation and rotation. Every two years, the General Assembly shall renew half of the States Members of the Committee. It shall also elect as many States Members of the Committee as required to fill vacancies. </w:t>
      </w:r>
      <w:r w:rsidR="00771B71" w:rsidRPr="008D49CE">
        <w:t>Moreover</w:t>
      </w:r>
      <w:r w:rsidR="00CE22AB" w:rsidRPr="008D49CE">
        <w:t>, a</w:t>
      </w:r>
      <w:r w:rsidRPr="008D49CE">
        <w:t xml:space="preserve"> State Member of the Committee may not be elected for two consecutive terms. </w:t>
      </w:r>
    </w:p>
    <w:p w14:paraId="051DF4DF" w14:textId="551C1FBD" w:rsidR="00EC1DAD" w:rsidRPr="008D49CE" w:rsidRDefault="00EC1DAD" w:rsidP="003A214A">
      <w:pPr>
        <w:pStyle w:val="COMPara"/>
        <w:ind w:left="567" w:hanging="567"/>
        <w:jc w:val="both"/>
      </w:pPr>
      <w:r w:rsidRPr="008D49CE">
        <w:t xml:space="preserve">Furthermore, as stipulated in Rule </w:t>
      </w:r>
      <w:r w:rsidR="00625617" w:rsidRPr="008D49CE">
        <w:t>35</w:t>
      </w:r>
      <w:r w:rsidRPr="008D49CE">
        <w:t xml:space="preserve"> of the Rules of Procedure of the General Assembly, the election of Members of the Committee shall be conducted on the basis of the electoral groups of </w:t>
      </w:r>
      <w:proofErr w:type="gramStart"/>
      <w:r w:rsidRPr="008D49CE">
        <w:t>UNESCO</w:t>
      </w:r>
      <w:proofErr w:type="gramEnd"/>
      <w:r w:rsidRPr="008D49CE">
        <w:t>, it being understood that ‘Group V’ shall consist of two separate groups for the African and Arab States</w:t>
      </w:r>
      <w:r w:rsidR="00303812" w:rsidRPr="008D49CE">
        <w:t xml:space="preserve"> (Rule 35.1)</w:t>
      </w:r>
      <w:r w:rsidRPr="008D49CE">
        <w:t xml:space="preserve">. The seats in the Committee shall be distributed among electoral groups in proportion to the number of States Parties from each group, provided that, after such distribution, at least three seats </w:t>
      </w:r>
      <w:r w:rsidR="00625617" w:rsidRPr="008D49CE">
        <w:t>have been</w:t>
      </w:r>
      <w:r w:rsidRPr="008D49CE">
        <w:t xml:space="preserve"> attributed to each group</w:t>
      </w:r>
      <w:r w:rsidR="00303812" w:rsidRPr="008D49CE">
        <w:t xml:space="preserve"> (Rule 35.2)</w:t>
      </w:r>
      <w:r w:rsidRPr="008D49CE">
        <w:t xml:space="preserve">. The present session of the Assembly is to establish such distribution of seats under item 4 (document </w:t>
      </w:r>
      <w:hyperlink r:id="rId8" w:history="1">
        <w:r w:rsidRPr="0035512B">
          <w:rPr>
            <w:rStyle w:val="Hyperlink"/>
          </w:rPr>
          <w:t>LHE/2</w:t>
        </w:r>
        <w:r w:rsidR="003A214A" w:rsidRPr="0035512B">
          <w:rPr>
            <w:rStyle w:val="Hyperlink"/>
          </w:rPr>
          <w:t>4</w:t>
        </w:r>
        <w:r w:rsidRPr="0035512B">
          <w:rPr>
            <w:rStyle w:val="Hyperlink"/>
          </w:rPr>
          <w:t>/</w:t>
        </w:r>
        <w:r w:rsidR="003A214A" w:rsidRPr="0035512B">
          <w:rPr>
            <w:rStyle w:val="Hyperlink"/>
          </w:rPr>
          <w:t>10</w:t>
        </w:r>
        <w:r w:rsidRPr="0035512B">
          <w:rPr>
            <w:rStyle w:val="Hyperlink"/>
          </w:rPr>
          <w:t>.GA/4</w:t>
        </w:r>
      </w:hyperlink>
      <w:r w:rsidRPr="008D49CE">
        <w:t xml:space="preserve">). </w:t>
      </w:r>
    </w:p>
    <w:p w14:paraId="7D05F62A" w14:textId="4D02E029" w:rsidR="006B4102" w:rsidRPr="008D49CE" w:rsidRDefault="003A214A" w:rsidP="006B4102">
      <w:pPr>
        <w:pStyle w:val="COMPara"/>
        <w:ind w:left="567" w:hanging="567"/>
        <w:jc w:val="both"/>
      </w:pPr>
      <w:r w:rsidRPr="008D49CE">
        <w:t xml:space="preserve">In accordance with Rule </w:t>
      </w:r>
      <w:r w:rsidR="00625617" w:rsidRPr="008D49CE">
        <w:t>36</w:t>
      </w:r>
      <w:r w:rsidRPr="008D49CE">
        <w:t xml:space="preserve"> of the Rules of Procedure of the General Assembly, three months prior to the date of the election, the Secretariat asked all States Parties whether they intended to stand for election to the Committee</w:t>
      </w:r>
      <w:r w:rsidR="006B4102" w:rsidRPr="008D49CE">
        <w:t xml:space="preserve"> (Rule 36.1)</w:t>
      </w:r>
      <w:r w:rsidR="00A950E6" w:rsidRPr="008D49CE">
        <w:t>, by the circular letter sent on 13 March 2024</w:t>
      </w:r>
      <w:r w:rsidRPr="008D49CE">
        <w:t xml:space="preserve">. The provisional list of candidatures is included in document </w:t>
      </w:r>
      <w:hyperlink r:id="rId9" w:history="1">
        <w:r w:rsidR="003F701C" w:rsidRPr="003F701C">
          <w:rPr>
            <w:rStyle w:val="Hyperlink"/>
          </w:rPr>
          <w:t>LHE/24/10.GA/INF.11</w:t>
        </w:r>
      </w:hyperlink>
      <w:r w:rsidR="003F701C">
        <w:t xml:space="preserve"> </w:t>
      </w:r>
      <w:r w:rsidRPr="008D49CE">
        <w:t>and will be revised as necessary.</w:t>
      </w:r>
      <w:r w:rsidR="006B4102" w:rsidRPr="008D49CE">
        <w:t xml:space="preserve"> In accordance with Rule 36.4, the list of candidate States Parties is finalized three working days prior to the opening of the General Assembly</w:t>
      </w:r>
      <w:r w:rsidR="00A950E6" w:rsidRPr="008D49CE">
        <w:t xml:space="preserve"> (i.e. 5 June 2024)</w:t>
      </w:r>
      <w:r w:rsidR="006B4102" w:rsidRPr="008D49CE">
        <w:t>.</w:t>
      </w:r>
    </w:p>
    <w:p w14:paraId="0F20F99D" w14:textId="0CC7A35D" w:rsidR="003A214A" w:rsidRPr="008D49CE" w:rsidRDefault="003A214A" w:rsidP="003A214A">
      <w:pPr>
        <w:pStyle w:val="COMPara"/>
        <w:ind w:left="567" w:hanging="567"/>
        <w:jc w:val="both"/>
      </w:pPr>
      <w:r w:rsidRPr="008D49CE">
        <w:t>According to Article 26.5 of the Convention, ‘</w:t>
      </w:r>
      <w:r w:rsidR="003919DC" w:rsidRPr="008D49CE">
        <w:t>[a]</w:t>
      </w:r>
      <w:proofErr w:type="spellStart"/>
      <w:r w:rsidRPr="008D49CE">
        <w:t>ny</w:t>
      </w:r>
      <w:proofErr w:type="spellEnd"/>
      <w:r w:rsidRPr="008D49CE">
        <w:t xml:space="preserve"> State Party to this Convention which is in arrears with the payment of its compulsory or voluntary contribution for the current year and the calendar year immediately preceding it shall not be eligible as a Member of the Committee’; and ‘[t]he term of office of any such State which is already a Member of the Committee shall come to an end at the time of the elections’. </w:t>
      </w:r>
    </w:p>
    <w:p w14:paraId="1B3BE38F" w14:textId="78F7E8E1" w:rsidR="003A214A" w:rsidRPr="008D49CE" w:rsidRDefault="003A214A" w:rsidP="006B4102">
      <w:pPr>
        <w:pStyle w:val="COMPara"/>
        <w:ind w:left="567" w:hanging="567"/>
        <w:jc w:val="both"/>
      </w:pPr>
      <w:r w:rsidRPr="008D49CE">
        <w:t xml:space="preserve">Furthermore, in conformity with Rule </w:t>
      </w:r>
      <w:r w:rsidR="00625617" w:rsidRPr="008D49CE">
        <w:t>36</w:t>
      </w:r>
      <w:r w:rsidRPr="008D49CE">
        <w:t>.3 of the Rules of Procedure of the General Assembly, ‘[n]o payments of compulsory and voluntary contributions to the Fund (for the purpose of presenting a candidature to the Committee) will be accepted later than a week before the opening of the Assembly’</w:t>
      </w:r>
      <w:r w:rsidR="00A950E6" w:rsidRPr="008D49CE">
        <w:t xml:space="preserve"> (i.e. 4 June 2024)</w:t>
      </w:r>
      <w:r w:rsidRPr="008D49CE">
        <w:t xml:space="preserve">. In this regard and pursuant to Rule </w:t>
      </w:r>
      <w:r w:rsidR="00625617" w:rsidRPr="008D49CE">
        <w:t>36</w:t>
      </w:r>
      <w:r w:rsidRPr="008D49CE">
        <w:t xml:space="preserve">.2 of the Rules of Procedure of the General Assembly, </w:t>
      </w:r>
      <w:r w:rsidR="004515E7" w:rsidRPr="008D49CE">
        <w:t>the provisional list of candidate States Parties (</w:t>
      </w:r>
      <w:r w:rsidRPr="008D49CE">
        <w:t xml:space="preserve">document </w:t>
      </w:r>
      <w:hyperlink r:id="rId10" w:history="1">
        <w:r w:rsidR="00E52185" w:rsidRPr="00E52185">
          <w:rPr>
            <w:rStyle w:val="Hyperlink"/>
          </w:rPr>
          <w:t>LHE/24/10.GA/INF.11</w:t>
        </w:r>
      </w:hyperlink>
      <w:r w:rsidR="004515E7" w:rsidRPr="008D49CE">
        <w:t xml:space="preserve">), published at least four weeks before the present session of the General Assembly (i.e. 14 May 2024), </w:t>
      </w:r>
      <w:r w:rsidRPr="008D49CE">
        <w:t>contains the information on the status of all compulsory and voluntary contributions to the Fund for the Safeguarding of the Intangible Cultural Heritage made by each of the candidate States Parties for the years 202</w:t>
      </w:r>
      <w:r w:rsidR="00625617" w:rsidRPr="008D49CE">
        <w:t>3</w:t>
      </w:r>
      <w:r w:rsidRPr="008D49CE">
        <w:t xml:space="preserve"> and 202</w:t>
      </w:r>
      <w:r w:rsidR="00625617" w:rsidRPr="008D49CE">
        <w:t>4</w:t>
      </w:r>
      <w:r w:rsidRPr="008D49CE">
        <w:t xml:space="preserve"> respectively, as well as on the date of their last payment. </w:t>
      </w:r>
    </w:p>
    <w:p w14:paraId="00743995" w14:textId="60A7F9A0" w:rsidR="0057439C" w:rsidRPr="008D49CE" w:rsidRDefault="003A214A" w:rsidP="003A214A">
      <w:pPr>
        <w:pStyle w:val="COMPara"/>
        <w:ind w:left="567" w:hanging="567"/>
        <w:jc w:val="both"/>
      </w:pPr>
      <w:r w:rsidRPr="008D49CE">
        <w:t xml:space="preserve">The election of Members of the Committee is conducted in accordance with Rule </w:t>
      </w:r>
      <w:r w:rsidR="00625617" w:rsidRPr="008D49CE">
        <w:t>37</w:t>
      </w:r>
      <w:r w:rsidRPr="008D49CE">
        <w:t xml:space="preserve"> of the Rules of Procedure of the General Assembly, and in particular with Rule </w:t>
      </w:r>
      <w:r w:rsidR="00625617" w:rsidRPr="008D49CE">
        <w:t>37</w:t>
      </w:r>
      <w:r w:rsidRPr="008D49CE">
        <w:t xml:space="preserve">.1: ‘The election of Members of the Committee shall be conducted by secret ballot except that, where the number of candidates within geographical distribution is the same as or less than the number of seats to be filled, the candidates shall be declared elected without the need to hold a ballot’. </w:t>
      </w:r>
    </w:p>
    <w:p w14:paraId="50D3EAFF" w14:textId="3A349EC1" w:rsidR="00D95C4C" w:rsidRPr="008D49CE" w:rsidRDefault="005C792B" w:rsidP="005C792B">
      <w:pPr>
        <w:pStyle w:val="COMPara"/>
        <w:ind w:left="567" w:hanging="567"/>
      </w:pPr>
      <w:r w:rsidRPr="008D49CE">
        <w:t>The General Assembly may wish to adopt the following resolution:</w:t>
      </w:r>
    </w:p>
    <w:p w14:paraId="6CEB1E9D" w14:textId="7ECB8F65" w:rsidR="00D95C4C" w:rsidRPr="008D49CE" w:rsidRDefault="004A34A0" w:rsidP="001D14FE">
      <w:pPr>
        <w:pStyle w:val="COMTitleDecision"/>
        <w:rPr>
          <w:rFonts w:eastAsia="SimSun"/>
        </w:rPr>
      </w:pPr>
      <w:r w:rsidRPr="008D49CE">
        <w:t xml:space="preserve">DRAFT </w:t>
      </w:r>
      <w:r w:rsidR="005C792B" w:rsidRPr="008D49CE">
        <w:t>RESOLUTION</w:t>
      </w:r>
      <w:r w:rsidR="00CB0542" w:rsidRPr="008D49CE">
        <w:t xml:space="preserve"> </w:t>
      </w:r>
      <w:r w:rsidR="00CB0542" w:rsidRPr="0035512B">
        <w:t>1</w:t>
      </w:r>
      <w:r w:rsidR="005C792B" w:rsidRPr="0035512B">
        <w:t>0</w:t>
      </w:r>
      <w:r w:rsidR="00EC6F8D" w:rsidRPr="0035512B">
        <w:t>.</w:t>
      </w:r>
      <w:r w:rsidR="005C792B" w:rsidRPr="0035512B">
        <w:t>GA</w:t>
      </w:r>
      <w:r w:rsidR="006742E8" w:rsidRPr="0035512B">
        <w:t xml:space="preserve"> </w:t>
      </w:r>
      <w:r w:rsidR="008D49CE" w:rsidRPr="0035512B">
        <w:t>1</w:t>
      </w:r>
      <w:r w:rsidR="008D49CE" w:rsidRPr="008D49CE">
        <w:t>1</w:t>
      </w:r>
    </w:p>
    <w:p w14:paraId="13024F0B" w14:textId="5181E164" w:rsidR="00D95C4C" w:rsidRPr="008D49CE" w:rsidRDefault="005C792B" w:rsidP="00285BB4">
      <w:pPr>
        <w:pStyle w:val="COMPreambulaDecisions"/>
        <w:rPr>
          <w:rFonts w:eastAsia="SimSun"/>
        </w:rPr>
      </w:pPr>
      <w:r w:rsidRPr="008D49CE">
        <w:t>The General Assembly,</w:t>
      </w:r>
    </w:p>
    <w:p w14:paraId="5A9F22F3" w14:textId="03A82493" w:rsidR="0057439C" w:rsidRPr="008D49CE" w:rsidRDefault="00D95C4C" w:rsidP="004A2875">
      <w:pPr>
        <w:pStyle w:val="COMParaDecision"/>
      </w:pPr>
      <w:r w:rsidRPr="008D49CE">
        <w:t>Having examined</w:t>
      </w:r>
      <w:r w:rsidRPr="008D49CE">
        <w:rPr>
          <w:u w:val="none"/>
        </w:rPr>
        <w:t xml:space="preserve"> </w:t>
      </w:r>
      <w:r w:rsidR="00480175" w:rsidRPr="002256D7">
        <w:rPr>
          <w:u w:val="none"/>
        </w:rPr>
        <w:t>d</w:t>
      </w:r>
      <w:r w:rsidRPr="002256D7">
        <w:rPr>
          <w:u w:val="none"/>
        </w:rPr>
        <w:t>oc</w:t>
      </w:r>
      <w:r w:rsidR="00CB0542" w:rsidRPr="002256D7">
        <w:rPr>
          <w:u w:val="none"/>
        </w:rPr>
        <w:t xml:space="preserve">ument </w:t>
      </w:r>
      <w:r w:rsidR="00C5776D" w:rsidRPr="002256D7">
        <w:rPr>
          <w:u w:val="none"/>
        </w:rPr>
        <w:t>LHE</w:t>
      </w:r>
      <w:r w:rsidR="00CB0542" w:rsidRPr="002256D7">
        <w:rPr>
          <w:u w:val="none"/>
        </w:rPr>
        <w:t>/</w:t>
      </w:r>
      <w:r w:rsidR="00D7105A" w:rsidRPr="002256D7">
        <w:rPr>
          <w:u w:val="none"/>
        </w:rPr>
        <w:t>2</w:t>
      </w:r>
      <w:r w:rsidR="005C792B" w:rsidRPr="002256D7">
        <w:rPr>
          <w:u w:val="none"/>
        </w:rPr>
        <w:t>4</w:t>
      </w:r>
      <w:r w:rsidR="00337CEB" w:rsidRPr="002256D7">
        <w:rPr>
          <w:u w:val="none"/>
        </w:rPr>
        <w:t>/1</w:t>
      </w:r>
      <w:r w:rsidR="005C792B" w:rsidRPr="002256D7">
        <w:rPr>
          <w:u w:val="none"/>
        </w:rPr>
        <w:t>0</w:t>
      </w:r>
      <w:r w:rsidR="00EC6F8D" w:rsidRPr="002256D7">
        <w:rPr>
          <w:u w:val="none"/>
        </w:rPr>
        <w:t>.</w:t>
      </w:r>
      <w:r w:rsidR="005C792B" w:rsidRPr="002256D7">
        <w:rPr>
          <w:u w:val="none"/>
        </w:rPr>
        <w:t>GA</w:t>
      </w:r>
      <w:r w:rsidR="004A34A0" w:rsidRPr="002256D7">
        <w:rPr>
          <w:u w:val="none"/>
        </w:rPr>
        <w:t>/</w:t>
      </w:r>
      <w:r w:rsidR="008D49CE" w:rsidRPr="002256D7">
        <w:rPr>
          <w:u w:val="none"/>
        </w:rPr>
        <w:t>11</w:t>
      </w:r>
      <w:r w:rsidR="006E75EB" w:rsidRPr="002256D7">
        <w:rPr>
          <w:u w:val="none"/>
        </w:rPr>
        <w:t>,</w:t>
      </w:r>
    </w:p>
    <w:p w14:paraId="260CA8D5" w14:textId="4FBBF954" w:rsidR="0057439C" w:rsidRPr="008D49CE" w:rsidRDefault="0057439C" w:rsidP="004A2875">
      <w:pPr>
        <w:pStyle w:val="COMParaDecision"/>
      </w:pPr>
      <w:r w:rsidRPr="008D49CE">
        <w:t>Recallin</w:t>
      </w:r>
      <w:r w:rsidR="00517FD8" w:rsidRPr="008D49CE">
        <w:t>g</w:t>
      </w:r>
      <w:r w:rsidR="00517FD8" w:rsidRPr="008D49CE">
        <w:rPr>
          <w:u w:val="none"/>
        </w:rPr>
        <w:t xml:space="preserve"> </w:t>
      </w:r>
      <w:r w:rsidR="006742E8" w:rsidRPr="008D49CE">
        <w:rPr>
          <w:u w:val="none"/>
        </w:rPr>
        <w:t xml:space="preserve">Articles 5, 6 and 26.5 of the Convention and Rules </w:t>
      </w:r>
      <w:r w:rsidR="00625617" w:rsidRPr="008D49CE">
        <w:rPr>
          <w:u w:val="none"/>
        </w:rPr>
        <w:t>35, 36</w:t>
      </w:r>
      <w:r w:rsidR="001904D3" w:rsidRPr="008D49CE">
        <w:rPr>
          <w:u w:val="none"/>
        </w:rPr>
        <w:t xml:space="preserve"> </w:t>
      </w:r>
      <w:r w:rsidR="00625617" w:rsidRPr="008D49CE">
        <w:rPr>
          <w:u w:val="none"/>
        </w:rPr>
        <w:t xml:space="preserve">and </w:t>
      </w:r>
      <w:r w:rsidR="001904D3" w:rsidRPr="008D49CE">
        <w:rPr>
          <w:u w:val="none"/>
        </w:rPr>
        <w:t>37</w:t>
      </w:r>
      <w:r w:rsidR="006742E8" w:rsidRPr="008D49CE">
        <w:rPr>
          <w:u w:val="none"/>
        </w:rPr>
        <w:t xml:space="preserve"> of its Rules of Procedure</w:t>
      </w:r>
      <w:r w:rsidRPr="008D49CE">
        <w:rPr>
          <w:u w:val="none"/>
        </w:rPr>
        <w:t>,</w:t>
      </w:r>
    </w:p>
    <w:p w14:paraId="26AA27DD" w14:textId="28A48A17" w:rsidR="005C792B" w:rsidRPr="008D49CE" w:rsidRDefault="005C792B" w:rsidP="005C792B">
      <w:pPr>
        <w:pStyle w:val="COMParaDecision"/>
        <w:jc w:val="left"/>
      </w:pPr>
      <w:r w:rsidRPr="008D49CE">
        <w:t>Further recalling</w:t>
      </w:r>
      <w:r w:rsidRPr="008D49CE">
        <w:rPr>
          <w:u w:val="none"/>
        </w:rPr>
        <w:t xml:space="preserve"> </w:t>
      </w:r>
      <w:r w:rsidR="006742E8" w:rsidRPr="002256D7">
        <w:rPr>
          <w:u w:val="none"/>
        </w:rPr>
        <w:t xml:space="preserve">Resolution </w:t>
      </w:r>
      <w:r w:rsidR="004B59A8" w:rsidRPr="002256D7">
        <w:rPr>
          <w:u w:val="none"/>
        </w:rPr>
        <w:t>10</w:t>
      </w:r>
      <w:r w:rsidR="006742E8" w:rsidRPr="002256D7">
        <w:rPr>
          <w:u w:val="none"/>
        </w:rPr>
        <w:t>.GA 4</w:t>
      </w:r>
      <w:r w:rsidRPr="002256D7">
        <w:rPr>
          <w:u w:val="none"/>
        </w:rPr>
        <w:t>,</w:t>
      </w:r>
    </w:p>
    <w:p w14:paraId="4EB5C413" w14:textId="1ACD7F09" w:rsidR="00D95C4C" w:rsidRPr="008D49CE" w:rsidRDefault="006742E8" w:rsidP="002D59C3">
      <w:pPr>
        <w:pStyle w:val="COMParaDecision"/>
        <w:keepNext/>
      </w:pPr>
      <w:r w:rsidRPr="008D49CE">
        <w:lastRenderedPageBreak/>
        <w:t>Elects</w:t>
      </w:r>
      <w:r w:rsidR="00517FD8" w:rsidRPr="008D49CE">
        <w:rPr>
          <w:u w:val="none"/>
        </w:rPr>
        <w:t xml:space="preserve"> </w:t>
      </w:r>
      <w:r w:rsidRPr="008D49CE">
        <w:rPr>
          <w:u w:val="none"/>
        </w:rPr>
        <w:t>the following twelve States Parties to the Intergovernmental Committee for the Safeguarding of the Intangible Cultural Heritage for a term of four years from the date of election:</w:t>
      </w:r>
    </w:p>
    <w:p w14:paraId="0904DA1B" w14:textId="4689F2B9" w:rsidR="006742E8" w:rsidRPr="008D49CE" w:rsidRDefault="006742E8" w:rsidP="006742E8">
      <w:pPr>
        <w:pStyle w:val="COMParaDecision"/>
        <w:numPr>
          <w:ilvl w:val="0"/>
          <w:numId w:val="0"/>
        </w:numPr>
        <w:ind w:left="1134"/>
        <w:rPr>
          <w:u w:val="none"/>
        </w:rPr>
      </w:pPr>
      <w:r w:rsidRPr="008D49CE">
        <w:rPr>
          <w:u w:val="none"/>
        </w:rPr>
        <w:t xml:space="preserve">Group I: </w:t>
      </w:r>
    </w:p>
    <w:p w14:paraId="48DE8CC7" w14:textId="587C62A6" w:rsidR="006742E8" w:rsidRPr="008D49CE" w:rsidRDefault="006742E8" w:rsidP="006742E8">
      <w:pPr>
        <w:pStyle w:val="COMParaDecision"/>
        <w:numPr>
          <w:ilvl w:val="0"/>
          <w:numId w:val="0"/>
        </w:numPr>
        <w:ind w:left="1134"/>
        <w:rPr>
          <w:u w:val="none"/>
        </w:rPr>
      </w:pPr>
      <w:r w:rsidRPr="008D49CE">
        <w:rPr>
          <w:u w:val="none"/>
        </w:rPr>
        <w:t xml:space="preserve">Group II: </w:t>
      </w:r>
    </w:p>
    <w:p w14:paraId="7C604CE1" w14:textId="0CC002E5" w:rsidR="006742E8" w:rsidRPr="008D49CE" w:rsidRDefault="006742E8" w:rsidP="006742E8">
      <w:pPr>
        <w:pStyle w:val="COMParaDecision"/>
        <w:numPr>
          <w:ilvl w:val="0"/>
          <w:numId w:val="0"/>
        </w:numPr>
        <w:ind w:left="1134"/>
        <w:rPr>
          <w:u w:val="none"/>
        </w:rPr>
      </w:pPr>
      <w:r w:rsidRPr="008D49CE">
        <w:rPr>
          <w:u w:val="none"/>
        </w:rPr>
        <w:t xml:space="preserve">Group III: </w:t>
      </w:r>
    </w:p>
    <w:p w14:paraId="39E5E296" w14:textId="3A481B20" w:rsidR="006742E8" w:rsidRPr="008D49CE" w:rsidRDefault="006742E8" w:rsidP="006742E8">
      <w:pPr>
        <w:pStyle w:val="COMParaDecision"/>
        <w:numPr>
          <w:ilvl w:val="0"/>
          <w:numId w:val="0"/>
        </w:numPr>
        <w:ind w:left="1134"/>
        <w:rPr>
          <w:u w:val="none"/>
        </w:rPr>
      </w:pPr>
      <w:r w:rsidRPr="008D49CE">
        <w:rPr>
          <w:u w:val="none"/>
        </w:rPr>
        <w:t xml:space="preserve">Group IV: </w:t>
      </w:r>
    </w:p>
    <w:p w14:paraId="2F22327A" w14:textId="5CEF48F3" w:rsidR="006742E8" w:rsidRPr="008D49CE" w:rsidRDefault="006742E8" w:rsidP="006742E8">
      <w:pPr>
        <w:pStyle w:val="COMParaDecision"/>
        <w:numPr>
          <w:ilvl w:val="0"/>
          <w:numId w:val="0"/>
        </w:numPr>
        <w:ind w:left="1134"/>
        <w:rPr>
          <w:u w:val="none"/>
        </w:rPr>
      </w:pPr>
      <w:r w:rsidRPr="008D49CE">
        <w:rPr>
          <w:u w:val="none"/>
        </w:rPr>
        <w:t xml:space="preserve">Group V(a): </w:t>
      </w:r>
    </w:p>
    <w:p w14:paraId="1B08DF9D" w14:textId="016DBD1C" w:rsidR="00190205" w:rsidRPr="006742E8" w:rsidRDefault="006742E8" w:rsidP="006742E8">
      <w:pPr>
        <w:pStyle w:val="COMParaDecision"/>
        <w:numPr>
          <w:ilvl w:val="0"/>
          <w:numId w:val="0"/>
        </w:numPr>
        <w:ind w:left="1134"/>
        <w:rPr>
          <w:u w:val="none"/>
        </w:rPr>
      </w:pPr>
      <w:r w:rsidRPr="008D49CE">
        <w:rPr>
          <w:u w:val="none"/>
        </w:rPr>
        <w:t>Group V(b):</w:t>
      </w:r>
      <w:r w:rsidRPr="006742E8">
        <w:rPr>
          <w:u w:val="none"/>
        </w:rPr>
        <w:t xml:space="preserve"> </w:t>
      </w:r>
    </w:p>
    <w:sectPr w:rsidR="00190205" w:rsidRPr="006742E8" w:rsidSect="00655736">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DF6" w14:textId="77777777" w:rsidR="008D49CE" w:rsidRDefault="008D4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E7EA" w14:textId="77777777" w:rsidR="008D49CE" w:rsidRDefault="008D4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4AA6" w14:textId="77777777" w:rsidR="008D49CE" w:rsidRDefault="008D4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B56C709" w:rsidR="00D95C4C" w:rsidRPr="00C23A97" w:rsidRDefault="00C5776D" w:rsidP="00C5776D">
    <w:pPr>
      <w:pStyle w:val="Header"/>
      <w:rPr>
        <w:rFonts w:ascii="Arial" w:hAnsi="Arial" w:cs="Arial"/>
        <w:lang w:val="en-GB"/>
      </w:rPr>
    </w:pPr>
    <w:r w:rsidRPr="0035512B">
      <w:rPr>
        <w:rFonts w:ascii="Arial" w:hAnsi="Arial" w:cs="Arial"/>
        <w:sz w:val="20"/>
        <w:szCs w:val="20"/>
        <w:lang w:val="en-GB"/>
      </w:rPr>
      <w:t>L</w:t>
    </w:r>
    <w:r w:rsidR="00CB0542" w:rsidRPr="0035512B">
      <w:rPr>
        <w:rFonts w:ascii="Arial" w:hAnsi="Arial" w:cs="Arial"/>
        <w:sz w:val="20"/>
        <w:szCs w:val="20"/>
        <w:lang w:val="en-GB"/>
      </w:rPr>
      <w:t>H</w:t>
    </w:r>
    <w:r w:rsidRPr="0035512B">
      <w:rPr>
        <w:rFonts w:ascii="Arial" w:hAnsi="Arial" w:cs="Arial"/>
        <w:sz w:val="20"/>
        <w:szCs w:val="20"/>
        <w:lang w:val="en-GB"/>
      </w:rPr>
      <w:t>E</w:t>
    </w:r>
    <w:r w:rsidR="00CB0542" w:rsidRPr="0035512B">
      <w:rPr>
        <w:rFonts w:ascii="Arial" w:hAnsi="Arial" w:cs="Arial"/>
        <w:sz w:val="20"/>
        <w:szCs w:val="20"/>
        <w:lang w:val="en-GB"/>
      </w:rPr>
      <w:t>/</w:t>
    </w:r>
    <w:r w:rsidR="00D7105A" w:rsidRPr="0035512B">
      <w:rPr>
        <w:rFonts w:ascii="Arial" w:hAnsi="Arial" w:cs="Arial"/>
        <w:sz w:val="20"/>
        <w:szCs w:val="20"/>
        <w:lang w:val="en-GB"/>
      </w:rPr>
      <w:t>2</w:t>
    </w:r>
    <w:r w:rsidR="005C792B" w:rsidRPr="0035512B">
      <w:rPr>
        <w:rFonts w:ascii="Arial" w:hAnsi="Arial" w:cs="Arial"/>
        <w:sz w:val="20"/>
        <w:szCs w:val="20"/>
        <w:lang w:val="en-GB"/>
      </w:rPr>
      <w:t>4</w:t>
    </w:r>
    <w:r w:rsidR="00CB0542" w:rsidRPr="0035512B">
      <w:rPr>
        <w:rFonts w:ascii="Arial" w:hAnsi="Arial" w:cs="Arial"/>
        <w:sz w:val="20"/>
        <w:szCs w:val="20"/>
        <w:lang w:val="en-GB"/>
      </w:rPr>
      <w:t>/1</w:t>
    </w:r>
    <w:r w:rsidR="005C792B" w:rsidRPr="0035512B">
      <w:rPr>
        <w:rFonts w:ascii="Arial" w:hAnsi="Arial" w:cs="Arial"/>
        <w:sz w:val="20"/>
        <w:szCs w:val="20"/>
        <w:lang w:val="en-GB"/>
      </w:rPr>
      <w:t>0</w:t>
    </w:r>
    <w:r w:rsidR="00EC6F8D" w:rsidRPr="0035512B">
      <w:rPr>
        <w:rFonts w:ascii="Arial" w:hAnsi="Arial" w:cs="Arial"/>
        <w:sz w:val="20"/>
        <w:szCs w:val="20"/>
        <w:lang w:val="en-GB"/>
      </w:rPr>
      <w:t>.</w:t>
    </w:r>
    <w:r w:rsidR="005C792B" w:rsidRPr="0035512B">
      <w:rPr>
        <w:rFonts w:ascii="Arial" w:hAnsi="Arial" w:cs="Arial"/>
        <w:sz w:val="20"/>
        <w:szCs w:val="20"/>
        <w:lang w:val="en-GB"/>
      </w:rPr>
      <w:t>GA</w:t>
    </w:r>
    <w:r w:rsidR="00D95C4C" w:rsidRPr="0035512B">
      <w:rPr>
        <w:rFonts w:ascii="Arial" w:hAnsi="Arial" w:cs="Arial"/>
        <w:sz w:val="20"/>
        <w:szCs w:val="20"/>
        <w:lang w:val="en-GB"/>
      </w:rPr>
      <w:t>/</w:t>
    </w:r>
    <w:r w:rsidR="008D49CE" w:rsidRPr="0035512B">
      <w:rPr>
        <w:rFonts w:ascii="Arial" w:hAnsi="Arial" w:cs="Arial"/>
        <w:sz w:val="20"/>
        <w:szCs w:val="20"/>
        <w:lang w:val="en-GB"/>
      </w:rPr>
      <w:t xml:space="preserve">11 </w:t>
    </w:r>
    <w:r w:rsidR="00D95C4C" w:rsidRPr="0035512B">
      <w:rPr>
        <w:rFonts w:ascii="Arial" w:hAnsi="Arial" w:cs="Arial"/>
        <w:sz w:val="20"/>
        <w:szCs w:val="20"/>
        <w:lang w:val="en-GB"/>
      </w:rPr>
      <w:t xml:space="preserve">– page </w:t>
    </w:r>
    <w:r w:rsidR="00D95C4C" w:rsidRPr="0035512B">
      <w:rPr>
        <w:rStyle w:val="PageNumber"/>
        <w:rFonts w:ascii="Arial" w:hAnsi="Arial" w:cs="Arial"/>
        <w:sz w:val="20"/>
        <w:szCs w:val="20"/>
        <w:lang w:val="en-GB"/>
      </w:rPr>
      <w:fldChar w:fldCharType="begin"/>
    </w:r>
    <w:r w:rsidR="00D95C4C" w:rsidRPr="0035512B">
      <w:rPr>
        <w:rStyle w:val="PageNumber"/>
        <w:rFonts w:ascii="Arial" w:hAnsi="Arial" w:cs="Arial"/>
        <w:sz w:val="20"/>
        <w:szCs w:val="20"/>
        <w:lang w:val="en-GB"/>
      </w:rPr>
      <w:instrText xml:space="preserve"> PAGE </w:instrText>
    </w:r>
    <w:r w:rsidR="00D95C4C" w:rsidRPr="0035512B">
      <w:rPr>
        <w:rStyle w:val="PageNumber"/>
        <w:rFonts w:ascii="Arial" w:hAnsi="Arial" w:cs="Arial"/>
        <w:sz w:val="20"/>
        <w:szCs w:val="20"/>
        <w:lang w:val="en-GB"/>
      </w:rPr>
      <w:fldChar w:fldCharType="separate"/>
    </w:r>
    <w:r w:rsidR="006E75EB" w:rsidRPr="0035512B">
      <w:rPr>
        <w:rStyle w:val="PageNumber"/>
        <w:rFonts w:ascii="Arial" w:hAnsi="Arial" w:cs="Arial"/>
        <w:noProof/>
        <w:sz w:val="20"/>
        <w:szCs w:val="20"/>
        <w:lang w:val="en-GB"/>
      </w:rPr>
      <w:t>2</w:t>
    </w:r>
    <w:r w:rsidR="00D95C4C" w:rsidRPr="0035512B">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378922E" w:rsidR="00D95C4C" w:rsidRPr="0063300C" w:rsidRDefault="00C5776D" w:rsidP="00C5776D">
    <w:pPr>
      <w:pStyle w:val="Header"/>
      <w:jc w:val="right"/>
      <w:rPr>
        <w:rFonts w:ascii="Arial" w:hAnsi="Arial" w:cs="Arial"/>
        <w:lang w:val="en-GB"/>
      </w:rPr>
    </w:pPr>
    <w:r w:rsidRPr="0035512B">
      <w:rPr>
        <w:rFonts w:ascii="Arial" w:hAnsi="Arial" w:cs="Arial"/>
        <w:sz w:val="20"/>
        <w:szCs w:val="20"/>
        <w:lang w:val="en-GB"/>
      </w:rPr>
      <w:t>L</w:t>
    </w:r>
    <w:r w:rsidR="0053318C" w:rsidRPr="0035512B">
      <w:rPr>
        <w:rFonts w:ascii="Arial" w:hAnsi="Arial" w:cs="Arial"/>
        <w:sz w:val="20"/>
        <w:szCs w:val="20"/>
        <w:lang w:val="en-GB"/>
      </w:rPr>
      <w:t>H</w:t>
    </w:r>
    <w:r w:rsidRPr="0035512B">
      <w:rPr>
        <w:rFonts w:ascii="Arial" w:hAnsi="Arial" w:cs="Arial"/>
        <w:sz w:val="20"/>
        <w:szCs w:val="20"/>
        <w:lang w:val="en-GB"/>
      </w:rPr>
      <w:t>E</w:t>
    </w:r>
    <w:r w:rsidR="00E2125F" w:rsidRPr="0035512B">
      <w:rPr>
        <w:rFonts w:ascii="Arial" w:hAnsi="Arial" w:cs="Arial"/>
        <w:sz w:val="20"/>
        <w:szCs w:val="20"/>
        <w:lang w:val="en-GB"/>
      </w:rPr>
      <w:t>/2</w:t>
    </w:r>
    <w:r w:rsidR="005C792B" w:rsidRPr="0035512B">
      <w:rPr>
        <w:rFonts w:ascii="Arial" w:hAnsi="Arial" w:cs="Arial"/>
        <w:sz w:val="20"/>
        <w:szCs w:val="20"/>
        <w:lang w:val="en-GB"/>
      </w:rPr>
      <w:t>4</w:t>
    </w:r>
    <w:r w:rsidR="0053318C" w:rsidRPr="0035512B">
      <w:rPr>
        <w:rFonts w:ascii="Arial" w:hAnsi="Arial" w:cs="Arial"/>
        <w:sz w:val="20"/>
        <w:szCs w:val="20"/>
        <w:lang w:val="en-GB"/>
      </w:rPr>
      <w:t>/1</w:t>
    </w:r>
    <w:r w:rsidR="005C792B" w:rsidRPr="0035512B">
      <w:rPr>
        <w:rFonts w:ascii="Arial" w:hAnsi="Arial" w:cs="Arial"/>
        <w:sz w:val="20"/>
        <w:szCs w:val="20"/>
        <w:lang w:val="en-GB"/>
      </w:rPr>
      <w:t>0</w:t>
    </w:r>
    <w:r w:rsidR="00EC6F8D" w:rsidRPr="0035512B">
      <w:rPr>
        <w:rFonts w:ascii="Arial" w:hAnsi="Arial" w:cs="Arial"/>
        <w:sz w:val="20"/>
        <w:szCs w:val="20"/>
        <w:lang w:val="en-GB"/>
      </w:rPr>
      <w:t>.</w:t>
    </w:r>
    <w:r w:rsidR="005C792B" w:rsidRPr="0035512B">
      <w:rPr>
        <w:rFonts w:ascii="Arial" w:hAnsi="Arial" w:cs="Arial"/>
        <w:sz w:val="20"/>
        <w:szCs w:val="20"/>
        <w:lang w:val="en-GB"/>
      </w:rPr>
      <w:t>GA</w:t>
    </w:r>
    <w:r w:rsidR="004A34A0" w:rsidRPr="0035512B">
      <w:rPr>
        <w:rFonts w:ascii="Arial" w:hAnsi="Arial" w:cs="Arial"/>
        <w:sz w:val="20"/>
        <w:szCs w:val="20"/>
        <w:lang w:val="en-GB"/>
      </w:rPr>
      <w:t>/</w:t>
    </w:r>
    <w:r w:rsidR="008D49CE" w:rsidRPr="0035512B">
      <w:rPr>
        <w:rFonts w:ascii="Arial" w:hAnsi="Arial" w:cs="Arial"/>
        <w:sz w:val="20"/>
        <w:szCs w:val="20"/>
        <w:lang w:val="en-GB"/>
      </w:rPr>
      <w:t xml:space="preserve">11 </w:t>
    </w:r>
    <w:r w:rsidR="004A34A0" w:rsidRPr="0035512B">
      <w:rPr>
        <w:rFonts w:ascii="Arial" w:hAnsi="Arial" w:cs="Arial"/>
        <w:sz w:val="20"/>
        <w:szCs w:val="20"/>
        <w:lang w:val="en-GB"/>
      </w:rPr>
      <w:t xml:space="preserve">– page </w:t>
    </w:r>
    <w:r w:rsidR="004A34A0" w:rsidRPr="0035512B">
      <w:rPr>
        <w:rStyle w:val="PageNumber"/>
        <w:rFonts w:ascii="Arial" w:hAnsi="Arial" w:cs="Arial"/>
        <w:sz w:val="20"/>
        <w:szCs w:val="20"/>
        <w:lang w:val="en-GB"/>
      </w:rPr>
      <w:fldChar w:fldCharType="begin"/>
    </w:r>
    <w:r w:rsidR="004A34A0" w:rsidRPr="0035512B">
      <w:rPr>
        <w:rStyle w:val="PageNumber"/>
        <w:rFonts w:ascii="Arial" w:hAnsi="Arial" w:cs="Arial"/>
        <w:sz w:val="20"/>
        <w:szCs w:val="20"/>
        <w:lang w:val="en-GB"/>
      </w:rPr>
      <w:instrText xml:space="preserve"> PAGE </w:instrText>
    </w:r>
    <w:r w:rsidR="004A34A0" w:rsidRPr="0035512B">
      <w:rPr>
        <w:rStyle w:val="PageNumber"/>
        <w:rFonts w:ascii="Arial" w:hAnsi="Arial" w:cs="Arial"/>
        <w:sz w:val="20"/>
        <w:szCs w:val="20"/>
        <w:lang w:val="en-GB"/>
      </w:rPr>
      <w:fldChar w:fldCharType="separate"/>
    </w:r>
    <w:r w:rsidR="00190205" w:rsidRPr="0035512B">
      <w:rPr>
        <w:rStyle w:val="PageNumber"/>
        <w:rFonts w:ascii="Arial" w:hAnsi="Arial" w:cs="Arial"/>
        <w:noProof/>
        <w:sz w:val="20"/>
        <w:szCs w:val="20"/>
        <w:lang w:val="en-GB"/>
      </w:rPr>
      <w:t>3</w:t>
    </w:r>
    <w:r w:rsidR="004A34A0" w:rsidRPr="0035512B">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8D49CE" w:rsidRDefault="00962034">
    <w:pPr>
      <w:pStyle w:val="Header"/>
      <w:rPr>
        <w:sz w:val="22"/>
        <w:szCs w:val="22"/>
        <w:lang w:val="en-GB"/>
      </w:rPr>
    </w:pPr>
    <w:r w:rsidRPr="008D49CE">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8D49CE" w:rsidRDefault="005C792B" w:rsidP="00C5776D">
    <w:pPr>
      <w:pStyle w:val="Header"/>
      <w:spacing w:after="520"/>
      <w:jc w:val="right"/>
      <w:rPr>
        <w:rFonts w:ascii="Arial" w:hAnsi="Arial" w:cs="Arial"/>
        <w:b/>
        <w:sz w:val="44"/>
        <w:szCs w:val="44"/>
        <w:lang w:val="pt-PT"/>
      </w:rPr>
    </w:pPr>
    <w:r w:rsidRPr="008D49CE">
      <w:rPr>
        <w:rFonts w:ascii="Arial" w:hAnsi="Arial" w:cs="Arial"/>
        <w:b/>
        <w:sz w:val="44"/>
        <w:szCs w:val="44"/>
        <w:lang w:val="pt-PT"/>
      </w:rPr>
      <w:t>10</w:t>
    </w:r>
    <w:r w:rsidR="00EC6F8D" w:rsidRPr="008D49CE">
      <w:rPr>
        <w:rFonts w:ascii="Arial" w:hAnsi="Arial" w:cs="Arial"/>
        <w:b/>
        <w:sz w:val="44"/>
        <w:szCs w:val="44"/>
        <w:lang w:val="pt-PT"/>
      </w:rPr>
      <w:t xml:space="preserve"> </w:t>
    </w:r>
    <w:r w:rsidRPr="008D49CE">
      <w:rPr>
        <w:rFonts w:ascii="Arial" w:hAnsi="Arial" w:cs="Arial"/>
        <w:b/>
        <w:sz w:val="44"/>
        <w:szCs w:val="44"/>
        <w:lang w:val="pt-PT"/>
      </w:rPr>
      <w:t>GA</w:t>
    </w:r>
  </w:p>
  <w:p w14:paraId="306484B8" w14:textId="738CD85B" w:rsidR="00D95C4C" w:rsidRPr="008D49CE" w:rsidRDefault="00C5776D" w:rsidP="00C5776D">
    <w:pPr>
      <w:jc w:val="right"/>
      <w:rPr>
        <w:rFonts w:ascii="Arial" w:hAnsi="Arial" w:cs="Arial"/>
        <w:b/>
        <w:sz w:val="22"/>
        <w:szCs w:val="22"/>
        <w:lang w:val="pt-PT"/>
      </w:rPr>
    </w:pPr>
    <w:r w:rsidRPr="008D49CE">
      <w:rPr>
        <w:rFonts w:ascii="Arial" w:hAnsi="Arial" w:cs="Arial"/>
        <w:b/>
        <w:sz w:val="22"/>
        <w:szCs w:val="22"/>
        <w:lang w:val="pt-PT"/>
      </w:rPr>
      <w:t>LHE</w:t>
    </w:r>
    <w:r w:rsidR="00337CEB" w:rsidRPr="008D49CE">
      <w:rPr>
        <w:rFonts w:ascii="Arial" w:hAnsi="Arial" w:cs="Arial"/>
        <w:b/>
        <w:sz w:val="22"/>
        <w:szCs w:val="22"/>
        <w:lang w:val="pt-PT"/>
      </w:rPr>
      <w:t>/</w:t>
    </w:r>
    <w:r w:rsidR="00D7105A" w:rsidRPr="008D49CE">
      <w:rPr>
        <w:rFonts w:ascii="Arial" w:hAnsi="Arial" w:cs="Arial"/>
        <w:b/>
        <w:sz w:val="22"/>
        <w:szCs w:val="22"/>
        <w:lang w:val="pt-PT"/>
      </w:rPr>
      <w:t>2</w:t>
    </w:r>
    <w:r w:rsidR="005C792B" w:rsidRPr="008D49CE">
      <w:rPr>
        <w:rFonts w:ascii="Arial" w:hAnsi="Arial" w:cs="Arial"/>
        <w:b/>
        <w:sz w:val="22"/>
        <w:szCs w:val="22"/>
        <w:lang w:val="pt-PT"/>
      </w:rPr>
      <w:t>4</w:t>
    </w:r>
    <w:r w:rsidR="00D95C4C" w:rsidRPr="008D49CE">
      <w:rPr>
        <w:rFonts w:ascii="Arial" w:hAnsi="Arial" w:cs="Arial"/>
        <w:b/>
        <w:sz w:val="22"/>
        <w:szCs w:val="22"/>
        <w:lang w:val="pt-PT"/>
      </w:rPr>
      <w:t>/</w:t>
    </w:r>
    <w:r w:rsidR="00CB0542" w:rsidRPr="008D49CE">
      <w:rPr>
        <w:rFonts w:ascii="Arial" w:hAnsi="Arial" w:cs="Arial"/>
        <w:b/>
        <w:sz w:val="22"/>
        <w:szCs w:val="22"/>
        <w:lang w:val="pt-PT"/>
      </w:rPr>
      <w:t>1</w:t>
    </w:r>
    <w:r w:rsidR="005C792B" w:rsidRPr="008D49CE">
      <w:rPr>
        <w:rFonts w:ascii="Arial" w:hAnsi="Arial" w:cs="Arial"/>
        <w:b/>
        <w:sz w:val="22"/>
        <w:szCs w:val="22"/>
        <w:lang w:val="pt-PT"/>
      </w:rPr>
      <w:t>0</w:t>
    </w:r>
    <w:r w:rsidR="00D95C4C" w:rsidRPr="008D49CE">
      <w:rPr>
        <w:rFonts w:ascii="Arial" w:hAnsi="Arial" w:cs="Arial"/>
        <w:b/>
        <w:sz w:val="22"/>
        <w:szCs w:val="22"/>
        <w:lang w:val="pt-PT"/>
      </w:rPr>
      <w:t>.</w:t>
    </w:r>
    <w:r w:rsidR="005C792B" w:rsidRPr="008D49CE">
      <w:rPr>
        <w:rFonts w:ascii="Arial" w:hAnsi="Arial" w:cs="Arial"/>
        <w:b/>
        <w:sz w:val="22"/>
        <w:szCs w:val="22"/>
        <w:lang w:val="pt-PT"/>
      </w:rPr>
      <w:t>GA</w:t>
    </w:r>
    <w:r w:rsidR="00D95C4C" w:rsidRPr="008D49CE">
      <w:rPr>
        <w:rFonts w:ascii="Arial" w:hAnsi="Arial" w:cs="Arial"/>
        <w:b/>
        <w:sz w:val="22"/>
        <w:szCs w:val="22"/>
        <w:lang w:val="pt-PT"/>
      </w:rPr>
      <w:t>/</w:t>
    </w:r>
    <w:r w:rsidR="008D49CE" w:rsidRPr="0035512B">
      <w:rPr>
        <w:rFonts w:ascii="Arial" w:hAnsi="Arial" w:cs="Arial"/>
        <w:b/>
        <w:sz w:val="22"/>
        <w:szCs w:val="22"/>
        <w:lang w:val="pt-PT"/>
      </w:rPr>
      <w:t>1</w:t>
    </w:r>
    <w:r w:rsidR="008D49CE" w:rsidRPr="008D49CE">
      <w:rPr>
        <w:rFonts w:ascii="Arial" w:hAnsi="Arial" w:cs="Arial"/>
        <w:b/>
        <w:sz w:val="22"/>
        <w:szCs w:val="22"/>
        <w:lang w:val="pt-PT"/>
      </w:rPr>
      <w:t>1</w:t>
    </w:r>
  </w:p>
  <w:p w14:paraId="1B4446C3" w14:textId="6E318DF6" w:rsidR="00D95C4C" w:rsidRPr="008D49CE" w:rsidRDefault="00D95C4C" w:rsidP="00655736">
    <w:pPr>
      <w:jc w:val="right"/>
      <w:rPr>
        <w:rFonts w:ascii="Arial" w:eastAsiaTheme="minorEastAsia" w:hAnsi="Arial" w:cs="Arial"/>
        <w:b/>
        <w:sz w:val="22"/>
        <w:szCs w:val="22"/>
        <w:lang w:val="pt-PT" w:eastAsia="ko-KR"/>
      </w:rPr>
    </w:pPr>
    <w:r w:rsidRPr="008D49CE">
      <w:rPr>
        <w:rFonts w:ascii="Arial" w:hAnsi="Arial" w:cs="Arial"/>
        <w:b/>
        <w:sz w:val="22"/>
        <w:szCs w:val="22"/>
        <w:lang w:val="pt-PT"/>
      </w:rPr>
      <w:t xml:space="preserve">Paris, </w:t>
    </w:r>
    <w:r w:rsidR="00D5453D" w:rsidRPr="0035512B">
      <w:rPr>
        <w:rFonts w:ascii="Arial" w:hAnsi="Arial" w:cs="Arial"/>
        <w:b/>
        <w:sz w:val="22"/>
        <w:szCs w:val="22"/>
        <w:lang w:val="pt-PT"/>
      </w:rPr>
      <w:t>13</w:t>
    </w:r>
    <w:r w:rsidR="006742E8" w:rsidRPr="0035512B">
      <w:rPr>
        <w:rFonts w:ascii="Arial" w:hAnsi="Arial" w:cs="Arial"/>
        <w:b/>
        <w:sz w:val="22"/>
        <w:szCs w:val="22"/>
        <w:lang w:val="pt-PT"/>
      </w:rPr>
      <w:t xml:space="preserve"> May</w:t>
    </w:r>
    <w:r w:rsidRPr="008D49CE">
      <w:rPr>
        <w:rFonts w:ascii="Arial" w:hAnsi="Arial" w:cs="Arial"/>
        <w:b/>
        <w:sz w:val="22"/>
        <w:szCs w:val="22"/>
        <w:lang w:val="pt-PT"/>
      </w:rPr>
      <w:t xml:space="preserve"> </w:t>
    </w:r>
    <w:r w:rsidR="00337CEB" w:rsidRPr="008D49CE">
      <w:rPr>
        <w:rFonts w:ascii="Arial" w:hAnsi="Arial" w:cs="Arial"/>
        <w:b/>
        <w:sz w:val="22"/>
        <w:szCs w:val="22"/>
        <w:lang w:val="pt-PT"/>
      </w:rPr>
      <w:t>20</w:t>
    </w:r>
    <w:r w:rsidR="00D7105A" w:rsidRPr="008D49CE">
      <w:rPr>
        <w:rFonts w:ascii="Arial" w:hAnsi="Arial" w:cs="Arial"/>
        <w:b/>
        <w:sz w:val="22"/>
        <w:szCs w:val="22"/>
        <w:lang w:val="pt-PT"/>
      </w:rPr>
      <w:t>2</w:t>
    </w:r>
    <w:r w:rsidR="005C792B" w:rsidRPr="008D49CE">
      <w:rPr>
        <w:rFonts w:ascii="Arial" w:hAnsi="Arial" w:cs="Arial"/>
        <w:b/>
        <w:sz w:val="22"/>
        <w:szCs w:val="22"/>
        <w:lang w:val="pt-PT"/>
      </w:rPr>
      <w:t>4</w:t>
    </w:r>
  </w:p>
  <w:p w14:paraId="255B57FF" w14:textId="3F2BF30D" w:rsidR="00D95C4C" w:rsidRPr="00F32C23" w:rsidRDefault="00D95C4C" w:rsidP="00962034">
    <w:pPr>
      <w:spacing w:after="120"/>
      <w:jc w:val="right"/>
      <w:rPr>
        <w:rFonts w:ascii="Arial" w:hAnsi="Arial" w:cs="Arial"/>
        <w:b/>
        <w:sz w:val="22"/>
        <w:szCs w:val="22"/>
        <w:lang w:val="en-GB"/>
      </w:rPr>
    </w:pPr>
    <w:r w:rsidRPr="008D49CE">
      <w:rPr>
        <w:rFonts w:ascii="Arial" w:hAnsi="Arial" w:cs="Arial"/>
        <w:b/>
        <w:sz w:val="22"/>
        <w:szCs w:val="22"/>
        <w:lang w:val="en-GB"/>
      </w:rPr>
      <w:t xml:space="preserve">Original: </w:t>
    </w:r>
    <w:r w:rsidR="006742E8" w:rsidRPr="008D49CE">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1"/>
  </w:num>
  <w:num w:numId="2" w16cid:durableId="699629408">
    <w:abstractNumId w:val="6"/>
  </w:num>
  <w:num w:numId="3" w16cid:durableId="164177712">
    <w:abstractNumId w:val="2"/>
  </w:num>
  <w:num w:numId="4" w16cid:durableId="1416590798">
    <w:abstractNumId w:val="13"/>
  </w:num>
  <w:num w:numId="5" w16cid:durableId="1762608160">
    <w:abstractNumId w:val="12"/>
  </w:num>
  <w:num w:numId="6" w16cid:durableId="2146270374">
    <w:abstractNumId w:val="0"/>
  </w:num>
  <w:num w:numId="7" w16cid:durableId="1113592211">
    <w:abstractNumId w:val="3"/>
  </w:num>
  <w:num w:numId="8" w16cid:durableId="1920598164">
    <w:abstractNumId w:val="10"/>
  </w:num>
  <w:num w:numId="9" w16cid:durableId="1533764642">
    <w:abstractNumId w:val="5"/>
  </w:num>
  <w:num w:numId="10" w16cid:durableId="1246129">
    <w:abstractNumId w:val="7"/>
  </w:num>
  <w:num w:numId="11" w16cid:durableId="111829808">
    <w:abstractNumId w:val="9"/>
  </w:num>
  <w:num w:numId="12" w16cid:durableId="1088770206">
    <w:abstractNumId w:val="8"/>
  </w:num>
  <w:num w:numId="13" w16cid:durableId="1263951029">
    <w:abstractNumId w:val="14"/>
  </w:num>
  <w:num w:numId="14" w16cid:durableId="395903570">
    <w:abstractNumId w:val="4"/>
  </w:num>
  <w:num w:numId="15" w16cid:durableId="1857570918">
    <w:abstractNumId w:val="5"/>
  </w:num>
  <w:num w:numId="16" w16cid:durableId="248199808">
    <w:abstractNumId w:val="5"/>
  </w:num>
  <w:num w:numId="17" w16cid:durableId="350380342">
    <w:abstractNumId w:val="5"/>
  </w:num>
  <w:num w:numId="18" w16cid:durableId="944581980">
    <w:abstractNumId w:val="5"/>
  </w:num>
  <w:num w:numId="19" w16cid:durableId="772675100">
    <w:abstractNumId w:val="5"/>
  </w:num>
  <w:num w:numId="20" w16cid:durableId="1253010311">
    <w:abstractNumId w:val="5"/>
  </w:num>
  <w:num w:numId="21" w16cid:durableId="540821319">
    <w:abstractNumId w:val="1"/>
  </w:num>
  <w:num w:numId="22" w16cid:durableId="2046514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765F7"/>
    <w:rsid w:val="0007725F"/>
    <w:rsid w:val="00077AB7"/>
    <w:rsid w:val="00081CD8"/>
    <w:rsid w:val="000A7F0E"/>
    <w:rsid w:val="000B1C8F"/>
    <w:rsid w:val="000C0D61"/>
    <w:rsid w:val="000F3A3F"/>
    <w:rsid w:val="00102557"/>
    <w:rsid w:val="00147A38"/>
    <w:rsid w:val="00164D56"/>
    <w:rsid w:val="00167B10"/>
    <w:rsid w:val="0017402F"/>
    <w:rsid w:val="00190205"/>
    <w:rsid w:val="001904D3"/>
    <w:rsid w:val="00196C1B"/>
    <w:rsid w:val="001B0F73"/>
    <w:rsid w:val="001C2DB7"/>
    <w:rsid w:val="001D14FE"/>
    <w:rsid w:val="001D5C04"/>
    <w:rsid w:val="001F26CF"/>
    <w:rsid w:val="00222A2D"/>
    <w:rsid w:val="00223029"/>
    <w:rsid w:val="002256D7"/>
    <w:rsid w:val="00234745"/>
    <w:rsid w:val="002351A6"/>
    <w:rsid w:val="002407AF"/>
    <w:rsid w:val="00245501"/>
    <w:rsid w:val="00254B26"/>
    <w:rsid w:val="0026221A"/>
    <w:rsid w:val="0027466B"/>
    <w:rsid w:val="002814F6"/>
    <w:rsid w:val="002838A5"/>
    <w:rsid w:val="00285BB4"/>
    <w:rsid w:val="002C09E3"/>
    <w:rsid w:val="002C6A2C"/>
    <w:rsid w:val="002D1244"/>
    <w:rsid w:val="002D59C3"/>
    <w:rsid w:val="002D5A71"/>
    <w:rsid w:val="00303812"/>
    <w:rsid w:val="00337CEB"/>
    <w:rsid w:val="00344B58"/>
    <w:rsid w:val="0034539A"/>
    <w:rsid w:val="00345CB4"/>
    <w:rsid w:val="0035512B"/>
    <w:rsid w:val="00375D42"/>
    <w:rsid w:val="003919DC"/>
    <w:rsid w:val="003A214A"/>
    <w:rsid w:val="003D069C"/>
    <w:rsid w:val="003D7646"/>
    <w:rsid w:val="003F113A"/>
    <w:rsid w:val="003F3E63"/>
    <w:rsid w:val="003F701C"/>
    <w:rsid w:val="00407480"/>
    <w:rsid w:val="00414643"/>
    <w:rsid w:val="00426485"/>
    <w:rsid w:val="004313C4"/>
    <w:rsid w:val="004421E5"/>
    <w:rsid w:val="004515E7"/>
    <w:rsid w:val="00452284"/>
    <w:rsid w:val="00457C8E"/>
    <w:rsid w:val="00480175"/>
    <w:rsid w:val="004856CA"/>
    <w:rsid w:val="00487E67"/>
    <w:rsid w:val="004906B7"/>
    <w:rsid w:val="0049705E"/>
    <w:rsid w:val="004A2875"/>
    <w:rsid w:val="004A34A0"/>
    <w:rsid w:val="004B59A8"/>
    <w:rsid w:val="004C7C82"/>
    <w:rsid w:val="005008A8"/>
    <w:rsid w:val="00517FD8"/>
    <w:rsid w:val="00526B7B"/>
    <w:rsid w:val="005274D2"/>
    <w:rsid w:val="005308CE"/>
    <w:rsid w:val="0053318C"/>
    <w:rsid w:val="0054535F"/>
    <w:rsid w:val="0057439C"/>
    <w:rsid w:val="005960FA"/>
    <w:rsid w:val="005B0127"/>
    <w:rsid w:val="005B7A35"/>
    <w:rsid w:val="005C4B73"/>
    <w:rsid w:val="005C792B"/>
    <w:rsid w:val="005E1D2B"/>
    <w:rsid w:val="005E7074"/>
    <w:rsid w:val="005F2BAF"/>
    <w:rsid w:val="00600D93"/>
    <w:rsid w:val="00625617"/>
    <w:rsid w:val="00626BEA"/>
    <w:rsid w:val="0063300C"/>
    <w:rsid w:val="00651A5B"/>
    <w:rsid w:val="00655736"/>
    <w:rsid w:val="00663B8D"/>
    <w:rsid w:val="006742E8"/>
    <w:rsid w:val="00696C8D"/>
    <w:rsid w:val="006A2AC2"/>
    <w:rsid w:val="006A3617"/>
    <w:rsid w:val="006B4102"/>
    <w:rsid w:val="006B4452"/>
    <w:rsid w:val="006E46E4"/>
    <w:rsid w:val="006E75EB"/>
    <w:rsid w:val="00717DA5"/>
    <w:rsid w:val="007333D0"/>
    <w:rsid w:val="00744484"/>
    <w:rsid w:val="00747566"/>
    <w:rsid w:val="00771B71"/>
    <w:rsid w:val="00773188"/>
    <w:rsid w:val="007835AA"/>
    <w:rsid w:val="00783782"/>
    <w:rsid w:val="00784B8C"/>
    <w:rsid w:val="007879E1"/>
    <w:rsid w:val="007E57AA"/>
    <w:rsid w:val="007E6A48"/>
    <w:rsid w:val="00815CB2"/>
    <w:rsid w:val="00823A11"/>
    <w:rsid w:val="008522E7"/>
    <w:rsid w:val="0085405E"/>
    <w:rsid w:val="0085414A"/>
    <w:rsid w:val="00857EB9"/>
    <w:rsid w:val="0086269D"/>
    <w:rsid w:val="0086543A"/>
    <w:rsid w:val="008724E5"/>
    <w:rsid w:val="008765C9"/>
    <w:rsid w:val="00884A9D"/>
    <w:rsid w:val="0088512B"/>
    <w:rsid w:val="008A2B2D"/>
    <w:rsid w:val="008A4E1E"/>
    <w:rsid w:val="008A6458"/>
    <w:rsid w:val="008C296C"/>
    <w:rsid w:val="008D4305"/>
    <w:rsid w:val="008D49CE"/>
    <w:rsid w:val="008E1A85"/>
    <w:rsid w:val="008E344F"/>
    <w:rsid w:val="009163A7"/>
    <w:rsid w:val="00937D53"/>
    <w:rsid w:val="00946D0B"/>
    <w:rsid w:val="00955877"/>
    <w:rsid w:val="00962034"/>
    <w:rsid w:val="009A18CD"/>
    <w:rsid w:val="009D5428"/>
    <w:rsid w:val="00A12558"/>
    <w:rsid w:val="00A13903"/>
    <w:rsid w:val="00A34ED5"/>
    <w:rsid w:val="00A45DBF"/>
    <w:rsid w:val="00A725CF"/>
    <w:rsid w:val="00A755A2"/>
    <w:rsid w:val="00A91430"/>
    <w:rsid w:val="00A950E6"/>
    <w:rsid w:val="00AA590D"/>
    <w:rsid w:val="00AA6660"/>
    <w:rsid w:val="00AB2C36"/>
    <w:rsid w:val="00AB6DDE"/>
    <w:rsid w:val="00AB70B6"/>
    <w:rsid w:val="00AC18C1"/>
    <w:rsid w:val="00AD1A86"/>
    <w:rsid w:val="00AD5C46"/>
    <w:rsid w:val="00AE103E"/>
    <w:rsid w:val="00AF0A07"/>
    <w:rsid w:val="00AF4AEC"/>
    <w:rsid w:val="00AF625E"/>
    <w:rsid w:val="00B139BE"/>
    <w:rsid w:val="00B2172B"/>
    <w:rsid w:val="00B34428"/>
    <w:rsid w:val="00B917D2"/>
    <w:rsid w:val="00B97EB3"/>
    <w:rsid w:val="00BA241A"/>
    <w:rsid w:val="00BB04AF"/>
    <w:rsid w:val="00BB6EEC"/>
    <w:rsid w:val="00BD52C9"/>
    <w:rsid w:val="00BE6354"/>
    <w:rsid w:val="00BF68B7"/>
    <w:rsid w:val="00C138D1"/>
    <w:rsid w:val="00C23A97"/>
    <w:rsid w:val="00C52EBE"/>
    <w:rsid w:val="00C5776D"/>
    <w:rsid w:val="00C64855"/>
    <w:rsid w:val="00C70EA7"/>
    <w:rsid w:val="00C7433F"/>
    <w:rsid w:val="00C7516E"/>
    <w:rsid w:val="00C75770"/>
    <w:rsid w:val="00CA56BB"/>
    <w:rsid w:val="00CB0542"/>
    <w:rsid w:val="00CE22AB"/>
    <w:rsid w:val="00D00B2B"/>
    <w:rsid w:val="00D24877"/>
    <w:rsid w:val="00D5453D"/>
    <w:rsid w:val="00D63318"/>
    <w:rsid w:val="00D7105A"/>
    <w:rsid w:val="00D8250F"/>
    <w:rsid w:val="00D86BB3"/>
    <w:rsid w:val="00D95C4C"/>
    <w:rsid w:val="00DA36ED"/>
    <w:rsid w:val="00DC49CB"/>
    <w:rsid w:val="00DE34F1"/>
    <w:rsid w:val="00DE6160"/>
    <w:rsid w:val="00DF4942"/>
    <w:rsid w:val="00E20501"/>
    <w:rsid w:val="00E2125F"/>
    <w:rsid w:val="00E244E1"/>
    <w:rsid w:val="00E4150C"/>
    <w:rsid w:val="00E52185"/>
    <w:rsid w:val="00E627B1"/>
    <w:rsid w:val="00E70169"/>
    <w:rsid w:val="00E9376C"/>
    <w:rsid w:val="00E95AE2"/>
    <w:rsid w:val="00EA335E"/>
    <w:rsid w:val="00EA528C"/>
    <w:rsid w:val="00EA580C"/>
    <w:rsid w:val="00EC1DAD"/>
    <w:rsid w:val="00EC6F8D"/>
    <w:rsid w:val="00ED39B2"/>
    <w:rsid w:val="00EE49F4"/>
    <w:rsid w:val="00EF34E2"/>
    <w:rsid w:val="00F30DC6"/>
    <w:rsid w:val="00F31F96"/>
    <w:rsid w:val="00F32C23"/>
    <w:rsid w:val="00F53DE9"/>
    <w:rsid w:val="00F5725E"/>
    <w:rsid w:val="00F576CB"/>
    <w:rsid w:val="00F7035D"/>
    <w:rsid w:val="00F70CC5"/>
    <w:rsid w:val="00F71A02"/>
    <w:rsid w:val="00FA0D63"/>
    <w:rsid w:val="00FB4C6F"/>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Hyperlink">
    <w:name w:val="Hyperlink"/>
    <w:basedOn w:val="DefaultParagraphFont"/>
    <w:uiPriority w:val="99"/>
    <w:unhideWhenUsed/>
    <w:rsid w:val="003A214A"/>
    <w:rPr>
      <w:color w:val="0000FF" w:themeColor="hyperlink"/>
      <w:u w:val="single"/>
    </w:rPr>
  </w:style>
  <w:style w:type="character" w:styleId="UnresolvedMention">
    <w:name w:val="Unresolved Mention"/>
    <w:basedOn w:val="DefaultParagraphFont"/>
    <w:uiPriority w:val="99"/>
    <w:semiHidden/>
    <w:unhideWhenUsed/>
    <w:rsid w:val="003A214A"/>
    <w:rPr>
      <w:color w:val="605E5C"/>
      <w:shd w:val="clear" w:color="auto" w:fill="E1DFDD"/>
    </w:rPr>
  </w:style>
  <w:style w:type="character" w:styleId="FollowedHyperlink">
    <w:name w:val="FollowedHyperlink"/>
    <w:basedOn w:val="DefaultParagraphFont"/>
    <w:uiPriority w:val="99"/>
    <w:semiHidden/>
    <w:unhideWhenUsed/>
    <w:rsid w:val="003919DC"/>
    <w:rPr>
      <w:color w:val="800080" w:themeColor="followedHyperlink"/>
      <w:u w:val="single"/>
    </w:rPr>
  </w:style>
  <w:style w:type="paragraph" w:styleId="Revision">
    <w:name w:val="Revision"/>
    <w:hidden/>
    <w:uiPriority w:val="99"/>
    <w:semiHidden/>
    <w:rsid w:val="00F572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4-10.GA-4_EN.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doc/src/LHE-24-10.GA-INF.11_EN.docx" TargetMode="External"/><Relationship Id="rId4" Type="http://schemas.openxmlformats.org/officeDocument/2006/relationships/settings" Target="settings.xml"/><Relationship Id="rId9" Type="http://schemas.openxmlformats.org/officeDocument/2006/relationships/hyperlink" Target="https://ich.unesco.org/doc/src/LHE-24-10.GA-INF.11_EN.doc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242</TotalTime>
  <Pages>3</Pages>
  <Words>783</Words>
  <Characters>4465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Iturralde Agirre, Beñat</cp:lastModifiedBy>
  <cp:revision>69</cp:revision>
  <cp:lastPrinted>2011-08-06T10:22:00Z</cp:lastPrinted>
  <dcterms:created xsi:type="dcterms:W3CDTF">2020-04-15T10:53:00Z</dcterms:created>
  <dcterms:modified xsi:type="dcterms:W3CDTF">2024-05-13T10:43:00Z</dcterms:modified>
</cp:coreProperties>
</file>