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06805C0D" w:rsidR="00EC6F8D" w:rsidRPr="000631F9" w:rsidRDefault="00EC6F8D" w:rsidP="00EC6F8D">
      <w:pPr>
        <w:spacing w:before="1440"/>
        <w:jc w:val="center"/>
        <w:rPr>
          <w:rFonts w:ascii="Arial" w:hAnsi="Arial" w:cs="Arial"/>
          <w:b/>
          <w:sz w:val="22"/>
          <w:szCs w:val="22"/>
        </w:rPr>
      </w:pPr>
      <w:r>
        <w:rPr>
          <w:rFonts w:ascii="Arial" w:hAnsi="Arial"/>
          <w:b/>
          <w:sz w:val="22"/>
        </w:rPr>
        <w:t xml:space="preserve">КОНВЕНЦИЯ ОБ ОХРАНЕ </w:t>
      </w:r>
      <w:r w:rsidR="00801110">
        <w:rPr>
          <w:rFonts w:ascii="Arial" w:hAnsi="Arial"/>
          <w:b/>
          <w:sz w:val="22"/>
        </w:rPr>
        <w:br/>
      </w:r>
      <w:r>
        <w:rPr>
          <w:rFonts w:ascii="Arial" w:hAnsi="Arial"/>
          <w:b/>
          <w:sz w:val="22"/>
        </w:rPr>
        <w:t>НЕМАТЕРИАЛЬНОГО КУЛЬТУРНОГО НАСЛЕДИЯ</w:t>
      </w:r>
    </w:p>
    <w:p w14:paraId="3F72B1D3" w14:textId="6A49AA93" w:rsidR="00EC6F8D" w:rsidRPr="000631F9" w:rsidRDefault="005C792B" w:rsidP="00EC6F8D">
      <w:pPr>
        <w:spacing w:before="1200"/>
        <w:jc w:val="center"/>
        <w:rPr>
          <w:rFonts w:ascii="Arial" w:hAnsi="Arial" w:cs="Arial"/>
          <w:b/>
          <w:sz w:val="22"/>
          <w:szCs w:val="22"/>
        </w:rPr>
      </w:pPr>
      <w:r>
        <w:rPr>
          <w:rFonts w:ascii="Arial" w:hAnsi="Arial"/>
          <w:b/>
          <w:sz w:val="22"/>
        </w:rPr>
        <w:t>ГЕНЕРАЛЬНАЯ АССАМБЛЕЯ ГОСУДАРСТВ</w:t>
      </w:r>
      <w:r w:rsidR="00801110" w:rsidRPr="002402C9">
        <w:rPr>
          <w:rFonts w:ascii="Arial" w:hAnsi="Arial" w:cs="Arial"/>
          <w:b/>
          <w:sz w:val="22"/>
          <w:szCs w:val="22"/>
        </w:rPr>
        <w:t xml:space="preserve"> – </w:t>
      </w:r>
      <w:r>
        <w:rPr>
          <w:rFonts w:ascii="Arial" w:hAnsi="Arial"/>
          <w:b/>
          <w:sz w:val="22"/>
        </w:rPr>
        <w:t>УЧАСТНИКОВ КОНВЕНЦИИ</w:t>
      </w:r>
    </w:p>
    <w:p w14:paraId="2E1CD4B4" w14:textId="1F59B9D4" w:rsidR="00EC6F8D" w:rsidRPr="000631F9" w:rsidRDefault="005C792B" w:rsidP="001D14FE">
      <w:pPr>
        <w:spacing w:before="840"/>
        <w:jc w:val="center"/>
        <w:rPr>
          <w:rFonts w:ascii="Arial" w:hAnsi="Arial" w:cs="Arial"/>
          <w:b/>
          <w:sz w:val="22"/>
          <w:szCs w:val="22"/>
        </w:rPr>
      </w:pPr>
      <w:r>
        <w:rPr>
          <w:rFonts w:ascii="Arial" w:hAnsi="Arial"/>
          <w:b/>
          <w:sz w:val="22"/>
        </w:rPr>
        <w:t>Десятая сессия</w:t>
      </w:r>
    </w:p>
    <w:p w14:paraId="1FD89575" w14:textId="05D2C62D" w:rsidR="00B2172B" w:rsidRPr="000631F9" w:rsidRDefault="005C792B" w:rsidP="00B2172B">
      <w:pPr>
        <w:jc w:val="center"/>
        <w:rPr>
          <w:rFonts w:ascii="Arial" w:hAnsi="Arial" w:cs="Arial"/>
          <w:b/>
          <w:sz w:val="22"/>
          <w:szCs w:val="22"/>
        </w:rPr>
      </w:pPr>
      <w:r>
        <w:rPr>
          <w:rFonts w:ascii="Arial" w:hAnsi="Arial"/>
          <w:b/>
          <w:sz w:val="22"/>
        </w:rPr>
        <w:t>Штаб-квартира ЮНЕСКО, зал I</w:t>
      </w:r>
    </w:p>
    <w:p w14:paraId="52EA6D50" w14:textId="4B5C0160" w:rsidR="00B2172B" w:rsidRPr="00801110" w:rsidRDefault="0054535F" w:rsidP="00B2172B">
      <w:pPr>
        <w:jc w:val="center"/>
        <w:rPr>
          <w:rFonts w:ascii="Arial" w:hAnsi="Arial" w:cs="Arial"/>
          <w:b/>
          <w:sz w:val="22"/>
          <w:szCs w:val="22"/>
        </w:rPr>
      </w:pPr>
      <w:proofErr w:type="gramStart"/>
      <w:r>
        <w:rPr>
          <w:rFonts w:ascii="Arial" w:hAnsi="Arial"/>
          <w:b/>
          <w:sz w:val="22"/>
        </w:rPr>
        <w:t>11</w:t>
      </w:r>
      <w:r w:rsidR="00F07379" w:rsidRPr="00B45BF9">
        <w:rPr>
          <w:rFonts w:ascii="Arial" w:hAnsi="Arial"/>
          <w:b/>
          <w:sz w:val="22"/>
        </w:rPr>
        <w:t xml:space="preserve"> </w:t>
      </w:r>
      <w:r w:rsidR="00F07379" w:rsidRPr="002402C9">
        <w:rPr>
          <w:rFonts w:ascii="Arial" w:hAnsi="Arial" w:cs="Arial"/>
          <w:b/>
          <w:sz w:val="22"/>
          <w:szCs w:val="22"/>
        </w:rPr>
        <w:t xml:space="preserve">– </w:t>
      </w:r>
      <w:r>
        <w:rPr>
          <w:rFonts w:ascii="Arial" w:hAnsi="Arial"/>
          <w:b/>
          <w:sz w:val="22"/>
        </w:rPr>
        <w:t>1</w:t>
      </w:r>
      <w:r w:rsidR="00B93CB7" w:rsidRPr="00E01E12">
        <w:rPr>
          <w:rFonts w:ascii="Arial" w:hAnsi="Arial"/>
          <w:b/>
          <w:sz w:val="22"/>
        </w:rPr>
        <w:t>2</w:t>
      </w:r>
      <w:proofErr w:type="gramEnd"/>
      <w:r>
        <w:rPr>
          <w:rFonts w:ascii="Arial" w:hAnsi="Arial"/>
          <w:b/>
          <w:sz w:val="22"/>
        </w:rPr>
        <w:t xml:space="preserve"> июня 2024 г</w:t>
      </w:r>
      <w:r w:rsidR="00801110" w:rsidRPr="00801110">
        <w:rPr>
          <w:rFonts w:ascii="Arial" w:hAnsi="Arial"/>
          <w:b/>
          <w:sz w:val="22"/>
        </w:rPr>
        <w:t>.</w:t>
      </w:r>
    </w:p>
    <w:p w14:paraId="0365203A" w14:textId="6769D49A" w:rsidR="00EC6F8D" w:rsidRPr="000631F9" w:rsidRDefault="00EC6F8D" w:rsidP="00EC6F8D">
      <w:pPr>
        <w:pStyle w:val="Sansinterligne2"/>
        <w:spacing w:before="1200"/>
        <w:jc w:val="center"/>
        <w:rPr>
          <w:rFonts w:ascii="Arial" w:hAnsi="Arial" w:cs="Arial"/>
          <w:b/>
          <w:sz w:val="22"/>
          <w:szCs w:val="22"/>
        </w:rPr>
      </w:pPr>
      <w:r>
        <w:rPr>
          <w:rFonts w:ascii="Arial" w:hAnsi="Arial"/>
          <w:b/>
          <w:sz w:val="22"/>
          <w:u w:val="single"/>
        </w:rPr>
        <w:t>Пункт 7 предварительной повестки дня</w:t>
      </w:r>
      <w:r>
        <w:rPr>
          <w:rFonts w:ascii="Arial" w:hAnsi="Arial"/>
          <w:b/>
          <w:sz w:val="22"/>
        </w:rPr>
        <w:t>:</w:t>
      </w:r>
    </w:p>
    <w:p w14:paraId="59920478" w14:textId="1C2EDCCD" w:rsidR="004A2875" w:rsidRPr="000631F9" w:rsidRDefault="005A74ED" w:rsidP="004A2875">
      <w:pPr>
        <w:pStyle w:val="Sansinterligne2"/>
        <w:spacing w:after="960"/>
        <w:jc w:val="center"/>
        <w:rPr>
          <w:rFonts w:ascii="Arial" w:hAnsi="Arial" w:cs="Arial"/>
          <w:bCs/>
          <w:sz w:val="22"/>
          <w:szCs w:val="22"/>
        </w:rPr>
      </w:pPr>
      <w:r>
        <w:rPr>
          <w:rFonts w:ascii="Arial" w:hAnsi="Arial"/>
          <w:b/>
          <w:sz w:val="22"/>
        </w:rPr>
        <w:t>Предлагаемые изменения в Оперативном руководстве по осуществлению Конвенции</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631F9" w14:paraId="75AC6221" w14:textId="77777777" w:rsidTr="00CB4318">
        <w:trPr>
          <w:trHeight w:val="2903"/>
          <w:jc w:val="center"/>
        </w:trPr>
        <w:tc>
          <w:tcPr>
            <w:tcW w:w="5670" w:type="dxa"/>
            <w:vAlign w:val="center"/>
          </w:tcPr>
          <w:p w14:paraId="51C260A9" w14:textId="78E2C45A" w:rsidR="00EC6F8D" w:rsidRPr="000631F9" w:rsidRDefault="00801110" w:rsidP="00CA56BB">
            <w:pPr>
              <w:pStyle w:val="Sansinterligne1"/>
              <w:spacing w:before="200" w:after="200"/>
              <w:jc w:val="center"/>
              <w:rPr>
                <w:rFonts w:ascii="Arial" w:hAnsi="Arial" w:cs="Arial"/>
                <w:b/>
                <w:sz w:val="22"/>
                <w:szCs w:val="22"/>
              </w:rPr>
            </w:pPr>
            <w:r w:rsidRPr="00683631">
              <w:rPr>
                <w:rFonts w:ascii="Arial" w:hAnsi="Arial"/>
                <w:b/>
                <w:sz w:val="22"/>
              </w:rPr>
              <w:t>Содержание</w:t>
            </w:r>
          </w:p>
          <w:p w14:paraId="612E5DE6" w14:textId="35B3291A" w:rsidR="00BB6EEC" w:rsidRPr="000631F9" w:rsidRDefault="00FA030C" w:rsidP="00BB6EEC">
            <w:pPr>
              <w:pStyle w:val="Sansinterligne1"/>
              <w:jc w:val="both"/>
              <w:rPr>
                <w:rFonts w:ascii="Arial" w:hAnsi="Arial" w:cs="Arial"/>
                <w:bCs/>
                <w:sz w:val="22"/>
                <w:szCs w:val="22"/>
              </w:rPr>
            </w:pPr>
            <w:r>
              <w:rPr>
                <w:rFonts w:ascii="Arial" w:hAnsi="Arial"/>
                <w:sz w:val="22"/>
              </w:rPr>
              <w:t>На нынешней сессии Генеральной ассамблеи предлагается утвердить предложенные поправки к Оперативному руководству, чтобы упростить критерии отбора в Реестр передового опыта по сохранению нематериального культурного наследия, а также расширить доступ к международной помощи в подготовке досье.</w:t>
            </w:r>
          </w:p>
          <w:p w14:paraId="290310E8" w14:textId="430F12BF" w:rsidR="00EC6F8D" w:rsidRPr="000631F9" w:rsidRDefault="00EC6F8D" w:rsidP="00CA56BB">
            <w:pPr>
              <w:pStyle w:val="Sansinterligne2"/>
              <w:spacing w:before="200" w:after="200"/>
              <w:jc w:val="both"/>
              <w:rPr>
                <w:rFonts w:ascii="Arial" w:hAnsi="Arial" w:cs="Arial"/>
                <w:b/>
                <w:sz w:val="22"/>
                <w:szCs w:val="22"/>
              </w:rPr>
            </w:pPr>
            <w:r>
              <w:rPr>
                <w:rFonts w:ascii="Arial" w:hAnsi="Arial"/>
                <w:b/>
                <w:sz w:val="22"/>
              </w:rPr>
              <w:t>Требуемое решение:</w:t>
            </w:r>
            <w:r>
              <w:rPr>
                <w:rFonts w:ascii="Arial" w:hAnsi="Arial"/>
                <w:sz w:val="22"/>
              </w:rPr>
              <w:t xml:space="preserve"> параграф 16</w:t>
            </w:r>
          </w:p>
        </w:tc>
      </w:tr>
    </w:tbl>
    <w:p w14:paraId="713D819F" w14:textId="77777777" w:rsidR="004A2875" w:rsidRPr="000631F9"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C62585F" w14:textId="6FE6EFCA" w:rsidR="00F70CC5" w:rsidRPr="003C032A" w:rsidRDefault="002247F2" w:rsidP="00F70CC5">
      <w:pPr>
        <w:pStyle w:val="COMPara"/>
        <w:numPr>
          <w:ilvl w:val="0"/>
          <w:numId w:val="0"/>
        </w:numPr>
        <w:spacing w:before="240"/>
        <w:jc w:val="both"/>
        <w:rPr>
          <w:rFonts w:asciiTheme="minorBidi" w:hAnsiTheme="minorBidi" w:cstheme="minorBidi"/>
          <w:b/>
          <w:bCs/>
        </w:rPr>
      </w:pPr>
      <w:bookmarkStart w:id="0" w:name="_Hlk124351255"/>
      <w:r w:rsidRPr="003C032A">
        <w:rPr>
          <w:rFonts w:asciiTheme="minorBidi" w:hAnsiTheme="minorBidi" w:cstheme="minorBidi"/>
          <w:b/>
        </w:rPr>
        <w:lastRenderedPageBreak/>
        <w:t>Введение</w:t>
      </w:r>
    </w:p>
    <w:bookmarkEnd w:id="0"/>
    <w:p w14:paraId="765782DB" w14:textId="4F384D25" w:rsidR="009B0335" w:rsidRPr="003C032A" w:rsidRDefault="00046A7A" w:rsidP="00C11E9A">
      <w:pPr>
        <w:pStyle w:val="COMPara"/>
        <w:ind w:left="567" w:hanging="567"/>
        <w:jc w:val="both"/>
        <w:rPr>
          <w:rFonts w:asciiTheme="minorBidi" w:hAnsiTheme="minorBidi" w:cstheme="minorBidi"/>
        </w:rPr>
      </w:pPr>
      <w:r w:rsidRPr="003C032A">
        <w:rPr>
          <w:rFonts w:asciiTheme="minorBidi" w:hAnsiTheme="minorBidi" w:cstheme="minorBidi"/>
        </w:rPr>
        <w:t>Нынешней сессии Генеральной ассамблеи предлагается утвердить два пакета поправок к Оперативному руководству Конвенции в рамках последующей деятельности по результатам глобального анализа механизмов включения в списки Конвенции,</w:t>
      </w:r>
      <w:r w:rsidR="00DA2EF5" w:rsidRPr="003C032A">
        <w:rPr>
          <w:rStyle w:val="Appelnotedebasdep"/>
          <w:rFonts w:asciiTheme="minorBidi" w:hAnsiTheme="minorBidi" w:cstheme="minorBidi"/>
        </w:rPr>
        <w:footnoteReference w:id="1"/>
      </w:r>
      <w:r w:rsidRPr="003C032A">
        <w:rPr>
          <w:rFonts w:asciiTheme="minorBidi" w:hAnsiTheme="minorBidi" w:cstheme="minorBidi"/>
        </w:rPr>
        <w:t xml:space="preserve"> который был начат на тринадцатой сессии Комитета в 2018 году и завершен на девятой сессии Генеральной ассамблеи в июле 2022 года.</w:t>
      </w:r>
    </w:p>
    <w:p w14:paraId="43B4885B" w14:textId="07A5EA39" w:rsidR="00DA2EF5" w:rsidRPr="003C032A" w:rsidRDefault="00DA2EF5" w:rsidP="00DA2EF5">
      <w:pPr>
        <w:pStyle w:val="COMPara"/>
        <w:ind w:left="567" w:hanging="567"/>
        <w:jc w:val="both"/>
        <w:rPr>
          <w:rFonts w:asciiTheme="minorBidi" w:hAnsiTheme="minorBidi" w:cstheme="minorBidi"/>
        </w:rPr>
      </w:pPr>
      <w:r w:rsidRPr="003C032A">
        <w:rPr>
          <w:rFonts w:asciiTheme="minorBidi" w:hAnsiTheme="minorBidi" w:cstheme="minorBidi"/>
        </w:rPr>
        <w:t xml:space="preserve">Одобренный восемнадцатой сессией Комитета в декабре 2023 года (документ </w:t>
      </w:r>
      <w:hyperlink r:id="rId8" w:history="1">
        <w:r w:rsidRPr="003C032A">
          <w:rPr>
            <w:rStyle w:val="Lienhypertexte"/>
            <w:rFonts w:asciiTheme="minorBidi" w:hAnsiTheme="minorBidi" w:cstheme="minorBidi"/>
          </w:rPr>
          <w:t>LHE/23/18.COM/11</w:t>
        </w:r>
      </w:hyperlink>
      <w:r w:rsidRPr="003C032A">
        <w:rPr>
          <w:rFonts w:asciiTheme="minorBidi" w:hAnsiTheme="minorBidi" w:cstheme="minorBidi"/>
        </w:rPr>
        <w:t xml:space="preserve"> и решение </w:t>
      </w:r>
      <w:hyperlink r:id="rId9" w:history="1">
        <w:r w:rsidRPr="003C032A">
          <w:rPr>
            <w:rStyle w:val="Lienhypertexte"/>
            <w:rFonts w:asciiTheme="minorBidi" w:hAnsiTheme="minorBidi" w:cstheme="minorBidi"/>
          </w:rPr>
          <w:t>18.COM 11</w:t>
        </w:r>
      </w:hyperlink>
      <w:r w:rsidRPr="003C032A">
        <w:rPr>
          <w:rFonts w:asciiTheme="minorBidi" w:hAnsiTheme="minorBidi" w:cstheme="minorBidi"/>
        </w:rPr>
        <w:t>), проект поправок направлен на улучшение следующих двух аспектов механизмов международного сотрудничества в рамках Конвенции:</w:t>
      </w:r>
    </w:p>
    <w:p w14:paraId="7FDFF082" w14:textId="773E56C3" w:rsidR="00DA2EF5" w:rsidRPr="003C032A" w:rsidRDefault="00DA2EF5" w:rsidP="00DA2EF5">
      <w:pPr>
        <w:pStyle w:val="COMPara"/>
        <w:numPr>
          <w:ilvl w:val="0"/>
          <w:numId w:val="36"/>
        </w:numPr>
        <w:jc w:val="both"/>
        <w:rPr>
          <w:rFonts w:asciiTheme="minorBidi" w:hAnsiTheme="minorBidi" w:cstheme="minorBidi"/>
        </w:rPr>
      </w:pPr>
      <w:r w:rsidRPr="003C032A">
        <w:rPr>
          <w:rFonts w:asciiTheme="minorBidi" w:hAnsiTheme="minorBidi" w:cstheme="minorBidi"/>
        </w:rPr>
        <w:t>Упрощение критериев отбора программ, проектов и мероприятий, наилучшим образом отражающих принципы и цели Конвенции, в частности в отношении Реестра передового опыта по сохранению нематериального культурного наследия (Часть A)</w:t>
      </w:r>
    </w:p>
    <w:p w14:paraId="4D1AA92E" w14:textId="19AC9497" w:rsidR="00DA2EF5" w:rsidRPr="003C032A" w:rsidRDefault="008E5CA9" w:rsidP="00DA2EF5">
      <w:pPr>
        <w:pStyle w:val="COMPara"/>
        <w:numPr>
          <w:ilvl w:val="0"/>
          <w:numId w:val="36"/>
        </w:numPr>
        <w:jc w:val="both"/>
        <w:rPr>
          <w:rFonts w:asciiTheme="minorBidi" w:hAnsiTheme="minorBidi" w:cstheme="minorBidi"/>
        </w:rPr>
      </w:pPr>
      <w:r w:rsidRPr="003C032A">
        <w:rPr>
          <w:rFonts w:asciiTheme="minorBidi" w:hAnsiTheme="minorBidi" w:cstheme="minorBidi"/>
        </w:rPr>
        <w:t>Расширение доступа к помощи в подготовке досье в рамках портфеля международной помощи Фонда по охране нематериального культурного наследия (Часть B)</w:t>
      </w:r>
    </w:p>
    <w:p w14:paraId="1D9C28E1" w14:textId="3229D456" w:rsidR="00063D10" w:rsidRPr="003C032A" w:rsidRDefault="003E5457" w:rsidP="00063D10">
      <w:pPr>
        <w:pStyle w:val="COMPara"/>
        <w:numPr>
          <w:ilvl w:val="0"/>
          <w:numId w:val="21"/>
        </w:numPr>
        <w:spacing w:before="240"/>
        <w:ind w:left="567" w:hanging="567"/>
        <w:jc w:val="both"/>
        <w:rPr>
          <w:rFonts w:asciiTheme="minorBidi" w:hAnsiTheme="minorBidi" w:cstheme="minorBidi"/>
          <w:b/>
          <w:bCs/>
        </w:rPr>
      </w:pPr>
      <w:r w:rsidRPr="003C032A">
        <w:rPr>
          <w:rFonts w:asciiTheme="minorBidi" w:hAnsiTheme="minorBidi" w:cstheme="minorBidi"/>
          <w:b/>
        </w:rPr>
        <w:t>Реестр передового опыта по сохранению нематериального культурного наследия</w:t>
      </w:r>
    </w:p>
    <w:p w14:paraId="26F1A58B" w14:textId="09F28A40" w:rsidR="0010351D" w:rsidRPr="003C032A" w:rsidRDefault="001A409F"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t>Поскольку было отобрано всего 37 примеров передового опыта (что составляет 5% от 730 элементов и видов опыта, включенных в настоящее время в списки в целом), это свидетельствует о том, что Реестр передового опыта по сохранению нематериального культурного наследия (далее «Реестр»),</w:t>
      </w:r>
      <w:r w:rsidRPr="003C032A">
        <w:rPr>
          <w:rFonts w:asciiTheme="minorBidi" w:hAnsiTheme="minorBidi" w:cstheme="minorBidi"/>
          <w:vertAlign w:val="superscript"/>
        </w:rPr>
        <w:footnoteReference w:id="2"/>
      </w:r>
      <w:r w:rsidRPr="003C032A">
        <w:rPr>
          <w:rFonts w:asciiTheme="minorBidi" w:hAnsiTheme="minorBidi" w:cstheme="minorBidi"/>
        </w:rPr>
        <w:t xml:space="preserve"> который был создан в 2009 г. в соответствии со статьей 18 Конвенции, используется недостаточно по сравнению с двумя другими механизмами включения в списки, предусмотренными Конвенцией (Репрезентативный список нематериального культурного наследия человечества, далее «Репрезентативный список», и Список нематериального культурного наследия, нуждающегося в срочной охране, далее «Список наследия, нуждающегося в срочной охране»).</w:t>
      </w:r>
    </w:p>
    <w:p w14:paraId="7F37A7B6" w14:textId="1B933572" w:rsidR="006704B3" w:rsidRPr="003C032A" w:rsidRDefault="006704B3"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t>Руководящие органы Конвенции уже внесли ряд улучшений в функционирование Реестра в ходе глобального анализа (</w:t>
      </w:r>
      <w:r w:rsidR="00B93CB7" w:rsidRPr="003C032A">
        <w:rPr>
          <w:rFonts w:asciiTheme="minorBidi" w:hAnsiTheme="minorBidi" w:cstheme="minorBidi"/>
        </w:rPr>
        <w:t xml:space="preserve">решение </w:t>
      </w:r>
      <w:hyperlink r:id="rId10" w:history="1">
        <w:r w:rsidR="00B93CB7" w:rsidRPr="003C032A">
          <w:rPr>
            <w:rStyle w:val="Lienhypertexte"/>
            <w:rFonts w:asciiTheme="minorBidi" w:hAnsiTheme="minorBidi" w:cstheme="minorBidi"/>
          </w:rPr>
          <w:t>16.COM 14</w:t>
        </w:r>
      </w:hyperlink>
      <w:r w:rsidRPr="003C032A">
        <w:rPr>
          <w:rFonts w:asciiTheme="minorBidi" w:hAnsiTheme="minorBidi" w:cstheme="minorBidi"/>
        </w:rPr>
        <w:t xml:space="preserve"> и резолюция </w:t>
      </w:r>
      <w:hyperlink r:id="rId11" w:history="1">
        <w:r w:rsidRPr="003C032A">
          <w:rPr>
            <w:rStyle w:val="Lienhypertexte"/>
            <w:rFonts w:asciiTheme="minorBidi" w:hAnsiTheme="minorBidi" w:cstheme="minorBidi"/>
          </w:rPr>
          <w:t>9.GA 9</w:t>
        </w:r>
      </w:hyperlink>
      <w:r w:rsidRPr="003C032A">
        <w:rPr>
          <w:rFonts w:asciiTheme="minorBidi" w:hAnsiTheme="minorBidi" w:cstheme="minorBidi"/>
        </w:rPr>
        <w:t>), которые касаются: (a) исключения критерия отбора P.9 (пункт 7 Оперативного руководства)</w:t>
      </w:r>
      <w:r w:rsidRPr="003C032A">
        <w:rPr>
          <w:rFonts w:asciiTheme="minorBidi" w:hAnsiTheme="minorBidi" w:cstheme="minorBidi"/>
          <w:vertAlign w:val="superscript"/>
        </w:rPr>
        <w:footnoteReference w:id="3"/>
      </w:r>
      <w:r w:rsidRPr="003C032A">
        <w:rPr>
          <w:rFonts w:asciiTheme="minorBidi" w:hAnsiTheme="minorBidi" w:cstheme="minorBidi"/>
        </w:rPr>
        <w:t xml:space="preserve"> и (b) возможности для Оценочного органа рекомендовать включение успешного опыта охраны в Реестр в контексте перемещения элементов из Списка наследия, нуждающегося в срочной охране, в Репрезентативный список (пункт 39.3 Оперативного руководства).</w:t>
      </w:r>
    </w:p>
    <w:p w14:paraId="1A3A3ACF" w14:textId="16824693" w:rsidR="00D17348" w:rsidRPr="003C032A" w:rsidRDefault="00BB4607"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t xml:space="preserve">В продолжение глобального анализа механизмов включения в списки Конвенции 2003 года на шестнадцатой сессии Комитета также было решено начать отдельный анализ, чтобы исследовать весь потенциал статьи 18 Конвенции (решение </w:t>
      </w:r>
      <w:hyperlink r:id="rId12" w:history="1">
        <w:r w:rsidRPr="003C032A">
          <w:rPr>
            <w:rStyle w:val="Lienhypertexte"/>
            <w:rFonts w:asciiTheme="minorBidi" w:hAnsiTheme="minorBidi" w:cstheme="minorBidi"/>
          </w:rPr>
          <w:t>16.COM 14</w:t>
        </w:r>
      </w:hyperlink>
      <w:r w:rsidRPr="003C032A">
        <w:rPr>
          <w:rFonts w:asciiTheme="minorBidi" w:hAnsiTheme="minorBidi" w:cstheme="minorBidi"/>
        </w:rPr>
        <w:t>). Э</w:t>
      </w:r>
      <w:r w:rsidRPr="003C032A">
        <w:rPr>
          <w:rStyle w:val="hps"/>
          <w:rFonts w:asciiTheme="minorBidi" w:hAnsiTheme="minorBidi" w:cstheme="minorBidi"/>
          <w:snapToGrid/>
        </w:rPr>
        <w:t>тот новый анализ стал возможен благодаря щедрому взносу Королевства Швеция.</w:t>
      </w:r>
      <w:r w:rsidRPr="003C032A">
        <w:rPr>
          <w:rFonts w:asciiTheme="minorBidi" w:hAnsiTheme="minorBidi" w:cstheme="minorBidi"/>
        </w:rPr>
        <w:t xml:space="preserve"> Вопросы, связанные с анализом статьи 18, были подробно представлены Комитету на его семнадцатой сессии в 2022 году. Он, в свою очередь, определил темы для анализа и график межправительственных этапов анализа (документ </w:t>
      </w:r>
      <w:hyperlink r:id="rId13" w:history="1">
        <w:r w:rsidRPr="003C032A">
          <w:rPr>
            <w:rStyle w:val="Lienhypertexte"/>
            <w:rFonts w:asciiTheme="minorBidi" w:hAnsiTheme="minorBidi" w:cstheme="minorBidi"/>
          </w:rPr>
          <w:t>LHE/22/17.COM/10</w:t>
        </w:r>
      </w:hyperlink>
      <w:r w:rsidRPr="003C032A">
        <w:rPr>
          <w:rStyle w:val="Lienhypertexte"/>
          <w:rFonts w:asciiTheme="minorBidi" w:hAnsiTheme="minorBidi" w:cstheme="minorBidi"/>
        </w:rPr>
        <w:t xml:space="preserve"> </w:t>
      </w:r>
      <w:r w:rsidRPr="003C032A">
        <w:rPr>
          <w:rFonts w:asciiTheme="minorBidi" w:hAnsiTheme="minorBidi" w:cstheme="minorBidi"/>
        </w:rPr>
        <w:t xml:space="preserve">и </w:t>
      </w:r>
      <w:r w:rsidRPr="003C032A">
        <w:rPr>
          <w:rStyle w:val="Lienhypertexte"/>
          <w:rFonts w:asciiTheme="minorBidi" w:hAnsiTheme="minorBidi" w:cstheme="minorBidi"/>
          <w:color w:val="auto"/>
          <w:u w:val="none"/>
        </w:rPr>
        <w:t>решение</w:t>
      </w:r>
      <w:r w:rsidRPr="003C032A">
        <w:rPr>
          <w:rFonts w:asciiTheme="minorBidi" w:hAnsiTheme="minorBidi" w:cstheme="minorBidi"/>
        </w:rPr>
        <w:t xml:space="preserve"> </w:t>
      </w:r>
      <w:hyperlink r:id="rId14" w:history="1">
        <w:r w:rsidRPr="003C032A">
          <w:rPr>
            <w:rStyle w:val="Lienhypertexte"/>
            <w:rFonts w:asciiTheme="minorBidi" w:hAnsiTheme="minorBidi" w:cstheme="minorBidi"/>
          </w:rPr>
          <w:t>17.COM 10</w:t>
        </w:r>
      </w:hyperlink>
      <w:r w:rsidRPr="003C032A">
        <w:rPr>
          <w:rFonts w:asciiTheme="minorBidi" w:hAnsiTheme="minorBidi" w:cstheme="minorBidi"/>
        </w:rPr>
        <w:t>).</w:t>
      </w:r>
    </w:p>
    <w:p w14:paraId="2C9CE41E" w14:textId="0D16FE10" w:rsidR="00276DE9" w:rsidRPr="003C032A" w:rsidRDefault="001A409F"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lastRenderedPageBreak/>
        <w:t xml:space="preserve">Одна из главных тем нового анализа касается дальнейшего упрощения критериев отбора в Реестр, поскольку этот вопрос не удалось полностью рассмотреть в ходе глобального анализа механизмов включения в списки Конвенции. Цель упрощения — способствовать улучшению доступа к Реестру передового опыта по сохранению нематериального культурного наследия и повышению его видимости. Соответственно, </w:t>
      </w:r>
      <w:proofErr w:type="gramStart"/>
      <w:r w:rsidRPr="003C032A">
        <w:rPr>
          <w:rFonts w:asciiTheme="minorBidi" w:hAnsiTheme="minorBidi" w:cstheme="minorBidi"/>
        </w:rPr>
        <w:t>19-21</w:t>
      </w:r>
      <w:proofErr w:type="gramEnd"/>
      <w:r w:rsidRPr="003C032A">
        <w:rPr>
          <w:rFonts w:asciiTheme="minorBidi" w:hAnsiTheme="minorBidi" w:cstheme="minorBidi"/>
        </w:rPr>
        <w:t xml:space="preserve"> апреля 2023 года (Стокгольм, Швеция) состоялось совещание экспертов категории VI. В ходе этого совещания при участии двадцать одного эксперта был обсужден и принят доклад с рекомендациями, который затем был передан межправительственной рабочей группе открытого состава (документ </w:t>
      </w:r>
      <w:hyperlink r:id="rId15" w:history="1">
        <w:r w:rsidRPr="003C032A">
          <w:rPr>
            <w:rStyle w:val="Lienhypertexte"/>
            <w:rFonts w:asciiTheme="minorBidi" w:hAnsiTheme="minorBidi" w:cstheme="minorBidi"/>
          </w:rPr>
          <w:t>LHE/23/18.COM EXP/4</w:t>
        </w:r>
      </w:hyperlink>
      <w:r w:rsidRPr="003C032A">
        <w:rPr>
          <w:rFonts w:asciiTheme="minorBidi" w:hAnsiTheme="minorBidi" w:cstheme="minorBidi"/>
        </w:rPr>
        <w:t>).</w:t>
      </w:r>
    </w:p>
    <w:p w14:paraId="3424ACE5" w14:textId="6FD3702A" w:rsidR="00276DE9" w:rsidRPr="003C032A" w:rsidRDefault="00276DE9" w:rsidP="00B93CB7">
      <w:pPr>
        <w:pStyle w:val="COMPara"/>
        <w:spacing w:before="120"/>
        <w:ind w:left="561" w:hanging="561"/>
        <w:jc w:val="both"/>
        <w:rPr>
          <w:rFonts w:asciiTheme="minorBidi" w:hAnsiTheme="minorBidi" w:cstheme="minorBidi"/>
        </w:rPr>
      </w:pPr>
      <w:r w:rsidRPr="003C032A">
        <w:rPr>
          <w:rFonts w:asciiTheme="minorBidi" w:hAnsiTheme="minorBidi" w:cstheme="minorBidi"/>
        </w:rPr>
        <w:t>Межправительственная рабочая группа открытого состава в рамках анализа более широкого осуществления статьи 18 Конвенции провела заседание в штаб-квартире ЮНЕСКО 4 и 5 июля 2023 года.</w:t>
      </w:r>
      <w:r w:rsidRPr="003C032A">
        <w:rPr>
          <w:rStyle w:val="Appelnotedebasdep"/>
          <w:rFonts w:asciiTheme="minorBidi" w:hAnsiTheme="minorBidi" w:cstheme="minorBidi"/>
        </w:rPr>
        <w:footnoteReference w:id="4"/>
      </w:r>
      <w:r w:rsidRPr="003C032A">
        <w:rPr>
          <w:rFonts w:asciiTheme="minorBidi" w:hAnsiTheme="minorBidi" w:cstheme="minorBidi"/>
        </w:rPr>
        <w:t xml:space="preserve"> Председателем рабочей группы был г-н Мартин Сандин (Швеция), а в качестве Президиума рабочей группы выступали следующие пять </w:t>
      </w:r>
      <w:r w:rsidR="00B93CB7" w:rsidRPr="003C032A">
        <w:rPr>
          <w:rFonts w:asciiTheme="minorBidi" w:hAnsiTheme="minorBidi" w:cstheme="minorBidi"/>
        </w:rPr>
        <w:t>государств-</w:t>
      </w:r>
      <w:r w:rsidRPr="003C032A">
        <w:rPr>
          <w:rFonts w:asciiTheme="minorBidi" w:hAnsiTheme="minorBidi" w:cstheme="minorBidi"/>
        </w:rPr>
        <w:t xml:space="preserve">членов: Эстония, Перу, Филиппины, Ангола и Марокко. Рекомендации рабочей группы были представлены восемнадцатой сессии Комитета в декабре 2023 года и содержатся в Приложении I к документу </w:t>
      </w:r>
      <w:hyperlink r:id="rId16" w:history="1">
        <w:r w:rsidRPr="003C032A">
          <w:rPr>
            <w:rStyle w:val="Lienhypertexte"/>
            <w:rFonts w:asciiTheme="minorBidi" w:hAnsiTheme="minorBidi" w:cstheme="minorBidi"/>
          </w:rPr>
          <w:t>LHE/23/18.COM/11</w:t>
        </w:r>
      </w:hyperlink>
      <w:r w:rsidRPr="003C032A">
        <w:rPr>
          <w:rFonts w:asciiTheme="minorBidi" w:hAnsiTheme="minorBidi" w:cstheme="minorBidi"/>
        </w:rPr>
        <w:t>.</w:t>
      </w:r>
    </w:p>
    <w:p w14:paraId="598B8939" w14:textId="28975E86" w:rsidR="00240043" w:rsidRPr="003C032A" w:rsidRDefault="00240043" w:rsidP="00240043">
      <w:pPr>
        <w:pStyle w:val="COMPara"/>
        <w:ind w:left="567" w:hanging="567"/>
        <w:jc w:val="both"/>
        <w:rPr>
          <w:rFonts w:asciiTheme="minorBidi" w:hAnsiTheme="minorBidi" w:cstheme="minorBidi"/>
        </w:rPr>
      </w:pPr>
      <w:r w:rsidRPr="003C032A">
        <w:rPr>
          <w:rFonts w:asciiTheme="minorBidi" w:hAnsiTheme="minorBidi" w:cstheme="minorBidi"/>
        </w:rPr>
        <w:t>На основании рекомендации 3 рабочей группы восемнадцатая сессия Комитета рассмотрела вопрос о внесении изменений в пункт 7 Оперативного руководства с целью корректировки критериев отбора в Реестр, как это кратко изложено ниже:</w:t>
      </w:r>
    </w:p>
    <w:p w14:paraId="7891DDB8" w14:textId="77777777" w:rsidR="00940217" w:rsidRPr="003C032A" w:rsidRDefault="00940217" w:rsidP="00940217">
      <w:pPr>
        <w:pStyle w:val="COMPara"/>
        <w:numPr>
          <w:ilvl w:val="1"/>
          <w:numId w:val="9"/>
        </w:numPr>
        <w:jc w:val="both"/>
        <w:rPr>
          <w:rFonts w:asciiTheme="minorBidi" w:hAnsiTheme="minorBidi" w:cstheme="minorBidi"/>
        </w:rPr>
      </w:pPr>
      <w:r w:rsidRPr="003C032A">
        <w:rPr>
          <w:rFonts w:asciiTheme="minorBidi" w:hAnsiTheme="minorBidi" w:cstheme="minorBidi"/>
        </w:rPr>
        <w:t xml:space="preserve">изменения во «вступительной части» пункта 7 с пониманием того, что предложения для отбора в Реестр должны удовлетворять </w:t>
      </w:r>
      <w:r w:rsidRPr="003C032A">
        <w:rPr>
          <w:rFonts w:asciiTheme="minorBidi" w:hAnsiTheme="minorBidi" w:cstheme="minorBidi"/>
          <w:u w:val="single"/>
        </w:rPr>
        <w:t>всем</w:t>
      </w:r>
      <w:r w:rsidRPr="003C032A">
        <w:rPr>
          <w:rFonts w:asciiTheme="minorBidi" w:hAnsiTheme="minorBidi" w:cstheme="minorBidi"/>
        </w:rPr>
        <w:t xml:space="preserve"> критериям отбора;</w:t>
      </w:r>
    </w:p>
    <w:p w14:paraId="591C23ED" w14:textId="2A839F26" w:rsidR="00240043" w:rsidRPr="003C032A" w:rsidRDefault="00240043" w:rsidP="004A55F2">
      <w:pPr>
        <w:pStyle w:val="COMPara"/>
        <w:numPr>
          <w:ilvl w:val="1"/>
          <w:numId w:val="9"/>
        </w:numPr>
        <w:jc w:val="both"/>
        <w:rPr>
          <w:rFonts w:asciiTheme="minorBidi" w:hAnsiTheme="minorBidi" w:cstheme="minorBidi"/>
        </w:rPr>
      </w:pPr>
      <w:r w:rsidRPr="003C032A">
        <w:rPr>
          <w:rFonts w:asciiTheme="minorBidi" w:hAnsiTheme="minorBidi" w:cstheme="minorBidi"/>
        </w:rPr>
        <w:t>упрощение критериев отбора, подразумевающее исключение критериев P.2 и P.8, а также объединение критериев P.1/P.3 и P.6/P.7;</w:t>
      </w:r>
    </w:p>
    <w:p w14:paraId="04708200" w14:textId="55248B18" w:rsidR="00240043" w:rsidRPr="003C032A" w:rsidRDefault="00240043" w:rsidP="004A55F2">
      <w:pPr>
        <w:pStyle w:val="COMPara"/>
        <w:numPr>
          <w:ilvl w:val="1"/>
          <w:numId w:val="9"/>
        </w:numPr>
        <w:jc w:val="both"/>
        <w:rPr>
          <w:rFonts w:asciiTheme="minorBidi" w:hAnsiTheme="minorBidi" w:cstheme="minorBidi"/>
        </w:rPr>
      </w:pPr>
      <w:r w:rsidRPr="003C032A">
        <w:rPr>
          <w:rFonts w:asciiTheme="minorBidi" w:hAnsiTheme="minorBidi" w:cstheme="minorBidi"/>
        </w:rPr>
        <w:t>переименование критериев в G.1, G.2, G.3 и так далее (вместо P.1, P.2, P.3 и так далее), чтобы отличить новый набор критериев отбора от предыдущей системы.</w:t>
      </w:r>
    </w:p>
    <w:p w14:paraId="246EC49C" w14:textId="5A28FBC3" w:rsidR="007A78BD" w:rsidRPr="003C032A" w:rsidRDefault="007A78BD" w:rsidP="007A78BD">
      <w:pPr>
        <w:pStyle w:val="COMPara"/>
        <w:keepNext/>
        <w:ind w:left="567" w:hanging="567"/>
        <w:jc w:val="both"/>
        <w:rPr>
          <w:rFonts w:asciiTheme="minorBidi" w:hAnsiTheme="minorBidi" w:cstheme="minorBidi"/>
        </w:rPr>
      </w:pPr>
      <w:r w:rsidRPr="003C032A">
        <w:rPr>
          <w:rFonts w:asciiTheme="minorBidi" w:hAnsiTheme="minorBidi" w:cstheme="minorBidi"/>
        </w:rPr>
        <w:t xml:space="preserve">Эти корректировки учитывали следующие соображения, высказанные в ходе вышеупомянутой консультации экспертов (документ </w:t>
      </w:r>
      <w:hyperlink r:id="rId17" w:history="1">
        <w:r w:rsidRPr="003C032A">
          <w:rPr>
            <w:rStyle w:val="Lienhypertexte"/>
            <w:rFonts w:asciiTheme="minorBidi" w:hAnsiTheme="minorBidi" w:cstheme="minorBidi"/>
          </w:rPr>
          <w:t>LHE/23/18.COM EXP/4</w:t>
        </w:r>
      </w:hyperlink>
      <w:r w:rsidRPr="003C032A">
        <w:rPr>
          <w:rFonts w:asciiTheme="minorBidi" w:hAnsiTheme="minorBidi" w:cstheme="minorBidi"/>
        </w:rPr>
        <w:t>):</w:t>
      </w:r>
    </w:p>
    <w:p w14:paraId="487950C4" w14:textId="27D3905B" w:rsidR="007A78BD" w:rsidRPr="003C032A" w:rsidRDefault="007A78BD"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t>Критерии должны быть сосредоточены на описании программы, проекта или мероприятия в значении статьи 2.3 Конвенции, ссылках на меры по охране в Оперативном руководстве, а также на принципах и целях Конвенции и этических принципах охраны нематериального культурного наследия (критерии P.1 и P.3, которые могут быть объединены).</w:t>
      </w:r>
    </w:p>
    <w:p w14:paraId="711C3C9A" w14:textId="6F87C285" w:rsidR="007A78BD" w:rsidRPr="003C032A" w:rsidRDefault="007A78BD"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t>Важным требованием должно быть участие заинтересованных сообществ (критерии P.5 и частично P.7, с включением этического принципа 4).</w:t>
      </w:r>
    </w:p>
    <w:p w14:paraId="634DD222" w14:textId="77F32345" w:rsidR="007A78BD" w:rsidRPr="003C032A" w:rsidRDefault="008725A6"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t>Демонстрация эффективности программы, проекта или мероприятия необходима, но это может сделать излишним требование о проведении оценки результатов (поэтому критерий P.4 можно оставить, а критерий P.8 — исключить).</w:t>
      </w:r>
    </w:p>
    <w:p w14:paraId="3B835BA9" w14:textId="0BD98B0A" w:rsidR="007A78BD" w:rsidRPr="003C032A" w:rsidRDefault="007A78BD"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t>Критерий P.7 может быть скорректирован, чтобы использовать «передовой опыт» вместо «лучших методов».</w:t>
      </w:r>
    </w:p>
    <w:p w14:paraId="39603F28" w14:textId="7ECCF35E" w:rsidR="007A78BD" w:rsidRPr="003C032A" w:rsidRDefault="007A78BD"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t>Ссылка на возможность использования передового опыта в качестве модели (P.6) может быть включена в комбинированный критерий P.1 и P.3, но не должна ограничиваться международным уровнем, поскольку некоторые модели могут быть актуальны и на национальном уровне.</w:t>
      </w:r>
    </w:p>
    <w:p w14:paraId="3C63B66D" w14:textId="629F770A" w:rsidR="007A78BD" w:rsidRPr="003C032A" w:rsidRDefault="007A78BD" w:rsidP="009472DE">
      <w:pPr>
        <w:pStyle w:val="COMPara"/>
        <w:numPr>
          <w:ilvl w:val="0"/>
          <w:numId w:val="41"/>
        </w:numPr>
        <w:ind w:left="1418" w:hanging="284"/>
        <w:jc w:val="both"/>
        <w:rPr>
          <w:rFonts w:asciiTheme="minorBidi" w:hAnsiTheme="minorBidi" w:cstheme="minorBidi"/>
        </w:rPr>
      </w:pPr>
      <w:r w:rsidRPr="003C032A">
        <w:rPr>
          <w:rFonts w:asciiTheme="minorBidi" w:hAnsiTheme="minorBidi" w:cstheme="minorBidi"/>
        </w:rPr>
        <w:lastRenderedPageBreak/>
        <w:t>Некоторые примеры передового опыта охраны наследия могут быть ограничены местными мероприятиями, поэтому критерий P.2 может излишне ограничивать разнообразие Реестра и может быть исключен.</w:t>
      </w:r>
    </w:p>
    <w:p w14:paraId="69BED676" w14:textId="3CC8E262" w:rsidR="00C46770" w:rsidRPr="003C032A" w:rsidRDefault="008222B5"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t xml:space="preserve">В соответствии с решением </w:t>
      </w:r>
      <w:hyperlink r:id="rId18" w:history="1">
        <w:r w:rsidRPr="003C032A">
          <w:rPr>
            <w:rStyle w:val="Lienhypertexte"/>
            <w:rFonts w:asciiTheme="minorBidi" w:hAnsiTheme="minorBidi" w:cstheme="minorBidi"/>
          </w:rPr>
          <w:t>18.COM 11</w:t>
        </w:r>
      </w:hyperlink>
      <w:r w:rsidRPr="003C032A">
        <w:rPr>
          <w:rFonts w:asciiTheme="minorBidi" w:hAnsiTheme="minorBidi" w:cstheme="minorBidi"/>
        </w:rPr>
        <w:t xml:space="preserve">, принятым на восемнадцатой сессии Комитета, Генеральной ассамблее предлагается рассмотреть предлагаемую поправку к пункту 7 Оперативного руководства, включенную в </w:t>
      </w:r>
      <w:hyperlink w:anchor="разделI" w:history="1">
        <w:r w:rsidRPr="003C032A">
          <w:rPr>
            <w:rStyle w:val="Lienhypertexte"/>
            <w:rFonts w:asciiTheme="minorBidi" w:hAnsiTheme="minorBidi" w:cstheme="minorBidi"/>
          </w:rPr>
          <w:t>раздел I</w:t>
        </w:r>
      </w:hyperlink>
      <w:r w:rsidRPr="003C032A">
        <w:rPr>
          <w:rFonts w:asciiTheme="minorBidi" w:hAnsiTheme="minorBidi" w:cstheme="minorBidi"/>
        </w:rPr>
        <w:t xml:space="preserve"> Приложения к настоящему документу. </w:t>
      </w:r>
    </w:p>
    <w:p w14:paraId="31F3B4D2" w14:textId="0AEB246E" w:rsidR="008222B5" w:rsidRPr="003C032A" w:rsidRDefault="00240043" w:rsidP="00734E47">
      <w:pPr>
        <w:pStyle w:val="COMPara"/>
        <w:spacing w:before="120"/>
        <w:ind w:left="567" w:hanging="567"/>
        <w:jc w:val="both"/>
        <w:rPr>
          <w:rFonts w:asciiTheme="minorBidi" w:hAnsiTheme="minorBidi" w:cstheme="minorBidi"/>
        </w:rPr>
      </w:pPr>
      <w:r w:rsidRPr="003C032A">
        <w:rPr>
          <w:rFonts w:asciiTheme="minorBidi" w:hAnsiTheme="minorBidi" w:cstheme="minorBidi"/>
        </w:rPr>
        <w:t>После утверждения поправки форма ICH-03 должна быть скорректирована с учетом пересмотренных критериев отбора. В соответствии с рекомендацией 3 рабочей группы пересмотренная форма должна содержать ссылки на соответствующие положения Оперативного руководства и Этических принципов охраны нематериального культурного наследия. Скорректированная форма ICH-03 будет опубликована после нынешней сессии Генеральной ассамблеи, чтобы дать возможность подготовить предложения для отбора в Реестр передового опыта по сохранению нематериального культурного наследия на цикл 2026 года, крайний срок подачи которых — 31 марта 2025 года и далее ежегодно.</w:t>
      </w:r>
    </w:p>
    <w:p w14:paraId="123B6521" w14:textId="70D5F6FE" w:rsidR="00F70CC5" w:rsidRPr="003C032A" w:rsidRDefault="00046A7A" w:rsidP="00AC18C1">
      <w:pPr>
        <w:pStyle w:val="COMPara"/>
        <w:numPr>
          <w:ilvl w:val="0"/>
          <w:numId w:val="21"/>
        </w:numPr>
        <w:spacing w:before="240"/>
        <w:ind w:left="567" w:hanging="567"/>
        <w:jc w:val="both"/>
        <w:rPr>
          <w:rFonts w:asciiTheme="minorBidi" w:hAnsiTheme="minorBidi" w:cstheme="minorBidi"/>
          <w:b/>
          <w:bCs/>
        </w:rPr>
      </w:pPr>
      <w:bookmarkStart w:id="2" w:name="PartB"/>
      <w:r w:rsidRPr="003C032A">
        <w:rPr>
          <w:rFonts w:asciiTheme="minorBidi" w:hAnsiTheme="minorBidi" w:cstheme="minorBidi"/>
          <w:b/>
        </w:rPr>
        <w:t>Международная помощь</w:t>
      </w:r>
    </w:p>
    <w:bookmarkEnd w:id="2"/>
    <w:p w14:paraId="6BDBEA04" w14:textId="10304B78" w:rsidR="00146E40" w:rsidRPr="003C032A" w:rsidRDefault="00146E40" w:rsidP="00146E40">
      <w:pPr>
        <w:pStyle w:val="COMPara"/>
        <w:ind w:left="567" w:hanging="567"/>
        <w:jc w:val="both"/>
        <w:rPr>
          <w:rFonts w:asciiTheme="minorBidi" w:hAnsiTheme="minorBidi" w:cstheme="minorBidi"/>
        </w:rPr>
      </w:pPr>
      <w:r w:rsidRPr="003C032A">
        <w:rPr>
          <w:rFonts w:asciiTheme="minorBidi" w:hAnsiTheme="minorBidi" w:cstheme="minorBidi"/>
        </w:rPr>
        <w:t xml:space="preserve">В ходе глобального анализа механизмов включения в списки сфера помощи в подготовке досье была расширена и теперь включает помощь в подготовке «(c) запросов на передачу элемента из одного Списка в другой и (d) досье номинации на расширенной или сокращенной основе уже включенных элементов» (резолюция </w:t>
      </w:r>
      <w:hyperlink r:id="rId19" w:history="1">
        <w:r w:rsidRPr="003C032A">
          <w:rPr>
            <w:rStyle w:val="Lienhypertexte"/>
            <w:rFonts w:asciiTheme="minorBidi" w:hAnsiTheme="minorBidi" w:cstheme="minorBidi"/>
          </w:rPr>
          <w:t>9.GA</w:t>
        </w:r>
        <w:r w:rsidR="00801110" w:rsidRPr="003C032A">
          <w:rPr>
            <w:rStyle w:val="Lienhypertexte"/>
            <w:rFonts w:asciiTheme="minorBidi" w:hAnsiTheme="minorBidi" w:cstheme="minorBidi"/>
            <w:lang w:val="fr-FR"/>
          </w:rPr>
          <w:t> </w:t>
        </w:r>
        <w:r w:rsidRPr="003C032A">
          <w:rPr>
            <w:rStyle w:val="Lienhypertexte"/>
            <w:rFonts w:asciiTheme="minorBidi" w:hAnsiTheme="minorBidi" w:cstheme="minorBidi"/>
          </w:rPr>
          <w:t>9</w:t>
        </w:r>
      </w:hyperlink>
      <w:r w:rsidRPr="003C032A">
        <w:rPr>
          <w:rFonts w:asciiTheme="minorBidi" w:hAnsiTheme="minorBidi" w:cstheme="minorBidi"/>
        </w:rPr>
        <w:t xml:space="preserve">). Эти нововведения дополнили </w:t>
      </w:r>
      <w:proofErr w:type="gramStart"/>
      <w:r w:rsidRPr="003C032A">
        <w:rPr>
          <w:rFonts w:asciiTheme="minorBidi" w:hAnsiTheme="minorBidi" w:cstheme="minorBidi"/>
        </w:rPr>
        <w:t>уже существующую</w:t>
      </w:r>
      <w:proofErr w:type="gramEnd"/>
      <w:r w:rsidRPr="003C032A">
        <w:rPr>
          <w:rFonts w:asciiTheme="minorBidi" w:hAnsiTheme="minorBidi" w:cstheme="minorBidi"/>
        </w:rPr>
        <w:t xml:space="preserve"> помощь в подготовке (a) досье номинации для включения в Список наследия, нуждающегося в срочной охране и (b) предложений по программам, проектам и мероприятиям для включения в Реестр передового опыта по сохранению нематериального культурного наследия (глава I.7 Оперативного руководства).</w:t>
      </w:r>
    </w:p>
    <w:p w14:paraId="07D5AFDE" w14:textId="229AEA81" w:rsidR="006704B3" w:rsidRPr="003C032A" w:rsidRDefault="00146E40" w:rsidP="006704B3">
      <w:pPr>
        <w:pStyle w:val="COMPara"/>
        <w:ind w:left="567" w:hanging="567"/>
        <w:jc w:val="both"/>
        <w:rPr>
          <w:rFonts w:asciiTheme="minorBidi" w:hAnsiTheme="minorBidi" w:cstheme="minorBidi"/>
        </w:rPr>
      </w:pPr>
      <w:r w:rsidRPr="003C032A">
        <w:rPr>
          <w:rFonts w:asciiTheme="minorBidi" w:hAnsiTheme="minorBidi" w:cstheme="minorBidi"/>
        </w:rPr>
        <w:t>На семнадцатой сессии Комитета был вновь рассмотрен вопрос о расширении сферы охвата помощи в подготовке досье и создано обращение к Секретариату с просьбой «разработать предложение по Оперативному руководству, с тем чтобы государства-члены, не имевшие ранее элементов, включенных в Репрезентативный список нематериального культурного наследия человечества, могли обратиться за международной помощью для подготовки своей первой номинации»</w:t>
      </w:r>
      <w:r w:rsidRPr="003C032A">
        <w:rPr>
          <w:rFonts w:asciiTheme="minorBidi" w:hAnsiTheme="minorBidi" w:cstheme="minorBidi"/>
          <w:snapToGrid/>
        </w:rPr>
        <w:t xml:space="preserve"> (р</w:t>
      </w:r>
      <w:r w:rsidRPr="003C032A">
        <w:rPr>
          <w:rFonts w:asciiTheme="minorBidi" w:hAnsiTheme="minorBidi" w:cstheme="minorBidi"/>
        </w:rPr>
        <w:t xml:space="preserve">ешение </w:t>
      </w:r>
      <w:hyperlink r:id="rId20" w:history="1">
        <w:r w:rsidRPr="003C032A">
          <w:rPr>
            <w:rStyle w:val="Lienhypertexte"/>
            <w:rFonts w:asciiTheme="minorBidi" w:hAnsiTheme="minorBidi" w:cstheme="minorBidi"/>
          </w:rPr>
          <w:t>17.COM</w:t>
        </w:r>
        <w:r w:rsidR="00801110" w:rsidRPr="003C032A">
          <w:rPr>
            <w:rStyle w:val="Lienhypertexte"/>
            <w:rFonts w:asciiTheme="minorBidi" w:hAnsiTheme="minorBidi" w:cstheme="minorBidi"/>
            <w:lang w:val="fr-FR"/>
          </w:rPr>
          <w:t> </w:t>
        </w:r>
        <w:r w:rsidRPr="003C032A">
          <w:rPr>
            <w:rStyle w:val="Lienhypertexte"/>
            <w:rFonts w:asciiTheme="minorBidi" w:hAnsiTheme="minorBidi" w:cstheme="minorBidi"/>
          </w:rPr>
          <w:t>7</w:t>
        </w:r>
      </w:hyperlink>
      <w:r w:rsidRPr="003C032A">
        <w:rPr>
          <w:rFonts w:asciiTheme="minorBidi" w:hAnsiTheme="minorBidi" w:cstheme="minorBidi"/>
        </w:rPr>
        <w:t>). Это предложение было сделано со ссылкой на статью 20 (d) Конвенции, которая предусматривает, что международная помощь может быть предоставлена для «любой другой цели, которую Комитет может счесть необходимой». Оно также соответствует духу Конвенции, который направлен на обеспечение справедливого географического представительства во всех аспектах ее реализации, особенно в механизмах составления списков.</w:t>
      </w:r>
    </w:p>
    <w:p w14:paraId="1F7B9780" w14:textId="79D5F854" w:rsidR="00E01E12" w:rsidRPr="003C032A" w:rsidRDefault="00146E40" w:rsidP="00E75091">
      <w:pPr>
        <w:pStyle w:val="COMPara"/>
        <w:spacing w:before="240"/>
        <w:ind w:left="567" w:hanging="567"/>
        <w:jc w:val="both"/>
        <w:rPr>
          <w:rFonts w:asciiTheme="minorBidi" w:hAnsiTheme="minorBidi" w:cstheme="minorBidi"/>
        </w:rPr>
      </w:pPr>
      <w:r w:rsidRPr="003C032A">
        <w:rPr>
          <w:rFonts w:asciiTheme="minorBidi" w:hAnsiTheme="minorBidi" w:cstheme="minorBidi"/>
        </w:rPr>
        <w:t>Подразумевается, что помощь в подготовке будет доступна для государств, не имеющих национального элемента, включенного в Репрезентативный список, независимо от того, есть ли у них включенные многонациональные элементы. В соответствии с практикой Конвенции, приоритет может быть отдан тем государствам, которые получают официальную помощь в целях развития. В то же время запросы от государств-участников в электоральной группе I (три государства без каких-либо национальных элементов) не будут рассматриваться в качестве приоритетных. При нынешнем статусе включения помощь в подготовке могли бы получить в общей сложности сорок семь государств, при этом географическое распределение выглядит следующим образом:</w:t>
      </w:r>
      <w:r w:rsidR="00E01E12" w:rsidRPr="003C032A">
        <w:rPr>
          <w:rFonts w:asciiTheme="minorBidi" w:hAnsiTheme="minorBidi" w:cstheme="minorBidi"/>
        </w:rPr>
        <w:br w:type="page"/>
      </w:r>
    </w:p>
    <w:p w14:paraId="20A4A1AF" w14:textId="77777777" w:rsidR="00063D10" w:rsidRPr="003C032A" w:rsidRDefault="00063D10" w:rsidP="00E01E12">
      <w:pPr>
        <w:pStyle w:val="COMPara"/>
        <w:numPr>
          <w:ilvl w:val="0"/>
          <w:numId w:val="0"/>
        </w:numPr>
        <w:spacing w:before="240"/>
        <w:ind w:left="567"/>
        <w:jc w:val="both"/>
        <w:rPr>
          <w:rFonts w:asciiTheme="minorBidi" w:hAnsiTheme="minorBidi" w:cstheme="minorBidi"/>
        </w:rPr>
      </w:pPr>
    </w:p>
    <w:tbl>
      <w:tblPr>
        <w:tblStyle w:val="Grilledutableau"/>
        <w:tblW w:w="0" w:type="auto"/>
        <w:tblInd w:w="567" w:type="dxa"/>
        <w:tblLook w:val="04A0" w:firstRow="1" w:lastRow="0" w:firstColumn="1" w:lastColumn="0" w:noHBand="0" w:noVBand="1"/>
      </w:tblPr>
      <w:tblGrid>
        <w:gridCol w:w="1511"/>
        <w:gridCol w:w="1510"/>
        <w:gridCol w:w="1510"/>
        <w:gridCol w:w="1510"/>
        <w:gridCol w:w="1510"/>
        <w:gridCol w:w="1510"/>
      </w:tblGrid>
      <w:tr w:rsidR="00D974AC" w:rsidRPr="003C032A" w14:paraId="64561F8E" w14:textId="77777777" w:rsidTr="00772CF0">
        <w:tc>
          <w:tcPr>
            <w:tcW w:w="1511" w:type="dxa"/>
            <w:shd w:val="clear" w:color="auto" w:fill="F2F2F2" w:themeFill="background1" w:themeFillShade="F2"/>
          </w:tcPr>
          <w:p w14:paraId="3D290DF3"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I</w:t>
            </w:r>
          </w:p>
        </w:tc>
        <w:tc>
          <w:tcPr>
            <w:tcW w:w="1510" w:type="dxa"/>
            <w:shd w:val="clear" w:color="auto" w:fill="F2F2F2" w:themeFill="background1" w:themeFillShade="F2"/>
          </w:tcPr>
          <w:p w14:paraId="6B08F180"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II</w:t>
            </w:r>
          </w:p>
        </w:tc>
        <w:tc>
          <w:tcPr>
            <w:tcW w:w="1510" w:type="dxa"/>
            <w:shd w:val="clear" w:color="auto" w:fill="F2F2F2" w:themeFill="background1" w:themeFillShade="F2"/>
          </w:tcPr>
          <w:p w14:paraId="5125AD9D"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III</w:t>
            </w:r>
          </w:p>
        </w:tc>
        <w:tc>
          <w:tcPr>
            <w:tcW w:w="1510" w:type="dxa"/>
            <w:shd w:val="clear" w:color="auto" w:fill="F2F2F2" w:themeFill="background1" w:themeFillShade="F2"/>
          </w:tcPr>
          <w:p w14:paraId="2D825274"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IV</w:t>
            </w:r>
          </w:p>
        </w:tc>
        <w:tc>
          <w:tcPr>
            <w:tcW w:w="1510" w:type="dxa"/>
            <w:shd w:val="clear" w:color="auto" w:fill="F2F2F2" w:themeFill="background1" w:themeFillShade="F2"/>
          </w:tcPr>
          <w:p w14:paraId="7BA1EDA0"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V(a)</w:t>
            </w:r>
          </w:p>
        </w:tc>
        <w:tc>
          <w:tcPr>
            <w:tcW w:w="1510" w:type="dxa"/>
            <w:shd w:val="clear" w:color="auto" w:fill="F2F2F2" w:themeFill="background1" w:themeFillShade="F2"/>
          </w:tcPr>
          <w:p w14:paraId="0E2609E4"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Э.Г. V(b)</w:t>
            </w:r>
          </w:p>
        </w:tc>
      </w:tr>
      <w:tr w:rsidR="00D974AC" w:rsidRPr="003C032A" w14:paraId="25D65EA7" w14:textId="77777777" w:rsidTr="00772CF0">
        <w:tc>
          <w:tcPr>
            <w:tcW w:w="1511" w:type="dxa"/>
          </w:tcPr>
          <w:p w14:paraId="57057F79" w14:textId="7492F790" w:rsidR="00D974AC" w:rsidRPr="003C032A" w:rsidRDefault="008451D0"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3</w:t>
            </w:r>
            <w:r w:rsidR="00D20D37" w:rsidRPr="003C032A">
              <w:rPr>
                <w:rStyle w:val="Appelnotedebasdep"/>
                <w:rFonts w:asciiTheme="minorBidi" w:hAnsiTheme="minorBidi" w:cstheme="minorBidi"/>
                <w:snapToGrid w:val="0"/>
                <w:sz w:val="22"/>
                <w:szCs w:val="22"/>
                <w:lang w:val="en-GB" w:eastAsia="en-US"/>
              </w:rPr>
              <w:footnoteReference w:id="5"/>
            </w:r>
          </w:p>
        </w:tc>
        <w:tc>
          <w:tcPr>
            <w:tcW w:w="1510" w:type="dxa"/>
          </w:tcPr>
          <w:p w14:paraId="08F82C96"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0</w:t>
            </w:r>
          </w:p>
        </w:tc>
        <w:tc>
          <w:tcPr>
            <w:tcW w:w="1510" w:type="dxa"/>
          </w:tcPr>
          <w:p w14:paraId="33D331FC"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12</w:t>
            </w:r>
          </w:p>
        </w:tc>
        <w:tc>
          <w:tcPr>
            <w:tcW w:w="1510" w:type="dxa"/>
          </w:tcPr>
          <w:p w14:paraId="483172ED"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15</w:t>
            </w:r>
          </w:p>
        </w:tc>
        <w:tc>
          <w:tcPr>
            <w:tcW w:w="1510" w:type="dxa"/>
          </w:tcPr>
          <w:p w14:paraId="2C12DAE5"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19</w:t>
            </w:r>
          </w:p>
        </w:tc>
        <w:tc>
          <w:tcPr>
            <w:tcW w:w="1510" w:type="dxa"/>
          </w:tcPr>
          <w:p w14:paraId="6A645323" w14:textId="77777777"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1</w:t>
            </w:r>
          </w:p>
        </w:tc>
      </w:tr>
      <w:tr w:rsidR="00D974AC" w:rsidRPr="003C032A" w14:paraId="2D0FF1FE" w14:textId="77777777" w:rsidTr="00772CF0">
        <w:tc>
          <w:tcPr>
            <w:tcW w:w="9061" w:type="dxa"/>
            <w:gridSpan w:val="6"/>
          </w:tcPr>
          <w:p w14:paraId="2BF9E697" w14:textId="21894DE6" w:rsidR="00D974AC" w:rsidRPr="003C032A" w:rsidRDefault="00D974AC" w:rsidP="00772CF0">
            <w:pPr>
              <w:jc w:val="both"/>
              <w:rPr>
                <w:rFonts w:asciiTheme="minorBidi" w:hAnsiTheme="minorBidi" w:cstheme="minorBidi"/>
                <w:snapToGrid w:val="0"/>
                <w:sz w:val="22"/>
                <w:szCs w:val="22"/>
              </w:rPr>
            </w:pPr>
            <w:r w:rsidRPr="003C032A">
              <w:rPr>
                <w:rFonts w:asciiTheme="minorBidi" w:hAnsiTheme="minorBidi" w:cstheme="minorBidi"/>
                <w:snapToGrid w:val="0"/>
                <w:sz w:val="22"/>
                <w:szCs w:val="22"/>
              </w:rPr>
              <w:t>Всего: 47 государств, за исключением Э.Г. I</w:t>
            </w:r>
          </w:p>
        </w:tc>
      </w:tr>
    </w:tbl>
    <w:p w14:paraId="190A24E1" w14:textId="3A6A49F4" w:rsidR="00063D10" w:rsidRPr="003C032A" w:rsidRDefault="00063D10" w:rsidP="00903F5C">
      <w:pPr>
        <w:pStyle w:val="COMPara"/>
        <w:spacing w:before="240"/>
        <w:ind w:left="567" w:hanging="567"/>
        <w:jc w:val="both"/>
        <w:rPr>
          <w:rFonts w:asciiTheme="minorBidi" w:hAnsiTheme="minorBidi" w:cstheme="minorBidi"/>
        </w:rPr>
      </w:pPr>
      <w:bookmarkStart w:id="3" w:name="_Hlk162358093"/>
      <w:r w:rsidRPr="003C032A">
        <w:rPr>
          <w:rFonts w:asciiTheme="minorBidi" w:hAnsiTheme="minorBidi" w:cstheme="minorBidi"/>
        </w:rPr>
        <w:t xml:space="preserve">В соответствии с решением </w:t>
      </w:r>
      <w:hyperlink r:id="rId21" w:history="1">
        <w:r w:rsidRPr="003C032A">
          <w:rPr>
            <w:rStyle w:val="Lienhypertexte"/>
            <w:rFonts w:asciiTheme="minorBidi" w:hAnsiTheme="minorBidi" w:cstheme="minorBidi"/>
          </w:rPr>
          <w:t>18.COM</w:t>
        </w:r>
        <w:r w:rsidR="00F07379" w:rsidRPr="003C032A">
          <w:rPr>
            <w:rStyle w:val="Lienhypertexte"/>
            <w:rFonts w:asciiTheme="minorBidi" w:hAnsiTheme="minorBidi" w:cstheme="minorBidi"/>
            <w:lang w:val="fr-FR"/>
          </w:rPr>
          <w:t> </w:t>
        </w:r>
        <w:r w:rsidRPr="003C032A">
          <w:rPr>
            <w:rStyle w:val="Lienhypertexte"/>
            <w:rFonts w:asciiTheme="minorBidi" w:hAnsiTheme="minorBidi" w:cstheme="minorBidi"/>
          </w:rPr>
          <w:t>10</w:t>
        </w:r>
      </w:hyperlink>
      <w:r w:rsidRPr="003C032A">
        <w:rPr>
          <w:rFonts w:asciiTheme="minorBidi" w:hAnsiTheme="minorBidi" w:cstheme="minorBidi"/>
        </w:rPr>
        <w:t xml:space="preserve"> Генеральной ассамблее настоящим предлагается рассмотреть предлагаемую поправку к пункту 21 Оперативного руководства, содержащуюся в </w:t>
      </w:r>
      <w:hyperlink w:anchor="разделII" w:history="1">
        <w:r w:rsidR="00C776F0" w:rsidRPr="003C032A">
          <w:rPr>
            <w:rStyle w:val="Lienhypertexte"/>
            <w:rFonts w:asciiTheme="minorBidi" w:hAnsiTheme="minorBidi" w:cstheme="minorBidi"/>
          </w:rPr>
          <w:t>части II</w:t>
        </w:r>
      </w:hyperlink>
      <w:r w:rsidRPr="003C032A">
        <w:rPr>
          <w:rFonts w:asciiTheme="minorBidi" w:hAnsiTheme="minorBidi" w:cstheme="minorBidi"/>
        </w:rPr>
        <w:t xml:space="preserve"> Приложения к настоящему документу. Срок подачи и процесс рассмотрения, описанные в разделе I.15 Оперативного руководства, останутся неизменными, как и запрашиваемая сумма, которая обычно составляет от 5000 до 10 000 долл. США. После утверждения поправки форма ICH-05 будет пересмотрена и обнародована после нынешней сессии Генеральной ассамблеи, чтобы государства-участники, не имеющие национального элемента, включенного в Репрезентативный список, могли запросить помощь в подготовке к следующему предельному сроку 31 марта 2025 года и в последующий период.</w:t>
      </w:r>
    </w:p>
    <w:bookmarkEnd w:id="3"/>
    <w:p w14:paraId="50D3EAFF" w14:textId="3A349EC1" w:rsidR="00D95C4C" w:rsidRPr="003C032A" w:rsidRDefault="005C792B" w:rsidP="005C792B">
      <w:pPr>
        <w:pStyle w:val="COMPara"/>
        <w:ind w:left="567" w:hanging="567"/>
        <w:rPr>
          <w:rFonts w:asciiTheme="minorBidi" w:hAnsiTheme="minorBidi" w:cstheme="minorBidi"/>
        </w:rPr>
      </w:pPr>
      <w:r w:rsidRPr="003C032A">
        <w:rPr>
          <w:rFonts w:asciiTheme="minorBidi" w:hAnsiTheme="minorBidi" w:cstheme="minorBidi"/>
        </w:rPr>
        <w:t>Генеральная ассамблея, возможно, пожелает принять следующую резолюцию:</w:t>
      </w:r>
    </w:p>
    <w:p w14:paraId="6CEB1E9D" w14:textId="63EF66D0" w:rsidR="00D95C4C" w:rsidRPr="003C032A" w:rsidRDefault="004A34A0" w:rsidP="001D14FE">
      <w:pPr>
        <w:pStyle w:val="COMTitleDecision"/>
        <w:rPr>
          <w:rFonts w:asciiTheme="minorBidi" w:eastAsia="SimSun" w:hAnsiTheme="minorBidi" w:cstheme="minorBidi"/>
        </w:rPr>
      </w:pPr>
      <w:r w:rsidRPr="003C032A">
        <w:rPr>
          <w:rFonts w:asciiTheme="minorBidi" w:hAnsiTheme="minorBidi" w:cstheme="minorBidi"/>
        </w:rPr>
        <w:t>ПРОЕКТ РЕЗОЛЮЦИИ 10.GA 7</w:t>
      </w:r>
    </w:p>
    <w:p w14:paraId="13024F0B" w14:textId="5181E164" w:rsidR="00D95C4C" w:rsidRPr="003C032A" w:rsidRDefault="005C792B" w:rsidP="00285BB4">
      <w:pPr>
        <w:pStyle w:val="COMPreambulaDecisions"/>
        <w:rPr>
          <w:rFonts w:asciiTheme="minorBidi" w:eastAsia="SimSun" w:hAnsiTheme="minorBidi" w:cstheme="minorBidi"/>
        </w:rPr>
      </w:pPr>
      <w:r w:rsidRPr="003C032A">
        <w:rPr>
          <w:rFonts w:asciiTheme="minorBidi" w:hAnsiTheme="minorBidi" w:cstheme="minorBidi"/>
        </w:rPr>
        <w:t>Генеральная ассамблея,</w:t>
      </w:r>
    </w:p>
    <w:p w14:paraId="5A9F22F3" w14:textId="4910D53A" w:rsidR="0057439C" w:rsidRPr="003C032A" w:rsidRDefault="00F07379" w:rsidP="004A2875">
      <w:pPr>
        <w:pStyle w:val="COMParaDecision"/>
        <w:rPr>
          <w:rFonts w:asciiTheme="minorBidi" w:hAnsiTheme="minorBidi" w:cstheme="minorBidi"/>
        </w:rPr>
      </w:pPr>
      <w:r w:rsidRPr="003C032A">
        <w:rPr>
          <w:rFonts w:asciiTheme="minorBidi" w:hAnsiTheme="minorBidi" w:cstheme="minorBidi"/>
          <w:lang w:val="fr-FR"/>
        </w:rPr>
        <w:t>P</w:t>
      </w:r>
      <w:proofErr w:type="spellStart"/>
      <w:r w:rsidR="00D95C4C" w:rsidRPr="003C032A">
        <w:rPr>
          <w:rFonts w:asciiTheme="minorBidi" w:hAnsiTheme="minorBidi" w:cstheme="minorBidi"/>
        </w:rPr>
        <w:t>ассмотрев</w:t>
      </w:r>
      <w:proofErr w:type="spellEnd"/>
      <w:r w:rsidR="00D95C4C" w:rsidRPr="003C032A">
        <w:rPr>
          <w:rFonts w:asciiTheme="minorBidi" w:hAnsiTheme="minorBidi" w:cstheme="minorBidi"/>
          <w:u w:val="none"/>
        </w:rPr>
        <w:t xml:space="preserve"> документ LHE/24/10.GA/7 с приложением,</w:t>
      </w:r>
    </w:p>
    <w:p w14:paraId="260CA8D5" w14:textId="5AC63D83" w:rsidR="0057439C" w:rsidRPr="003C032A" w:rsidRDefault="00F07379" w:rsidP="00954835">
      <w:pPr>
        <w:pStyle w:val="COMParaDecision"/>
        <w:rPr>
          <w:rFonts w:asciiTheme="minorBidi" w:hAnsiTheme="minorBidi" w:cstheme="minorBidi"/>
        </w:rPr>
      </w:pPr>
      <w:r w:rsidRPr="003C032A">
        <w:rPr>
          <w:rFonts w:asciiTheme="minorBidi" w:hAnsiTheme="minorBidi" w:cstheme="minorBidi"/>
          <w:lang w:val="fr-FR"/>
        </w:rPr>
        <w:t>H</w:t>
      </w:r>
      <w:proofErr w:type="spellStart"/>
      <w:r w:rsidR="00D3202B" w:rsidRPr="003C032A">
        <w:rPr>
          <w:rFonts w:asciiTheme="minorBidi" w:hAnsiTheme="minorBidi" w:cstheme="minorBidi"/>
        </w:rPr>
        <w:t>апоминая</w:t>
      </w:r>
      <w:proofErr w:type="spellEnd"/>
      <w:r w:rsidR="00D3202B" w:rsidRPr="003C032A">
        <w:rPr>
          <w:rFonts w:asciiTheme="minorBidi" w:hAnsiTheme="minorBidi" w:cstheme="minorBidi"/>
        </w:rPr>
        <w:t xml:space="preserve"> о</w:t>
      </w:r>
      <w:r w:rsidR="00D3202B" w:rsidRPr="003C032A">
        <w:rPr>
          <w:rFonts w:asciiTheme="minorBidi" w:hAnsiTheme="minorBidi" w:cstheme="minorBidi"/>
          <w:u w:val="none"/>
        </w:rPr>
        <w:t xml:space="preserve"> резолюции </w:t>
      </w:r>
      <w:hyperlink r:id="rId22" w:history="1">
        <w:r w:rsidR="00D3202B" w:rsidRPr="003C032A">
          <w:rPr>
            <w:rStyle w:val="Lienhypertexte"/>
            <w:rFonts w:asciiTheme="minorBidi" w:hAnsiTheme="minorBidi" w:cstheme="minorBidi"/>
          </w:rPr>
          <w:t>9.GA 9</w:t>
        </w:r>
      </w:hyperlink>
      <w:r w:rsidR="00D3202B" w:rsidRPr="003C032A">
        <w:rPr>
          <w:rFonts w:asciiTheme="minorBidi" w:hAnsiTheme="minorBidi" w:cstheme="minorBidi"/>
          <w:u w:val="none"/>
        </w:rPr>
        <w:t xml:space="preserve">, а также </w:t>
      </w:r>
      <w:r w:rsidR="006C5D70" w:rsidRPr="003C032A">
        <w:rPr>
          <w:rFonts w:asciiTheme="minorBidi" w:hAnsiTheme="minorBidi" w:cstheme="minorBidi"/>
          <w:u w:val="none"/>
        </w:rPr>
        <w:t>решения</w:t>
      </w:r>
      <w:r w:rsidR="00D3202B" w:rsidRPr="003C032A">
        <w:rPr>
          <w:rFonts w:asciiTheme="minorBidi" w:hAnsiTheme="minorBidi" w:cstheme="minorBidi"/>
          <w:u w:val="none"/>
        </w:rPr>
        <w:t xml:space="preserve"> </w:t>
      </w:r>
      <w:hyperlink r:id="rId23" w:history="1">
        <w:r w:rsidR="00D3202B" w:rsidRPr="003C032A">
          <w:rPr>
            <w:rStyle w:val="Lienhypertexte"/>
            <w:rFonts w:asciiTheme="minorBidi" w:hAnsiTheme="minorBidi" w:cstheme="minorBidi"/>
          </w:rPr>
          <w:t>16.COM 14</w:t>
        </w:r>
      </w:hyperlink>
      <w:r w:rsidR="00D3202B" w:rsidRPr="003C032A">
        <w:rPr>
          <w:rFonts w:asciiTheme="minorBidi" w:hAnsiTheme="minorBidi" w:cstheme="minorBidi"/>
          <w:u w:val="none"/>
        </w:rPr>
        <w:t xml:space="preserve">, </w:t>
      </w:r>
      <w:hyperlink r:id="rId24" w:history="1">
        <w:r w:rsidR="00D3202B" w:rsidRPr="003C032A">
          <w:rPr>
            <w:rStyle w:val="Lienhypertexte"/>
            <w:rFonts w:asciiTheme="minorBidi" w:hAnsiTheme="minorBidi" w:cstheme="minorBidi"/>
          </w:rPr>
          <w:t>17.COM 7</w:t>
        </w:r>
      </w:hyperlink>
      <w:r w:rsidR="00D3202B" w:rsidRPr="003C032A">
        <w:rPr>
          <w:rFonts w:asciiTheme="minorBidi" w:hAnsiTheme="minorBidi" w:cstheme="minorBidi"/>
          <w:u w:val="none"/>
        </w:rPr>
        <w:t xml:space="preserve">, </w:t>
      </w:r>
      <w:hyperlink r:id="rId25" w:history="1">
        <w:r w:rsidR="00D3202B" w:rsidRPr="003C032A">
          <w:rPr>
            <w:rStyle w:val="Lienhypertexte"/>
            <w:rFonts w:asciiTheme="minorBidi" w:hAnsiTheme="minorBidi" w:cstheme="minorBidi"/>
          </w:rPr>
          <w:t>18.COM 10</w:t>
        </w:r>
      </w:hyperlink>
      <w:r w:rsidR="00D3202B" w:rsidRPr="003C032A">
        <w:rPr>
          <w:rStyle w:val="Lienhypertexte"/>
          <w:rFonts w:asciiTheme="minorBidi" w:hAnsiTheme="minorBidi" w:cstheme="minorBidi"/>
          <w:u w:val="none"/>
        </w:rPr>
        <w:t xml:space="preserve"> </w:t>
      </w:r>
      <w:r w:rsidR="00D3202B" w:rsidRPr="003C032A">
        <w:rPr>
          <w:rFonts w:asciiTheme="minorBidi" w:hAnsiTheme="minorBidi" w:cstheme="minorBidi"/>
          <w:u w:val="none"/>
        </w:rPr>
        <w:t xml:space="preserve">и </w:t>
      </w:r>
      <w:hyperlink r:id="rId26" w:history="1">
        <w:r w:rsidR="00D3202B" w:rsidRPr="003C032A">
          <w:rPr>
            <w:rStyle w:val="Lienhypertexte"/>
            <w:rFonts w:asciiTheme="minorBidi" w:hAnsiTheme="minorBidi" w:cstheme="minorBidi"/>
          </w:rPr>
          <w:t>18.COM 11</w:t>
        </w:r>
      </w:hyperlink>
      <w:r w:rsidR="00D3202B" w:rsidRPr="003C032A">
        <w:rPr>
          <w:rStyle w:val="Lienhypertexte"/>
          <w:rFonts w:asciiTheme="minorBidi" w:hAnsiTheme="minorBidi" w:cstheme="minorBidi"/>
          <w:color w:val="auto"/>
          <w:u w:val="none"/>
        </w:rPr>
        <w:t>,</w:t>
      </w:r>
    </w:p>
    <w:p w14:paraId="61F026F1" w14:textId="232AC3A5" w:rsidR="003E5457" w:rsidRPr="003C032A" w:rsidRDefault="003E5457" w:rsidP="00293DF9">
      <w:pPr>
        <w:pStyle w:val="COMParaDecision"/>
        <w:keepNext/>
        <w:numPr>
          <w:ilvl w:val="0"/>
          <w:numId w:val="0"/>
        </w:numPr>
        <w:spacing w:before="240"/>
        <w:ind w:left="1134"/>
        <w:rPr>
          <w:rFonts w:asciiTheme="minorBidi" w:hAnsiTheme="minorBidi" w:cstheme="minorBidi"/>
          <w:b/>
          <w:bCs/>
          <w:u w:val="none"/>
        </w:rPr>
      </w:pPr>
      <w:r w:rsidRPr="003C032A">
        <w:rPr>
          <w:rFonts w:asciiTheme="minorBidi" w:hAnsiTheme="minorBidi" w:cstheme="minorBidi"/>
          <w:b/>
          <w:u w:val="none"/>
        </w:rPr>
        <w:t>Реестр передового опыта по сохранению нематериального культурного наследия</w:t>
      </w:r>
    </w:p>
    <w:p w14:paraId="25B87CDB" w14:textId="67C159A6" w:rsidR="000B6FE4" w:rsidRPr="003C032A" w:rsidRDefault="00F07379" w:rsidP="00293DF9">
      <w:pPr>
        <w:pStyle w:val="COMParaDecision"/>
        <w:keepNext/>
        <w:rPr>
          <w:rFonts w:asciiTheme="minorBidi" w:hAnsiTheme="minorBidi" w:cstheme="minorBidi"/>
        </w:rPr>
      </w:pPr>
      <w:r w:rsidRPr="003C032A">
        <w:rPr>
          <w:rFonts w:asciiTheme="minorBidi" w:hAnsiTheme="minorBidi" w:cstheme="minorBidi"/>
        </w:rPr>
        <w:t>П</w:t>
      </w:r>
      <w:r w:rsidR="000B6FE4" w:rsidRPr="003C032A">
        <w:rPr>
          <w:rFonts w:asciiTheme="minorBidi" w:hAnsiTheme="minorBidi" w:cstheme="minorBidi"/>
        </w:rPr>
        <w:t>ринимает к сведению</w:t>
      </w:r>
      <w:r w:rsidR="000B6FE4" w:rsidRPr="003C032A">
        <w:rPr>
          <w:rFonts w:asciiTheme="minorBidi" w:hAnsiTheme="minorBidi" w:cstheme="minorBidi"/>
          <w:u w:val="none"/>
        </w:rPr>
        <w:t xml:space="preserve"> предложенные поправки к Оперативному руководству, касающиеся критериев отбора в Реестр передового опыта по сохранению нематериального культурного наследия, одобренные на восемнадцатой сессии Комитета и основанные на рекомендациях межправительственной рабочей группы открытого состава;</w:t>
      </w:r>
    </w:p>
    <w:p w14:paraId="7B022736" w14:textId="07C89CF7" w:rsidR="000B6FE4" w:rsidRPr="003C032A" w:rsidRDefault="00F07379" w:rsidP="00954835">
      <w:pPr>
        <w:pStyle w:val="COMParaDecision"/>
        <w:rPr>
          <w:rFonts w:asciiTheme="minorBidi" w:hAnsiTheme="minorBidi" w:cstheme="minorBidi"/>
        </w:rPr>
      </w:pPr>
      <w:r w:rsidRPr="003C032A">
        <w:rPr>
          <w:rFonts w:asciiTheme="minorBidi" w:hAnsiTheme="minorBidi" w:cstheme="minorBidi"/>
        </w:rPr>
        <w:t>Б</w:t>
      </w:r>
      <w:r w:rsidR="000B6FE4" w:rsidRPr="003C032A">
        <w:rPr>
          <w:rFonts w:asciiTheme="minorBidi" w:hAnsiTheme="minorBidi" w:cstheme="minorBidi"/>
        </w:rPr>
        <w:t>лагодарит</w:t>
      </w:r>
      <w:r w:rsidR="000B6FE4" w:rsidRPr="003C032A">
        <w:rPr>
          <w:rFonts w:asciiTheme="minorBidi" w:hAnsiTheme="minorBidi" w:cstheme="minorBidi"/>
          <w:u w:val="none"/>
        </w:rPr>
        <w:t xml:space="preserve"> Швецию за поддержку анализа более широкого осуществления статьи 18 Конвенции;</w:t>
      </w:r>
    </w:p>
    <w:p w14:paraId="7EFF2009" w14:textId="424D2DD5" w:rsidR="007B6D03" w:rsidRPr="003C032A" w:rsidRDefault="00F07379" w:rsidP="007B6D03">
      <w:pPr>
        <w:pStyle w:val="COMParaDecision"/>
        <w:rPr>
          <w:rFonts w:asciiTheme="minorBidi" w:hAnsiTheme="minorBidi" w:cstheme="minorBidi"/>
          <w:u w:val="none"/>
        </w:rPr>
      </w:pPr>
      <w:r w:rsidRPr="003C032A">
        <w:rPr>
          <w:rFonts w:asciiTheme="minorBidi" w:hAnsiTheme="minorBidi" w:cstheme="minorBidi"/>
          <w:lang w:val="fr-FR"/>
        </w:rPr>
        <w:t>B</w:t>
      </w:r>
      <w:proofErr w:type="spellStart"/>
      <w:r w:rsidR="007B6D03" w:rsidRPr="003C032A">
        <w:rPr>
          <w:rFonts w:asciiTheme="minorBidi" w:hAnsiTheme="minorBidi" w:cstheme="minorBidi"/>
        </w:rPr>
        <w:t>ыражает</w:t>
      </w:r>
      <w:proofErr w:type="spellEnd"/>
      <w:r w:rsidR="007B6D03" w:rsidRPr="003C032A">
        <w:rPr>
          <w:rFonts w:asciiTheme="minorBidi" w:hAnsiTheme="minorBidi" w:cstheme="minorBidi"/>
        </w:rPr>
        <w:t xml:space="preserve"> признательность</w:t>
      </w:r>
      <w:r w:rsidR="007B6D03" w:rsidRPr="003C032A">
        <w:rPr>
          <w:rFonts w:asciiTheme="minorBidi" w:hAnsiTheme="minorBidi" w:cstheme="minorBidi"/>
          <w:u w:val="none"/>
        </w:rPr>
        <w:t xml:space="preserve"> межправительственной рабочей группе открытого состава и экспертам, принявшим участие в консультациях, за их работу и анализ того, как улучшить доступ к Реестру передового опыта по сохранению нематериального культурного наследия и повысить его видимость;</w:t>
      </w:r>
    </w:p>
    <w:p w14:paraId="45ED87D3" w14:textId="39517412" w:rsidR="0073772F" w:rsidRPr="003C032A" w:rsidRDefault="00F07379" w:rsidP="0073772F">
      <w:pPr>
        <w:pStyle w:val="COMParaDecision"/>
        <w:rPr>
          <w:rFonts w:asciiTheme="minorBidi" w:hAnsiTheme="minorBidi" w:cstheme="minorBidi"/>
        </w:rPr>
      </w:pPr>
      <w:r w:rsidRPr="003C032A">
        <w:rPr>
          <w:rFonts w:asciiTheme="minorBidi" w:hAnsiTheme="minorBidi" w:cstheme="minorBidi"/>
          <w:lang w:val="fr-FR"/>
        </w:rPr>
        <w:t>O</w:t>
      </w:r>
      <w:proofErr w:type="spellStart"/>
      <w:r w:rsidR="0073772F" w:rsidRPr="003C032A">
        <w:rPr>
          <w:rFonts w:asciiTheme="minorBidi" w:hAnsiTheme="minorBidi" w:cstheme="minorBidi"/>
        </w:rPr>
        <w:t>добряет</w:t>
      </w:r>
      <w:proofErr w:type="spellEnd"/>
      <w:r w:rsidR="0073772F" w:rsidRPr="003C032A">
        <w:rPr>
          <w:rFonts w:asciiTheme="minorBidi" w:hAnsiTheme="minorBidi" w:cstheme="minorBidi"/>
          <w:u w:val="none"/>
        </w:rPr>
        <w:t xml:space="preserve"> поправки к Оперативному руководству, содержащиеся в разделе I приложения к настоящей резолюции;</w:t>
      </w:r>
    </w:p>
    <w:p w14:paraId="34926A55" w14:textId="6A630D72" w:rsidR="003E5457" w:rsidRPr="003C032A" w:rsidRDefault="003E5457" w:rsidP="00573ED2">
      <w:pPr>
        <w:pStyle w:val="COMParaDecision"/>
        <w:numPr>
          <w:ilvl w:val="0"/>
          <w:numId w:val="0"/>
        </w:numPr>
        <w:spacing w:before="240"/>
        <w:ind w:left="1134"/>
        <w:rPr>
          <w:rFonts w:asciiTheme="minorBidi" w:hAnsiTheme="minorBidi" w:cstheme="minorBidi"/>
          <w:b/>
          <w:bCs/>
          <w:u w:val="none"/>
        </w:rPr>
      </w:pPr>
      <w:r w:rsidRPr="003C032A">
        <w:rPr>
          <w:rFonts w:asciiTheme="minorBidi" w:hAnsiTheme="minorBidi" w:cstheme="minorBidi"/>
          <w:b/>
          <w:u w:val="none"/>
        </w:rPr>
        <w:t>Международная помощь</w:t>
      </w:r>
    </w:p>
    <w:p w14:paraId="20ED9DFF" w14:textId="630D5926" w:rsidR="00AD50A7" w:rsidRPr="003C032A" w:rsidRDefault="00F07379" w:rsidP="00381294">
      <w:pPr>
        <w:pStyle w:val="COMParaDecision"/>
        <w:rPr>
          <w:rFonts w:asciiTheme="minorBidi" w:hAnsiTheme="minorBidi" w:cstheme="minorBidi"/>
          <w:u w:val="none"/>
        </w:rPr>
      </w:pPr>
      <w:r w:rsidRPr="003C032A">
        <w:rPr>
          <w:rFonts w:asciiTheme="minorBidi" w:hAnsiTheme="minorBidi" w:cstheme="minorBidi"/>
        </w:rPr>
        <w:t>П</w:t>
      </w:r>
      <w:r w:rsidR="003E5457" w:rsidRPr="003C032A">
        <w:rPr>
          <w:rFonts w:asciiTheme="minorBidi" w:hAnsiTheme="minorBidi" w:cstheme="minorBidi"/>
        </w:rPr>
        <w:t>ринимает к сведению</w:t>
      </w:r>
      <w:r w:rsidR="003E5457" w:rsidRPr="003C032A">
        <w:rPr>
          <w:rFonts w:asciiTheme="minorBidi" w:hAnsiTheme="minorBidi" w:cstheme="minorBidi"/>
          <w:u w:val="none"/>
        </w:rPr>
        <w:t xml:space="preserve"> предложенные поправки к Оперативному руководству по расширению сферы охвата международной помощи в подготовке досье, одобренные на восемнадцатой сессии Комитета;</w:t>
      </w:r>
    </w:p>
    <w:p w14:paraId="3AF68D50" w14:textId="1221F5DA" w:rsidR="00381294" w:rsidRPr="003C032A" w:rsidRDefault="00F07379" w:rsidP="00381294">
      <w:pPr>
        <w:pStyle w:val="COMParaDecision"/>
        <w:rPr>
          <w:rFonts w:asciiTheme="minorBidi" w:hAnsiTheme="minorBidi" w:cstheme="minorBidi"/>
          <w:u w:val="none"/>
        </w:rPr>
      </w:pPr>
      <w:r w:rsidRPr="003C032A">
        <w:rPr>
          <w:rFonts w:asciiTheme="minorBidi" w:hAnsiTheme="minorBidi" w:cstheme="minorBidi"/>
        </w:rPr>
        <w:t>П</w:t>
      </w:r>
      <w:r w:rsidR="0073772F" w:rsidRPr="003C032A">
        <w:rPr>
          <w:rFonts w:asciiTheme="minorBidi" w:hAnsiTheme="minorBidi" w:cstheme="minorBidi"/>
        </w:rPr>
        <w:t>ризывает</w:t>
      </w:r>
      <w:r w:rsidR="0073772F" w:rsidRPr="003C032A">
        <w:rPr>
          <w:rFonts w:asciiTheme="minorBidi" w:hAnsiTheme="minorBidi" w:cstheme="minorBidi"/>
          <w:u w:val="none"/>
        </w:rPr>
        <w:t xml:space="preserve"> удовлетворяющие требованиям </w:t>
      </w:r>
      <w:r w:rsidR="0073772F" w:rsidRPr="003C032A">
        <w:rPr>
          <w:rStyle w:val="Aucun"/>
          <w:rFonts w:asciiTheme="minorBidi" w:hAnsiTheme="minorBidi" w:cstheme="minorBidi"/>
          <w:u w:val="none"/>
        </w:rPr>
        <w:t>государства-участники</w:t>
      </w:r>
      <w:r w:rsidR="0073772F" w:rsidRPr="003C032A">
        <w:rPr>
          <w:rFonts w:asciiTheme="minorBidi" w:hAnsiTheme="minorBidi" w:cstheme="minorBidi"/>
          <w:u w:val="none"/>
        </w:rPr>
        <w:t xml:space="preserve">, не имеющие национального элемента, включенного в списки Конвенции, обращаться в Фонд за помощью в подготовке их первого национального номинационного досье в Репрезентативный список нематериального культурного наследия человечества, </w:t>
      </w:r>
      <w:r w:rsidR="0073772F" w:rsidRPr="003C032A">
        <w:rPr>
          <w:rStyle w:val="Aucun"/>
          <w:rFonts w:asciiTheme="minorBidi" w:hAnsiTheme="minorBidi" w:cstheme="minorBidi"/>
          <w:u w:val="none"/>
        </w:rPr>
        <w:t>учитывая следующий крайний срок</w:t>
      </w:r>
      <w:r w:rsidR="0073772F" w:rsidRPr="003C032A">
        <w:rPr>
          <w:rFonts w:asciiTheme="minorBidi" w:hAnsiTheme="minorBidi" w:cstheme="minorBidi"/>
          <w:u w:val="none"/>
        </w:rPr>
        <w:t xml:space="preserve"> 31 марта 2025 г. и последующие годы;</w:t>
      </w:r>
    </w:p>
    <w:p w14:paraId="1EAB2934" w14:textId="5139CE7B" w:rsidR="00014915" w:rsidRPr="003C032A" w:rsidRDefault="00F07379" w:rsidP="00A66747">
      <w:pPr>
        <w:pStyle w:val="COMParaDecision"/>
        <w:rPr>
          <w:rFonts w:asciiTheme="minorBidi" w:hAnsiTheme="minorBidi" w:cstheme="minorBidi"/>
        </w:rPr>
      </w:pPr>
      <w:r w:rsidRPr="003C032A">
        <w:rPr>
          <w:rFonts w:asciiTheme="minorBidi" w:hAnsiTheme="minorBidi" w:cstheme="minorBidi"/>
          <w:lang w:val="fr-FR"/>
        </w:rPr>
        <w:lastRenderedPageBreak/>
        <w:t>Y</w:t>
      </w:r>
      <w:proofErr w:type="spellStart"/>
      <w:r w:rsidR="00807F3A" w:rsidRPr="003C032A">
        <w:rPr>
          <w:rFonts w:asciiTheme="minorBidi" w:hAnsiTheme="minorBidi" w:cstheme="minorBidi"/>
        </w:rPr>
        <w:t>тверждает</w:t>
      </w:r>
      <w:proofErr w:type="spellEnd"/>
      <w:r w:rsidR="00807F3A" w:rsidRPr="003C032A">
        <w:rPr>
          <w:rFonts w:asciiTheme="minorBidi" w:hAnsiTheme="minorBidi" w:cstheme="minorBidi"/>
          <w:u w:val="none"/>
        </w:rPr>
        <w:t xml:space="preserve"> поправки к Оперативному руководству, содержащиеся в разделе II приложения к настоящей резолюции.</w:t>
      </w:r>
    </w:p>
    <w:p w14:paraId="772F8E42" w14:textId="4E2EF8F7" w:rsidR="007B6D03" w:rsidRPr="000631F9" w:rsidRDefault="00937D53" w:rsidP="002E0E56">
      <w:pPr>
        <w:rPr>
          <w:rFonts w:ascii="Arial" w:eastAsia="SimSun" w:hAnsi="Arial" w:cs="Arial"/>
          <w:sz w:val="22"/>
          <w:szCs w:val="22"/>
          <w:u w:val="single"/>
        </w:rPr>
        <w:sectPr w:rsidR="007B6D03" w:rsidRPr="000631F9" w:rsidSect="00B33004">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r>
        <w:br w:type="page"/>
      </w:r>
    </w:p>
    <w:p w14:paraId="127301B9" w14:textId="77777777" w:rsidR="00907749" w:rsidRPr="00907749" w:rsidRDefault="00907749" w:rsidP="00907749">
      <w:pPr>
        <w:spacing w:after="160" w:line="259" w:lineRule="auto"/>
        <w:jc w:val="center"/>
        <w:rPr>
          <w:rFonts w:ascii="Arial" w:eastAsia="DengXian" w:hAnsi="Arial" w:cs="Arial"/>
          <w:b/>
          <w:bCs/>
          <w:kern w:val="2"/>
          <w:sz w:val="22"/>
          <w:szCs w:val="22"/>
          <w:lang w:eastAsia="zh-CN"/>
          <w14:ligatures w14:val="standardContextual"/>
        </w:rPr>
      </w:pPr>
      <w:r w:rsidRPr="00907749">
        <w:rPr>
          <w:rFonts w:ascii="Arial" w:eastAsia="DengXian" w:hAnsi="Arial" w:cs="Arial"/>
          <w:b/>
          <w:kern w:val="2"/>
          <w:sz w:val="22"/>
          <w:szCs w:val="22"/>
          <w:lang w:eastAsia="zh-CN"/>
          <w14:ligatures w14:val="standardContextual"/>
        </w:rPr>
        <w:lastRenderedPageBreak/>
        <w:t>ПРИЛОЖЕНИЕ</w:t>
      </w:r>
    </w:p>
    <w:p w14:paraId="6115E495" w14:textId="77777777" w:rsidR="00907749" w:rsidRPr="00907749" w:rsidRDefault="00907749" w:rsidP="00907749">
      <w:pPr>
        <w:spacing w:after="160" w:line="259" w:lineRule="auto"/>
        <w:jc w:val="center"/>
        <w:rPr>
          <w:rFonts w:ascii="Arial" w:eastAsia="DengXian" w:hAnsi="Arial" w:cs="Arial"/>
          <w:b/>
          <w:bCs/>
          <w:kern w:val="2"/>
          <w:sz w:val="22"/>
          <w:szCs w:val="22"/>
          <w:lang w:eastAsia="zh-CN"/>
          <w14:ligatures w14:val="standardContextual"/>
        </w:rPr>
      </w:pPr>
      <w:r w:rsidRPr="00907749">
        <w:rPr>
          <w:rFonts w:ascii="Arial" w:eastAsia="DengXian" w:hAnsi="Arial" w:cs="Arial"/>
          <w:b/>
          <w:kern w:val="2"/>
          <w:sz w:val="22"/>
          <w:szCs w:val="22"/>
          <w:lang w:eastAsia="zh-CN"/>
          <w14:ligatures w14:val="standardContextual"/>
        </w:rPr>
        <w:t>Предлагаемые поправки к Оперативному руководству по осуществлению Конвенции</w:t>
      </w:r>
    </w:p>
    <w:p w14:paraId="1FEF01D2" w14:textId="77777777" w:rsidR="00907749" w:rsidRPr="00907749" w:rsidRDefault="00907749" w:rsidP="00907749">
      <w:pPr>
        <w:numPr>
          <w:ilvl w:val="0"/>
          <w:numId w:val="42"/>
        </w:numPr>
        <w:spacing w:after="160" w:line="259" w:lineRule="auto"/>
        <w:contextualSpacing/>
        <w:jc w:val="both"/>
        <w:rPr>
          <w:rFonts w:ascii="Arial" w:eastAsia="DengXian" w:hAnsi="Arial" w:cs="Arial"/>
          <w:snapToGrid w:val="0"/>
          <w:sz w:val="22"/>
          <w:szCs w:val="22"/>
          <w:u w:val="single"/>
          <w:lang w:eastAsia="en-US"/>
        </w:rPr>
      </w:pPr>
      <w:bookmarkStart w:id="4" w:name="разделI"/>
      <w:r w:rsidRPr="00907749">
        <w:rPr>
          <w:rFonts w:ascii="Arial" w:eastAsia="DengXian" w:hAnsi="Arial" w:cs="Arial"/>
          <w:b/>
          <w:bCs/>
          <w:kern w:val="2"/>
          <w:sz w:val="22"/>
          <w:szCs w:val="22"/>
          <w:u w:val="single"/>
          <w:lang w:eastAsia="zh-CN"/>
          <w14:ligatures w14:val="standardContextual"/>
        </w:rPr>
        <w:t>Критерии отбора программ, проектов и мероприятий, которые наилучшим образом отражают принципы и цели Конвенции</w:t>
      </w:r>
    </w:p>
    <w:tbl>
      <w:tblPr>
        <w:tblStyle w:val="Grilledutableau2"/>
        <w:tblW w:w="14312" w:type="dxa"/>
        <w:tblLayout w:type="fixed"/>
        <w:tblLook w:val="04A0" w:firstRow="1" w:lastRow="0" w:firstColumn="1" w:lastColumn="0" w:noHBand="0" w:noVBand="1"/>
      </w:tblPr>
      <w:tblGrid>
        <w:gridCol w:w="562"/>
        <w:gridCol w:w="6521"/>
        <w:gridCol w:w="567"/>
        <w:gridCol w:w="6662"/>
      </w:tblGrid>
      <w:tr w:rsidR="00907749" w:rsidRPr="00907749" w14:paraId="68316509" w14:textId="77777777" w:rsidTr="00907749">
        <w:tc>
          <w:tcPr>
            <w:tcW w:w="7083" w:type="dxa"/>
            <w:gridSpan w:val="2"/>
            <w:shd w:val="clear" w:color="auto" w:fill="D9E2F3"/>
          </w:tcPr>
          <w:bookmarkEnd w:id="4"/>
          <w:p w14:paraId="2F259907" w14:textId="77777777" w:rsidR="00907749" w:rsidRPr="00907749" w:rsidRDefault="00907749" w:rsidP="00907749">
            <w:pPr>
              <w:spacing w:before="120" w:after="120"/>
              <w:jc w:val="center"/>
              <w:rPr>
                <w:rFonts w:ascii="Arial" w:eastAsia="Yu Mincho" w:hAnsi="Arial"/>
                <w:b/>
                <w:bCs/>
                <w:sz w:val="22"/>
                <w:szCs w:val="22"/>
              </w:rPr>
            </w:pPr>
            <w:r w:rsidRPr="00907749">
              <w:rPr>
                <w:rFonts w:ascii="Arial" w:eastAsia="Yu Mincho" w:hAnsi="Arial"/>
                <w:b/>
                <w:sz w:val="22"/>
                <w:szCs w:val="22"/>
              </w:rPr>
              <w:t>Оперативное руководство (издание 2022 года)</w:t>
            </w:r>
          </w:p>
        </w:tc>
        <w:tc>
          <w:tcPr>
            <w:tcW w:w="7229" w:type="dxa"/>
            <w:gridSpan w:val="2"/>
            <w:shd w:val="clear" w:color="auto" w:fill="8EAADB"/>
          </w:tcPr>
          <w:p w14:paraId="506C5CD0" w14:textId="77777777" w:rsidR="00907749" w:rsidRPr="00907749" w:rsidRDefault="00907749" w:rsidP="00907749">
            <w:pPr>
              <w:spacing w:before="120" w:after="120"/>
              <w:jc w:val="center"/>
              <w:rPr>
                <w:rFonts w:ascii="Arial" w:eastAsia="Yu Mincho" w:hAnsi="Arial"/>
                <w:b/>
                <w:bCs/>
                <w:sz w:val="22"/>
                <w:szCs w:val="22"/>
              </w:rPr>
            </w:pPr>
            <w:r w:rsidRPr="00907749">
              <w:rPr>
                <w:rFonts w:ascii="Arial" w:eastAsia="Yu Mincho" w:hAnsi="Arial"/>
                <w:b/>
                <w:sz w:val="22"/>
                <w:szCs w:val="22"/>
              </w:rPr>
              <w:t>Предлагаемые поправки</w:t>
            </w:r>
          </w:p>
        </w:tc>
      </w:tr>
      <w:tr w:rsidR="00907749" w:rsidRPr="00907749" w14:paraId="338275CC" w14:textId="77777777" w:rsidTr="009A4111">
        <w:tc>
          <w:tcPr>
            <w:tcW w:w="562" w:type="dxa"/>
            <w:shd w:val="clear" w:color="auto" w:fill="F2F2F2"/>
          </w:tcPr>
          <w:p w14:paraId="49FE036E" w14:textId="77777777" w:rsidR="00907749" w:rsidRPr="00907749" w:rsidRDefault="00907749" w:rsidP="00907749">
            <w:pPr>
              <w:keepNext/>
              <w:keepLines/>
              <w:spacing w:before="120" w:after="120"/>
              <w:rPr>
                <w:rFonts w:ascii="Arial" w:eastAsia="Yu Mincho" w:hAnsi="Arial"/>
                <w:b/>
                <w:bCs/>
                <w:color w:val="1F4E79"/>
                <w:sz w:val="22"/>
                <w:szCs w:val="22"/>
              </w:rPr>
            </w:pPr>
            <w:r w:rsidRPr="00907749">
              <w:rPr>
                <w:rFonts w:ascii="Arial" w:eastAsia="Yu Mincho" w:hAnsi="Arial"/>
                <w:b/>
                <w:color w:val="1F4E79"/>
                <w:sz w:val="22"/>
                <w:szCs w:val="22"/>
              </w:rPr>
              <w:t>I.3</w:t>
            </w:r>
          </w:p>
        </w:tc>
        <w:tc>
          <w:tcPr>
            <w:tcW w:w="6521" w:type="dxa"/>
            <w:shd w:val="clear" w:color="auto" w:fill="F2F2F2"/>
          </w:tcPr>
          <w:p w14:paraId="30D661C9" w14:textId="77777777" w:rsidR="00907749" w:rsidRPr="00907749" w:rsidRDefault="00907749" w:rsidP="00907749">
            <w:pPr>
              <w:keepNext/>
              <w:keepLines/>
              <w:spacing w:before="120" w:after="120"/>
              <w:rPr>
                <w:rFonts w:ascii="Arial" w:eastAsia="Yu Mincho" w:hAnsi="Arial"/>
                <w:b/>
                <w:bCs/>
                <w:color w:val="1F4E79"/>
                <w:sz w:val="22"/>
                <w:szCs w:val="22"/>
              </w:rPr>
            </w:pPr>
            <w:r w:rsidRPr="00907749">
              <w:rPr>
                <w:rFonts w:ascii="Arial" w:eastAsia="Yu Mincho" w:hAnsi="Arial"/>
                <w:b/>
                <w:color w:val="1F4E79"/>
                <w:sz w:val="22"/>
                <w:szCs w:val="22"/>
              </w:rPr>
              <w:t>Критерии отбора программ, проектов и мероприятий, которые наилучшим образом отражают принципы и цели Конвенции</w:t>
            </w:r>
          </w:p>
        </w:tc>
        <w:tc>
          <w:tcPr>
            <w:tcW w:w="567" w:type="dxa"/>
            <w:shd w:val="clear" w:color="auto" w:fill="F2F2F2"/>
          </w:tcPr>
          <w:p w14:paraId="2B723928" w14:textId="77777777" w:rsidR="00907749" w:rsidRPr="00907749" w:rsidRDefault="00907749" w:rsidP="00907749">
            <w:pPr>
              <w:keepNext/>
              <w:keepLines/>
              <w:spacing w:before="120" w:after="120"/>
              <w:rPr>
                <w:rFonts w:ascii="Arial" w:eastAsia="Yu Mincho" w:hAnsi="Arial"/>
                <w:b/>
                <w:bCs/>
                <w:sz w:val="22"/>
                <w:szCs w:val="22"/>
              </w:rPr>
            </w:pPr>
            <w:r w:rsidRPr="00907749">
              <w:rPr>
                <w:rFonts w:ascii="Arial" w:eastAsia="Yu Mincho" w:hAnsi="Arial"/>
                <w:b/>
                <w:color w:val="1F4E79"/>
                <w:sz w:val="22"/>
                <w:szCs w:val="22"/>
              </w:rPr>
              <w:t>I.3</w:t>
            </w:r>
          </w:p>
        </w:tc>
        <w:tc>
          <w:tcPr>
            <w:tcW w:w="6662" w:type="dxa"/>
            <w:shd w:val="clear" w:color="auto" w:fill="F2F2F2"/>
          </w:tcPr>
          <w:p w14:paraId="580784E7" w14:textId="77777777" w:rsidR="00907749" w:rsidRPr="00907749" w:rsidRDefault="00907749" w:rsidP="00907749">
            <w:pPr>
              <w:keepNext/>
              <w:keepLines/>
              <w:spacing w:before="120" w:after="120"/>
              <w:rPr>
                <w:rFonts w:ascii="Arial" w:eastAsia="Yu Mincho" w:hAnsi="Arial"/>
                <w:sz w:val="22"/>
                <w:szCs w:val="22"/>
              </w:rPr>
            </w:pPr>
            <w:r w:rsidRPr="00907749">
              <w:rPr>
                <w:rFonts w:ascii="Arial" w:hAnsi="Arial"/>
                <w:sz w:val="22"/>
                <w:szCs w:val="20"/>
              </w:rPr>
              <w:t>[Без изменений]</w:t>
            </w:r>
          </w:p>
        </w:tc>
      </w:tr>
      <w:tr w:rsidR="00907749" w:rsidRPr="00907749" w14:paraId="11AA59C8" w14:textId="77777777" w:rsidTr="009A4111">
        <w:tc>
          <w:tcPr>
            <w:tcW w:w="562" w:type="dxa"/>
          </w:tcPr>
          <w:p w14:paraId="2EEDF1D2" w14:textId="77777777" w:rsidR="00907749" w:rsidRPr="00907749" w:rsidRDefault="00907749" w:rsidP="00907749">
            <w:pPr>
              <w:spacing w:before="60" w:after="60"/>
              <w:rPr>
                <w:rFonts w:ascii="Arial" w:eastAsia="Yu Mincho" w:hAnsi="Arial"/>
                <w:sz w:val="22"/>
                <w:szCs w:val="22"/>
              </w:rPr>
            </w:pPr>
            <w:r w:rsidRPr="00907749">
              <w:rPr>
                <w:rFonts w:ascii="Arial" w:eastAsia="Yu Mincho" w:hAnsi="Arial"/>
                <w:sz w:val="22"/>
                <w:szCs w:val="22"/>
              </w:rPr>
              <w:t>7.</w:t>
            </w:r>
          </w:p>
        </w:tc>
        <w:tc>
          <w:tcPr>
            <w:tcW w:w="6521" w:type="dxa"/>
          </w:tcPr>
          <w:p w14:paraId="7962CF8A"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Из числа предложенных ему программ, проектов или мероприятий Комитет отбирает те, которые наилучшим образом отвечают всем следующим критериям:</w:t>
            </w:r>
          </w:p>
          <w:p w14:paraId="5EC0E18F"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P.1 Программа, проект или мероприятие предполагают обеспечение охраны, как она определена в статье 2.3 Конвенции.</w:t>
            </w:r>
          </w:p>
          <w:p w14:paraId="289A11AD"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P.2 Программа, проект или мероприятие содействуют координации усилий по охране нематериального культурного наследия на региональном, субрегиональном и/или международном уровнях. </w:t>
            </w:r>
          </w:p>
          <w:p w14:paraId="39A4F4D0"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P.3 Программа, проект или мероприятие отражают принципы и цели Конвенции. </w:t>
            </w:r>
          </w:p>
          <w:p w14:paraId="085096AC"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P.4 Программа, проект или мероприятие доказали свою эффективность в содействии обеспечению жизнеспособности соответствующего нематериального культурного наследия. </w:t>
            </w:r>
          </w:p>
          <w:p w14:paraId="16B1066D"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P.5 Программа, проект или мероприятие осуществляются или осуществлены с участием заинтересованных сообщества, группы или, в соответствующих случаях, отдельных лиц и с их свободного, предварительного и информированного согласия. </w:t>
            </w:r>
          </w:p>
          <w:p w14:paraId="20503115"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P.6 Программа, проект или мероприятие могут служить </w:t>
            </w:r>
            <w:r w:rsidRPr="00907749">
              <w:rPr>
                <w:rFonts w:ascii="Arial" w:eastAsia="Yu Mincho" w:hAnsi="Arial"/>
                <w:color w:val="231F20"/>
                <w:sz w:val="22"/>
                <w:szCs w:val="22"/>
              </w:rPr>
              <w:lastRenderedPageBreak/>
              <w:t xml:space="preserve">субрегиональным, региональным или международным примером, в зависимости от каждого случая, осуществления мероприятий по охране. </w:t>
            </w:r>
          </w:p>
          <w:p w14:paraId="3F77AFEC"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 xml:space="preserve">P.7 Вносящее (вносящие) предложение (предложения) государство-участник (государства-участники), исполнительные органы, а также заинтересованные сообщества, группы или, в соответствующих случаях, отдельные лица готовы сотрудничать в распространении примеров передовой практики, если будут отобраны их программа, проект или мероприятие. </w:t>
            </w:r>
          </w:p>
          <w:p w14:paraId="6DA4BA89"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color w:val="231F20"/>
                <w:sz w:val="22"/>
                <w:szCs w:val="22"/>
              </w:rPr>
              <w:t>P.8 Программа, проект или мероприятие включают в себя деятельность, результаты которой можно оценить.</w:t>
            </w:r>
          </w:p>
        </w:tc>
        <w:tc>
          <w:tcPr>
            <w:tcW w:w="567" w:type="dxa"/>
          </w:tcPr>
          <w:p w14:paraId="639516C0" w14:textId="77777777" w:rsidR="00907749" w:rsidRPr="00907749" w:rsidRDefault="00907749" w:rsidP="00907749">
            <w:pPr>
              <w:spacing w:before="60" w:after="60"/>
              <w:rPr>
                <w:rFonts w:ascii="Arial" w:eastAsia="Yu Mincho" w:hAnsi="Arial"/>
                <w:sz w:val="22"/>
                <w:szCs w:val="22"/>
              </w:rPr>
            </w:pPr>
            <w:r w:rsidRPr="00907749">
              <w:rPr>
                <w:rFonts w:ascii="Arial" w:eastAsia="Yu Mincho" w:hAnsi="Arial"/>
                <w:sz w:val="22"/>
                <w:szCs w:val="22"/>
              </w:rPr>
              <w:lastRenderedPageBreak/>
              <w:t>7.</w:t>
            </w:r>
          </w:p>
        </w:tc>
        <w:tc>
          <w:tcPr>
            <w:tcW w:w="6662" w:type="dxa"/>
          </w:tcPr>
          <w:p w14:paraId="69969CB0" w14:textId="77777777" w:rsidR="00907749" w:rsidRPr="00907749" w:rsidRDefault="00907749" w:rsidP="00907749">
            <w:pPr>
              <w:spacing w:before="60" w:after="60"/>
              <w:rPr>
                <w:rFonts w:ascii="Arial" w:eastAsia="Calibri" w:hAnsi="Arial"/>
                <w:color w:val="231F20"/>
                <w:sz w:val="22"/>
                <w:szCs w:val="22"/>
              </w:rPr>
            </w:pPr>
            <w:r w:rsidRPr="00907749">
              <w:rPr>
                <w:rFonts w:ascii="Arial" w:eastAsia="Yu Mincho" w:hAnsi="Arial"/>
                <w:color w:val="231F20"/>
                <w:sz w:val="22"/>
                <w:szCs w:val="22"/>
              </w:rPr>
              <w:t xml:space="preserve">Из числа предложенных программ, проектов или мероприятий Комитет отбирает те, которые </w:t>
            </w:r>
            <w:r w:rsidRPr="00907749">
              <w:rPr>
                <w:rFonts w:ascii="Arial" w:eastAsia="Yu Mincho" w:hAnsi="Arial"/>
                <w:strike/>
                <w:color w:val="231F20"/>
                <w:sz w:val="22"/>
                <w:szCs w:val="22"/>
              </w:rPr>
              <w:t>наилучшим образом</w:t>
            </w:r>
            <w:r w:rsidRPr="00907749">
              <w:rPr>
                <w:rFonts w:ascii="Arial" w:eastAsia="Yu Mincho" w:hAnsi="Arial"/>
                <w:color w:val="231F20"/>
                <w:sz w:val="22"/>
                <w:szCs w:val="22"/>
              </w:rPr>
              <w:t xml:space="preserve"> отвечают всем следующим критериям:</w:t>
            </w:r>
          </w:p>
          <w:p w14:paraId="5205FD14"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strike/>
                <w:color w:val="231F20"/>
                <w:sz w:val="22"/>
                <w:szCs w:val="22"/>
              </w:rPr>
              <w:t>P.1</w:t>
            </w:r>
            <w:r w:rsidRPr="00907749">
              <w:rPr>
                <w:rFonts w:ascii="Arial" w:eastAsia="Yu Mincho" w:hAnsi="Arial"/>
                <w:color w:val="231F20"/>
                <w:sz w:val="22"/>
                <w:szCs w:val="22"/>
              </w:rPr>
              <w:t xml:space="preserve"> </w:t>
            </w:r>
            <w:r w:rsidRPr="00907749">
              <w:rPr>
                <w:rFonts w:ascii="Arial" w:eastAsia="Yu Mincho" w:hAnsi="Arial"/>
                <w:color w:val="231F20"/>
                <w:sz w:val="22"/>
                <w:szCs w:val="22"/>
                <w:u w:val="single"/>
              </w:rPr>
              <w:t>G.1</w:t>
            </w:r>
            <w:r w:rsidRPr="00907749">
              <w:rPr>
                <w:rFonts w:ascii="Arial" w:eastAsia="Yu Mincho" w:hAnsi="Arial"/>
                <w:color w:val="231F20"/>
                <w:sz w:val="22"/>
                <w:szCs w:val="22"/>
              </w:rPr>
              <w:t xml:space="preserve"> </w:t>
            </w:r>
            <w:r w:rsidRPr="00907749">
              <w:rPr>
                <w:rFonts w:ascii="Arial" w:eastAsia="Yu Mincho" w:hAnsi="Arial"/>
                <w:sz w:val="22"/>
                <w:szCs w:val="22"/>
              </w:rPr>
              <w:t xml:space="preserve">Программа, проект или мероприятие предполагают обеспечение охраны, как она определена в статье 2.3 Конвенции и </w:t>
            </w:r>
            <w:r w:rsidRPr="00907749">
              <w:rPr>
                <w:rFonts w:ascii="Arial" w:eastAsia="Yu Mincho" w:hAnsi="Arial"/>
                <w:sz w:val="22"/>
                <w:szCs w:val="22"/>
                <w:u w:val="single"/>
              </w:rPr>
              <w:t xml:space="preserve">отражает принципы и цели Конвенции. </w:t>
            </w:r>
          </w:p>
          <w:p w14:paraId="4ACACCBE"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strike/>
                <w:color w:val="231F20"/>
                <w:sz w:val="22"/>
                <w:szCs w:val="22"/>
                <w:lang w:eastAsia="en-US"/>
              </w:rPr>
            </w:pPr>
            <w:r w:rsidRPr="00907749">
              <w:rPr>
                <w:rFonts w:ascii="Arial" w:eastAsia="Calibri" w:hAnsi="Arial" w:cs="Calibri"/>
                <w:strike/>
                <w:color w:val="231F20"/>
                <w:sz w:val="22"/>
                <w:szCs w:val="22"/>
                <w:lang w:eastAsia="en-US"/>
              </w:rPr>
              <w:t xml:space="preserve">P.2 Программа, проект или мероприятие содействуют координации усилий по охране нематериального культурного наследия на региональном, субрегиональном и/или международном уровнях. </w:t>
            </w:r>
          </w:p>
          <w:p w14:paraId="611D851D"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strike/>
                <w:color w:val="231F20"/>
                <w:sz w:val="22"/>
                <w:szCs w:val="22"/>
                <w:lang w:eastAsia="en-US"/>
              </w:rPr>
            </w:pPr>
            <w:r w:rsidRPr="00907749">
              <w:rPr>
                <w:rFonts w:ascii="Arial" w:eastAsia="Calibri" w:hAnsi="Arial" w:cs="Calibri"/>
                <w:strike/>
                <w:color w:val="231F20"/>
                <w:sz w:val="22"/>
                <w:szCs w:val="22"/>
                <w:lang w:eastAsia="en-US"/>
              </w:rPr>
              <w:t xml:space="preserve">P.3 Программа, проект или мероприятие отражают принципы и цели Конвенции. </w:t>
            </w:r>
          </w:p>
          <w:p w14:paraId="44889F8C"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strike/>
                <w:color w:val="231F20"/>
                <w:sz w:val="22"/>
                <w:szCs w:val="22"/>
              </w:rPr>
              <w:t>P.4</w:t>
            </w:r>
            <w:r w:rsidRPr="00907749">
              <w:rPr>
                <w:rFonts w:ascii="Arial" w:eastAsia="Yu Mincho" w:hAnsi="Arial"/>
                <w:color w:val="231F20"/>
                <w:sz w:val="22"/>
                <w:szCs w:val="22"/>
              </w:rPr>
              <w:t xml:space="preserve"> </w:t>
            </w:r>
            <w:r w:rsidRPr="00907749">
              <w:rPr>
                <w:rFonts w:ascii="Arial" w:eastAsia="Yu Mincho" w:hAnsi="Arial"/>
                <w:color w:val="231F20"/>
                <w:sz w:val="22"/>
                <w:szCs w:val="22"/>
                <w:u w:val="single"/>
              </w:rPr>
              <w:t>G.2</w:t>
            </w:r>
            <w:r w:rsidRPr="00907749">
              <w:rPr>
                <w:rFonts w:ascii="Arial" w:eastAsia="Yu Mincho" w:hAnsi="Arial"/>
                <w:color w:val="231F20"/>
                <w:sz w:val="22"/>
                <w:szCs w:val="22"/>
              </w:rPr>
              <w:t xml:space="preserve"> Программа, проект или мероприятие доказали свою эффективность в содействии обеспечению жизнеспособности соответствующего нематериального культурного наследия. </w:t>
            </w:r>
          </w:p>
          <w:p w14:paraId="485D9AEC"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strike/>
                <w:color w:val="231F20"/>
                <w:sz w:val="22"/>
                <w:szCs w:val="22"/>
              </w:rPr>
              <w:t>P.5</w:t>
            </w:r>
            <w:r w:rsidRPr="00907749">
              <w:rPr>
                <w:rFonts w:ascii="Arial" w:eastAsia="Yu Mincho" w:hAnsi="Arial"/>
                <w:color w:val="231F20"/>
                <w:sz w:val="22"/>
                <w:szCs w:val="22"/>
              </w:rPr>
              <w:t xml:space="preserve"> </w:t>
            </w:r>
            <w:r w:rsidRPr="00907749">
              <w:rPr>
                <w:rFonts w:ascii="Arial" w:eastAsia="Yu Mincho" w:hAnsi="Arial"/>
                <w:color w:val="231F20"/>
                <w:sz w:val="22"/>
                <w:szCs w:val="22"/>
                <w:u w:val="single"/>
              </w:rPr>
              <w:t>G.3</w:t>
            </w:r>
            <w:r w:rsidRPr="00907749">
              <w:rPr>
                <w:rFonts w:ascii="Arial" w:eastAsia="Yu Mincho" w:hAnsi="Arial"/>
                <w:color w:val="231F20"/>
                <w:sz w:val="22"/>
                <w:szCs w:val="22"/>
              </w:rPr>
              <w:t xml:space="preserve"> Программа, проект или мероприятие осуществляются или осуществлены с участием заинтересованных сообщества, группы или, в соответствующих случаях, отдельных лиц и с их свободного, предварительного, </w:t>
            </w:r>
            <w:r w:rsidRPr="00907749">
              <w:rPr>
                <w:rFonts w:ascii="Arial" w:eastAsia="Yu Mincho" w:hAnsi="Arial"/>
                <w:color w:val="231F20"/>
                <w:sz w:val="22"/>
                <w:szCs w:val="22"/>
                <w:u w:val="single"/>
              </w:rPr>
              <w:t>устойчивого</w:t>
            </w:r>
            <w:r w:rsidRPr="00907749">
              <w:rPr>
                <w:rFonts w:ascii="Arial" w:eastAsia="Yu Mincho" w:hAnsi="Arial"/>
                <w:color w:val="231F20"/>
                <w:sz w:val="22"/>
                <w:szCs w:val="22"/>
              </w:rPr>
              <w:t xml:space="preserve"> и информированного согласия. </w:t>
            </w:r>
          </w:p>
          <w:p w14:paraId="4A0D1A23"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strike/>
                <w:color w:val="231F20"/>
                <w:sz w:val="22"/>
                <w:szCs w:val="22"/>
                <w:lang w:eastAsia="en-US"/>
              </w:rPr>
            </w:pPr>
            <w:r w:rsidRPr="00907749">
              <w:rPr>
                <w:rFonts w:ascii="Arial" w:eastAsia="Calibri" w:hAnsi="Arial" w:cs="Calibri"/>
                <w:strike/>
                <w:color w:val="231F20"/>
                <w:sz w:val="22"/>
                <w:szCs w:val="22"/>
                <w:lang w:eastAsia="en-US"/>
              </w:rPr>
              <w:t xml:space="preserve">P.6 Программа, проект или мероприятие могут служить субрегиональным, региональным или международным </w:t>
            </w:r>
            <w:r w:rsidRPr="00907749">
              <w:rPr>
                <w:rFonts w:ascii="Arial" w:eastAsia="Calibri" w:hAnsi="Arial" w:cs="Calibri"/>
                <w:strike/>
                <w:color w:val="231F20"/>
                <w:sz w:val="22"/>
                <w:szCs w:val="22"/>
                <w:lang w:eastAsia="en-US"/>
              </w:rPr>
              <w:lastRenderedPageBreak/>
              <w:t xml:space="preserve">примером, в зависимости от каждого случая, осуществления мероприятий по охране. </w:t>
            </w:r>
          </w:p>
          <w:p w14:paraId="73B098B6" w14:textId="77777777" w:rsidR="00907749" w:rsidRPr="00907749" w:rsidRDefault="00907749" w:rsidP="00907749">
            <w:pPr>
              <w:widowControl w:val="0"/>
              <w:tabs>
                <w:tab w:val="left" w:pos="2127"/>
                <w:tab w:val="left" w:pos="2176"/>
              </w:tabs>
              <w:autoSpaceDE w:val="0"/>
              <w:autoSpaceDN w:val="0"/>
              <w:spacing w:before="60" w:after="60"/>
              <w:rPr>
                <w:rFonts w:ascii="Arial" w:eastAsia="Calibri" w:hAnsi="Arial"/>
                <w:color w:val="231F20"/>
                <w:sz w:val="22"/>
                <w:szCs w:val="22"/>
              </w:rPr>
            </w:pPr>
            <w:r w:rsidRPr="00907749">
              <w:rPr>
                <w:rFonts w:ascii="Arial" w:eastAsia="Yu Mincho" w:hAnsi="Arial"/>
                <w:strike/>
                <w:color w:val="231F20"/>
                <w:sz w:val="22"/>
                <w:szCs w:val="22"/>
              </w:rPr>
              <w:t>P.7</w:t>
            </w:r>
            <w:r w:rsidRPr="00907749">
              <w:rPr>
                <w:rFonts w:ascii="Arial" w:eastAsia="Yu Mincho" w:hAnsi="Arial"/>
                <w:color w:val="231F20"/>
                <w:sz w:val="22"/>
                <w:szCs w:val="22"/>
              </w:rPr>
              <w:t xml:space="preserve"> </w:t>
            </w:r>
            <w:r w:rsidRPr="00907749">
              <w:rPr>
                <w:rFonts w:ascii="Arial" w:eastAsia="Yu Mincho" w:hAnsi="Arial"/>
                <w:color w:val="231F20"/>
                <w:sz w:val="22"/>
                <w:szCs w:val="22"/>
                <w:u w:val="single"/>
              </w:rPr>
              <w:t>G.4</w:t>
            </w:r>
            <w:r w:rsidRPr="00907749">
              <w:rPr>
                <w:rFonts w:ascii="Arial" w:eastAsia="Yu Mincho" w:hAnsi="Arial"/>
                <w:color w:val="231F20"/>
                <w:sz w:val="22"/>
                <w:szCs w:val="22"/>
              </w:rPr>
              <w:t xml:space="preserve"> Вносящее (вносящие) предложение (предложения) государство-участник (государства-участники), исполнительные органы, а также заинтересованные сообщества, группы или, в соответствующих случаях, отдельные лица готовы </w:t>
            </w:r>
            <w:r w:rsidRPr="00907749">
              <w:rPr>
                <w:rFonts w:ascii="Arial" w:eastAsia="Yu Mincho" w:hAnsi="Arial"/>
                <w:color w:val="231F20"/>
                <w:sz w:val="22"/>
                <w:szCs w:val="22"/>
                <w:u w:val="single"/>
              </w:rPr>
              <w:t>координировать свои усилия</w:t>
            </w:r>
            <w:r w:rsidRPr="00907749">
              <w:rPr>
                <w:rFonts w:ascii="Arial" w:eastAsia="Yu Mincho" w:hAnsi="Arial"/>
                <w:color w:val="231F20"/>
                <w:sz w:val="22"/>
                <w:szCs w:val="22"/>
              </w:rPr>
              <w:t xml:space="preserve"> и сотрудничать в распространении примеров </w:t>
            </w:r>
            <w:r w:rsidRPr="00907749">
              <w:rPr>
                <w:rFonts w:ascii="Arial" w:eastAsia="Yu Mincho" w:hAnsi="Arial"/>
                <w:strike/>
                <w:color w:val="231F20"/>
                <w:sz w:val="22"/>
                <w:szCs w:val="22"/>
              </w:rPr>
              <w:t>передовой</w:t>
            </w:r>
            <w:r w:rsidRPr="00907749">
              <w:rPr>
                <w:rFonts w:ascii="Arial" w:eastAsia="Yu Mincho" w:hAnsi="Arial"/>
                <w:color w:val="231F20"/>
                <w:sz w:val="22"/>
                <w:szCs w:val="22"/>
              </w:rPr>
              <w:t xml:space="preserve"> </w:t>
            </w:r>
            <w:r w:rsidRPr="00907749">
              <w:rPr>
                <w:rFonts w:ascii="Arial" w:eastAsia="Yu Mincho" w:hAnsi="Arial"/>
                <w:color w:val="231F20"/>
                <w:sz w:val="22"/>
                <w:szCs w:val="22"/>
                <w:u w:val="single"/>
              </w:rPr>
              <w:t xml:space="preserve">хорошей </w:t>
            </w:r>
            <w:r w:rsidRPr="00907749">
              <w:rPr>
                <w:rFonts w:ascii="Arial" w:eastAsia="Yu Mincho" w:hAnsi="Arial"/>
                <w:color w:val="231F20"/>
                <w:sz w:val="22"/>
                <w:szCs w:val="22"/>
              </w:rPr>
              <w:t>практики, если будут отобраны их программа, проект или мероприятие.</w:t>
            </w:r>
            <w:r w:rsidRPr="006B2AE6">
              <w:rPr>
                <w:rFonts w:ascii="Arial" w:eastAsia="Yu Mincho" w:hAnsi="Arial"/>
                <w:sz w:val="22"/>
                <w:szCs w:val="22"/>
              </w:rPr>
              <w:t xml:space="preserve"> </w:t>
            </w:r>
            <w:r w:rsidRPr="00907749">
              <w:rPr>
                <w:rFonts w:ascii="Arial" w:eastAsia="Yu Mincho" w:hAnsi="Arial"/>
                <w:sz w:val="22"/>
                <w:szCs w:val="22"/>
                <w:u w:val="single"/>
              </w:rPr>
              <w:t>Они могут служить источником вдохновения для деятельности по охране на местном, субрегиональном, региональном или международном уровнях, в зависимости от обстоятельств.</w:t>
            </w:r>
            <w:r w:rsidRPr="00907749">
              <w:rPr>
                <w:rFonts w:ascii="Arial" w:eastAsia="Yu Mincho" w:hAnsi="Arial"/>
                <w:color w:val="231F20"/>
                <w:sz w:val="22"/>
                <w:szCs w:val="22"/>
              </w:rPr>
              <w:t xml:space="preserve"> </w:t>
            </w:r>
          </w:p>
          <w:p w14:paraId="58DF82D0" w14:textId="77777777" w:rsidR="00907749" w:rsidRPr="00907749" w:rsidRDefault="00907749" w:rsidP="00907749">
            <w:pPr>
              <w:spacing w:before="60" w:after="60"/>
              <w:rPr>
                <w:rFonts w:ascii="Arial" w:eastAsia="Yu Mincho" w:hAnsi="Arial"/>
                <w:strike/>
                <w:sz w:val="22"/>
                <w:szCs w:val="22"/>
              </w:rPr>
            </w:pPr>
            <w:r w:rsidRPr="00907749">
              <w:rPr>
                <w:rFonts w:ascii="Arial" w:eastAsia="Yu Mincho" w:hAnsi="Arial"/>
                <w:strike/>
                <w:color w:val="231F20"/>
                <w:sz w:val="22"/>
                <w:szCs w:val="22"/>
              </w:rPr>
              <w:t>P.8 Программа, проект или мероприятие включают в себя деятельность, результаты которой можно оценить.</w:t>
            </w:r>
          </w:p>
        </w:tc>
      </w:tr>
    </w:tbl>
    <w:p w14:paraId="4F42F691" w14:textId="77777777" w:rsidR="00907749" w:rsidRPr="00907749" w:rsidRDefault="00907749" w:rsidP="00907749">
      <w:pPr>
        <w:numPr>
          <w:ilvl w:val="0"/>
          <w:numId w:val="42"/>
        </w:numPr>
        <w:spacing w:before="240" w:after="120" w:line="259" w:lineRule="auto"/>
        <w:jc w:val="both"/>
        <w:rPr>
          <w:rFonts w:ascii="Arial" w:eastAsia="DengXian" w:hAnsi="Arial" w:cs="Arial"/>
          <w:b/>
          <w:bCs/>
          <w:snapToGrid w:val="0"/>
          <w:sz w:val="22"/>
          <w:szCs w:val="22"/>
          <w:u w:val="single"/>
          <w:lang w:val="fr-FR" w:eastAsia="en-US"/>
        </w:rPr>
      </w:pPr>
      <w:bookmarkStart w:id="5" w:name="разделII"/>
      <w:r w:rsidRPr="00907749">
        <w:rPr>
          <w:rFonts w:ascii="Arial" w:eastAsia="DengXian" w:hAnsi="Arial" w:cs="Arial"/>
          <w:b/>
          <w:bCs/>
          <w:snapToGrid w:val="0"/>
          <w:sz w:val="22"/>
          <w:szCs w:val="22"/>
          <w:u w:val="single"/>
          <w:lang w:eastAsia="en-US"/>
        </w:rPr>
        <w:lastRenderedPageBreak/>
        <w:t>Подача досье</w:t>
      </w:r>
    </w:p>
    <w:tbl>
      <w:tblPr>
        <w:tblStyle w:val="Grilledutableau2"/>
        <w:tblW w:w="14312" w:type="dxa"/>
        <w:tblLayout w:type="fixed"/>
        <w:tblLook w:val="04A0" w:firstRow="1" w:lastRow="0" w:firstColumn="1" w:lastColumn="0" w:noHBand="0" w:noVBand="1"/>
      </w:tblPr>
      <w:tblGrid>
        <w:gridCol w:w="564"/>
        <w:gridCol w:w="6519"/>
        <w:gridCol w:w="17"/>
        <w:gridCol w:w="568"/>
        <w:gridCol w:w="6644"/>
      </w:tblGrid>
      <w:tr w:rsidR="00907749" w:rsidRPr="00907749" w14:paraId="715CA4AC" w14:textId="77777777" w:rsidTr="00907749">
        <w:tc>
          <w:tcPr>
            <w:tcW w:w="7083" w:type="dxa"/>
            <w:gridSpan w:val="2"/>
            <w:shd w:val="clear" w:color="auto" w:fill="D9E2F3"/>
          </w:tcPr>
          <w:bookmarkEnd w:id="5"/>
          <w:p w14:paraId="56F9F942" w14:textId="77777777" w:rsidR="00907749" w:rsidRPr="00907749" w:rsidRDefault="00907749" w:rsidP="00907749">
            <w:pPr>
              <w:spacing w:before="120" w:after="120"/>
              <w:jc w:val="center"/>
              <w:rPr>
                <w:rFonts w:ascii="Arial" w:eastAsia="Yu Mincho" w:hAnsi="Arial"/>
                <w:b/>
                <w:bCs/>
                <w:sz w:val="22"/>
                <w:szCs w:val="22"/>
              </w:rPr>
            </w:pPr>
            <w:r w:rsidRPr="00907749">
              <w:rPr>
                <w:rFonts w:ascii="Arial" w:eastAsia="Yu Mincho" w:hAnsi="Arial"/>
                <w:b/>
                <w:sz w:val="22"/>
                <w:szCs w:val="22"/>
              </w:rPr>
              <w:t>Оперативное руководство (издание 2022 года)</w:t>
            </w:r>
          </w:p>
        </w:tc>
        <w:tc>
          <w:tcPr>
            <w:tcW w:w="7229" w:type="dxa"/>
            <w:gridSpan w:val="3"/>
            <w:shd w:val="clear" w:color="auto" w:fill="8EAADB"/>
          </w:tcPr>
          <w:p w14:paraId="4EDC37FC" w14:textId="77777777" w:rsidR="00907749" w:rsidRPr="00907749" w:rsidRDefault="00907749" w:rsidP="00907749">
            <w:pPr>
              <w:spacing w:before="120" w:after="120"/>
              <w:jc w:val="center"/>
              <w:rPr>
                <w:rFonts w:ascii="Arial" w:eastAsia="Yu Mincho" w:hAnsi="Arial"/>
                <w:b/>
                <w:bCs/>
                <w:sz w:val="22"/>
                <w:szCs w:val="22"/>
              </w:rPr>
            </w:pPr>
            <w:r w:rsidRPr="00907749">
              <w:rPr>
                <w:rFonts w:ascii="Arial" w:eastAsia="Yu Mincho" w:hAnsi="Arial"/>
                <w:b/>
                <w:sz w:val="22"/>
                <w:szCs w:val="22"/>
              </w:rPr>
              <w:t>Предлагаемые поправки</w:t>
            </w:r>
          </w:p>
        </w:tc>
      </w:tr>
      <w:tr w:rsidR="00907749" w:rsidRPr="00907749" w14:paraId="6E68F975" w14:textId="77777777" w:rsidTr="009A4111">
        <w:tc>
          <w:tcPr>
            <w:tcW w:w="564" w:type="dxa"/>
            <w:shd w:val="clear" w:color="auto" w:fill="F2F2F2"/>
          </w:tcPr>
          <w:p w14:paraId="0A264A6E" w14:textId="77777777" w:rsidR="00907749" w:rsidRPr="00907749" w:rsidRDefault="00907749" w:rsidP="00907749">
            <w:pPr>
              <w:keepNext/>
              <w:keepLines/>
              <w:spacing w:before="120" w:after="120"/>
              <w:rPr>
                <w:rFonts w:ascii="Arial" w:eastAsia="Yu Mincho" w:hAnsi="Arial"/>
                <w:b/>
                <w:bCs/>
                <w:sz w:val="22"/>
                <w:szCs w:val="22"/>
              </w:rPr>
            </w:pPr>
            <w:r w:rsidRPr="00907749">
              <w:rPr>
                <w:rFonts w:ascii="Arial" w:eastAsia="Yu Mincho" w:hAnsi="Arial"/>
                <w:b/>
                <w:color w:val="1F4E79"/>
                <w:sz w:val="22"/>
                <w:szCs w:val="22"/>
              </w:rPr>
              <w:t>I.7</w:t>
            </w:r>
          </w:p>
        </w:tc>
        <w:tc>
          <w:tcPr>
            <w:tcW w:w="6536" w:type="dxa"/>
            <w:gridSpan w:val="2"/>
            <w:shd w:val="clear" w:color="auto" w:fill="F2F2F2"/>
          </w:tcPr>
          <w:p w14:paraId="7A021FD2" w14:textId="77777777" w:rsidR="00907749" w:rsidRPr="00907749" w:rsidRDefault="00907749" w:rsidP="00907749">
            <w:pPr>
              <w:keepNext/>
              <w:keepLines/>
              <w:spacing w:before="120" w:after="120"/>
              <w:rPr>
                <w:rFonts w:ascii="Arial" w:eastAsia="Yu Mincho" w:hAnsi="Arial"/>
                <w:b/>
                <w:bCs/>
                <w:sz w:val="22"/>
                <w:szCs w:val="22"/>
              </w:rPr>
            </w:pPr>
            <w:r w:rsidRPr="00907749">
              <w:rPr>
                <w:rFonts w:ascii="Arial" w:eastAsia="Yu Mincho" w:hAnsi="Arial"/>
                <w:b/>
                <w:color w:val="1F4E79"/>
                <w:sz w:val="22"/>
                <w:szCs w:val="22"/>
              </w:rPr>
              <w:t>Подача досье</w:t>
            </w:r>
          </w:p>
        </w:tc>
        <w:tc>
          <w:tcPr>
            <w:tcW w:w="568" w:type="dxa"/>
            <w:shd w:val="clear" w:color="auto" w:fill="F2F2F2"/>
          </w:tcPr>
          <w:p w14:paraId="3E8BAE87" w14:textId="77777777" w:rsidR="00907749" w:rsidRPr="00907749" w:rsidRDefault="00907749" w:rsidP="00907749">
            <w:pPr>
              <w:keepNext/>
              <w:keepLines/>
              <w:spacing w:before="120" w:after="120"/>
              <w:rPr>
                <w:rFonts w:ascii="Arial" w:eastAsia="Yu Mincho" w:hAnsi="Arial"/>
                <w:b/>
                <w:bCs/>
                <w:sz w:val="22"/>
                <w:szCs w:val="22"/>
              </w:rPr>
            </w:pPr>
            <w:r w:rsidRPr="00907749">
              <w:rPr>
                <w:rFonts w:ascii="Arial" w:eastAsia="Yu Mincho" w:hAnsi="Arial"/>
                <w:b/>
                <w:color w:val="1F4E79"/>
                <w:sz w:val="22"/>
                <w:szCs w:val="22"/>
              </w:rPr>
              <w:t>I.7</w:t>
            </w:r>
          </w:p>
        </w:tc>
        <w:tc>
          <w:tcPr>
            <w:tcW w:w="6644" w:type="dxa"/>
            <w:shd w:val="clear" w:color="auto" w:fill="F2F2F2"/>
          </w:tcPr>
          <w:p w14:paraId="0FB358F9" w14:textId="77777777" w:rsidR="00907749" w:rsidRPr="00907749" w:rsidRDefault="00907749" w:rsidP="00907749">
            <w:pPr>
              <w:keepNext/>
              <w:keepLines/>
              <w:spacing w:before="120" w:after="120"/>
              <w:rPr>
                <w:rFonts w:ascii="Arial" w:eastAsia="Yu Mincho" w:hAnsi="Arial"/>
                <w:sz w:val="22"/>
                <w:szCs w:val="22"/>
              </w:rPr>
            </w:pPr>
            <w:r w:rsidRPr="00907749">
              <w:rPr>
                <w:rFonts w:ascii="Arial" w:eastAsia="Yu Mincho" w:hAnsi="Arial"/>
                <w:sz w:val="22"/>
                <w:szCs w:val="22"/>
              </w:rPr>
              <w:t>[Без изменений]</w:t>
            </w:r>
          </w:p>
        </w:tc>
      </w:tr>
      <w:tr w:rsidR="00907749" w:rsidRPr="00907749" w14:paraId="4FE19783" w14:textId="77777777" w:rsidTr="009A4111">
        <w:tc>
          <w:tcPr>
            <w:tcW w:w="564" w:type="dxa"/>
          </w:tcPr>
          <w:p w14:paraId="4C36F5C3" w14:textId="77777777" w:rsidR="00907749" w:rsidRPr="00907749" w:rsidRDefault="00907749" w:rsidP="00907749">
            <w:pPr>
              <w:keepLines/>
              <w:spacing w:before="120" w:after="60"/>
              <w:rPr>
                <w:rFonts w:ascii="Arial" w:eastAsia="Yu Mincho" w:hAnsi="Arial"/>
                <w:sz w:val="22"/>
                <w:szCs w:val="22"/>
              </w:rPr>
            </w:pPr>
            <w:r w:rsidRPr="00907749">
              <w:rPr>
                <w:rFonts w:ascii="Arial" w:eastAsia="Yu Mincho" w:hAnsi="Arial"/>
                <w:sz w:val="22"/>
                <w:szCs w:val="22"/>
              </w:rPr>
              <w:t>21.</w:t>
            </w:r>
          </w:p>
        </w:tc>
        <w:tc>
          <w:tcPr>
            <w:tcW w:w="6536" w:type="dxa"/>
            <w:gridSpan w:val="2"/>
          </w:tcPr>
          <w:p w14:paraId="737F2835" w14:textId="77777777" w:rsidR="00907749" w:rsidRPr="00907749" w:rsidRDefault="00907749" w:rsidP="00907749">
            <w:pPr>
              <w:keepLines/>
              <w:snapToGrid w:val="0"/>
              <w:spacing w:before="120" w:after="120"/>
              <w:rPr>
                <w:rFonts w:ascii="Arial" w:eastAsia="Yu Mincho" w:hAnsi="Arial"/>
                <w:sz w:val="22"/>
                <w:szCs w:val="22"/>
              </w:rPr>
            </w:pPr>
            <w:r w:rsidRPr="00907749">
              <w:rPr>
                <w:rFonts w:ascii="Arial" w:eastAsia="Yu Mincho" w:hAnsi="Arial"/>
                <w:sz w:val="22"/>
                <w:szCs w:val="22"/>
              </w:rPr>
              <w:t>Государства-участники могут запросить помощь в подготовке документов в консультации с сообществами, группами и, в соответствующих случаях, отдельными лицами, для разработки:</w:t>
            </w:r>
          </w:p>
          <w:p w14:paraId="70366872" w14:textId="77777777" w:rsidR="00907749" w:rsidRPr="00907749" w:rsidRDefault="00907749" w:rsidP="00907749">
            <w:pPr>
              <w:keepLines/>
              <w:snapToGrid w:val="0"/>
              <w:spacing w:before="120" w:after="120"/>
              <w:ind w:left="422" w:hanging="422"/>
              <w:rPr>
                <w:rFonts w:ascii="Arial" w:eastAsia="Yu Mincho" w:hAnsi="Arial"/>
                <w:sz w:val="22"/>
                <w:szCs w:val="22"/>
              </w:rPr>
            </w:pPr>
            <w:r w:rsidRPr="00907749">
              <w:rPr>
                <w:rFonts w:ascii="Arial" w:eastAsia="Yu Mincho" w:hAnsi="Arial"/>
                <w:sz w:val="22"/>
                <w:szCs w:val="22"/>
              </w:rPr>
              <w:t>(a)</w:t>
            </w:r>
            <w:r w:rsidRPr="00907749">
              <w:rPr>
                <w:rFonts w:ascii="Arial" w:eastAsia="Yu Mincho" w:hAnsi="Arial"/>
                <w:sz w:val="22"/>
                <w:szCs w:val="22"/>
              </w:rPr>
              <w:tab/>
              <w:t xml:space="preserve">досье номинации для внесения в Список нематериального культурного наследия, нуждающегося в срочной охране; </w:t>
            </w:r>
          </w:p>
          <w:p w14:paraId="7251CC88" w14:textId="77777777" w:rsidR="00907749" w:rsidRPr="00907749" w:rsidRDefault="00907749" w:rsidP="00907749">
            <w:pPr>
              <w:keepLines/>
              <w:snapToGrid w:val="0"/>
              <w:spacing w:before="120" w:after="120"/>
              <w:ind w:left="422" w:hanging="422"/>
              <w:rPr>
                <w:rFonts w:ascii="Arial" w:eastAsia="Yu Mincho" w:hAnsi="Arial"/>
                <w:sz w:val="22"/>
                <w:szCs w:val="22"/>
              </w:rPr>
            </w:pPr>
            <w:r w:rsidRPr="00907749">
              <w:rPr>
                <w:rFonts w:ascii="Arial" w:eastAsia="Yu Mincho" w:hAnsi="Arial"/>
                <w:sz w:val="22"/>
                <w:szCs w:val="22"/>
              </w:rPr>
              <w:t>(b)</w:t>
            </w:r>
            <w:r w:rsidRPr="00907749">
              <w:rPr>
                <w:rFonts w:ascii="Arial" w:eastAsia="Yu Mincho" w:hAnsi="Arial"/>
                <w:sz w:val="22"/>
                <w:szCs w:val="22"/>
              </w:rPr>
              <w:tab/>
              <w:t>предложений по программам, проектам и мероприятиям, которые наилучшим образом отражают принципы и цели Конвенции;</w:t>
            </w:r>
          </w:p>
          <w:p w14:paraId="472065A2" w14:textId="77777777" w:rsidR="00907749" w:rsidRPr="00907749" w:rsidRDefault="00907749" w:rsidP="00907749">
            <w:pPr>
              <w:keepLines/>
              <w:snapToGrid w:val="0"/>
              <w:spacing w:before="120" w:after="120"/>
              <w:ind w:left="422" w:hanging="422"/>
              <w:rPr>
                <w:rFonts w:ascii="Arial" w:eastAsia="Yu Mincho" w:hAnsi="Arial"/>
                <w:sz w:val="22"/>
                <w:szCs w:val="22"/>
              </w:rPr>
            </w:pPr>
            <w:r w:rsidRPr="00907749">
              <w:rPr>
                <w:rFonts w:ascii="Arial" w:eastAsia="Yu Mincho" w:hAnsi="Arial"/>
                <w:sz w:val="22"/>
                <w:szCs w:val="22"/>
              </w:rPr>
              <w:lastRenderedPageBreak/>
              <w:t>(c)</w:t>
            </w:r>
            <w:r w:rsidRPr="00907749">
              <w:rPr>
                <w:rFonts w:ascii="Arial" w:eastAsia="Yu Mincho" w:hAnsi="Arial"/>
                <w:sz w:val="22"/>
                <w:szCs w:val="22"/>
              </w:rPr>
              <w:tab/>
              <w:t xml:space="preserve">запросов на передачу элемента из одного Списка в другой; и </w:t>
            </w:r>
          </w:p>
          <w:p w14:paraId="40E7C4CE" w14:textId="77777777" w:rsidR="00907749" w:rsidRPr="00907749" w:rsidRDefault="00907749" w:rsidP="00907749">
            <w:pPr>
              <w:keepLines/>
              <w:snapToGrid w:val="0"/>
              <w:spacing w:before="120" w:after="120"/>
              <w:ind w:left="422" w:hanging="422"/>
              <w:rPr>
                <w:rFonts w:ascii="Arial" w:eastAsia="Yu Mincho" w:hAnsi="Arial"/>
                <w:sz w:val="22"/>
                <w:szCs w:val="22"/>
              </w:rPr>
            </w:pPr>
            <w:r w:rsidRPr="00907749">
              <w:rPr>
                <w:rFonts w:ascii="Arial" w:eastAsia="Yu Mincho" w:hAnsi="Arial"/>
                <w:sz w:val="22"/>
                <w:szCs w:val="22"/>
              </w:rPr>
              <w:t xml:space="preserve">(d) </w:t>
            </w:r>
            <w:r w:rsidRPr="00907749">
              <w:rPr>
                <w:rFonts w:ascii="Arial" w:eastAsia="Yu Mincho" w:hAnsi="Arial"/>
                <w:sz w:val="22"/>
                <w:szCs w:val="22"/>
              </w:rPr>
              <w:tab/>
              <w:t>досье номинации на расширенной или сокращенной основе уже включенных элементов.</w:t>
            </w:r>
          </w:p>
        </w:tc>
        <w:tc>
          <w:tcPr>
            <w:tcW w:w="568" w:type="dxa"/>
          </w:tcPr>
          <w:p w14:paraId="1675DB38" w14:textId="77777777" w:rsidR="00907749" w:rsidRPr="00907749" w:rsidRDefault="00907749" w:rsidP="00907749">
            <w:pPr>
              <w:keepLines/>
              <w:spacing w:before="120" w:after="60"/>
              <w:rPr>
                <w:rFonts w:ascii="Arial" w:eastAsia="Yu Mincho" w:hAnsi="Arial"/>
                <w:sz w:val="22"/>
                <w:szCs w:val="22"/>
              </w:rPr>
            </w:pPr>
            <w:r w:rsidRPr="00907749">
              <w:rPr>
                <w:rFonts w:ascii="Arial" w:eastAsia="Yu Mincho" w:hAnsi="Arial"/>
                <w:sz w:val="22"/>
                <w:szCs w:val="22"/>
              </w:rPr>
              <w:lastRenderedPageBreak/>
              <w:t>21.</w:t>
            </w:r>
          </w:p>
        </w:tc>
        <w:tc>
          <w:tcPr>
            <w:tcW w:w="6644" w:type="dxa"/>
          </w:tcPr>
          <w:p w14:paraId="4267B8A7" w14:textId="77777777" w:rsidR="00907749" w:rsidRPr="00907749" w:rsidRDefault="00907749" w:rsidP="00907749">
            <w:pPr>
              <w:keepLines/>
              <w:snapToGrid w:val="0"/>
              <w:spacing w:before="120" w:after="120"/>
              <w:rPr>
                <w:rFonts w:ascii="Arial" w:eastAsia="Yu Mincho" w:hAnsi="Arial"/>
                <w:sz w:val="22"/>
                <w:szCs w:val="22"/>
              </w:rPr>
            </w:pPr>
            <w:r w:rsidRPr="00907749">
              <w:rPr>
                <w:rFonts w:ascii="Arial" w:eastAsia="Yu Mincho" w:hAnsi="Arial"/>
                <w:sz w:val="22"/>
                <w:szCs w:val="22"/>
              </w:rPr>
              <w:t>Государства-участники могут запросить помощь в подготовке документов в консультации с сообществами, группами и, в соответствующих случаях, отдельными лицами, для разработки:</w:t>
            </w:r>
          </w:p>
          <w:p w14:paraId="2023B92F" w14:textId="77777777" w:rsidR="00907749" w:rsidRPr="00907749" w:rsidRDefault="00907749" w:rsidP="00907749">
            <w:pPr>
              <w:keepLines/>
              <w:numPr>
                <w:ilvl w:val="0"/>
                <w:numId w:val="23"/>
              </w:numPr>
              <w:snapToGrid w:val="0"/>
              <w:spacing w:before="120"/>
              <w:ind w:left="457"/>
              <w:jc w:val="both"/>
              <w:rPr>
                <w:rFonts w:ascii="Arial" w:eastAsia="Yu Mincho" w:hAnsi="Arial"/>
                <w:snapToGrid w:val="0"/>
                <w:sz w:val="22"/>
                <w:szCs w:val="22"/>
                <w:lang w:eastAsia="en-US"/>
              </w:rPr>
            </w:pPr>
            <w:r w:rsidRPr="00907749">
              <w:rPr>
                <w:rFonts w:ascii="Arial" w:hAnsi="Arial"/>
                <w:bCs/>
                <w:snapToGrid w:val="0"/>
                <w:sz w:val="22"/>
                <w:szCs w:val="22"/>
                <w:lang w:eastAsia="en-US"/>
              </w:rPr>
              <w:t>досье номинации для внесения в Список нематериального культурного наследия, нуждающегося в срочной охране;</w:t>
            </w:r>
          </w:p>
          <w:p w14:paraId="158403BD" w14:textId="77777777" w:rsidR="00907749" w:rsidRPr="00907749" w:rsidRDefault="00907749" w:rsidP="00907749">
            <w:pPr>
              <w:keepLines/>
              <w:numPr>
                <w:ilvl w:val="0"/>
                <w:numId w:val="23"/>
              </w:numPr>
              <w:snapToGrid w:val="0"/>
              <w:spacing w:before="120" w:after="120"/>
              <w:ind w:left="457"/>
              <w:jc w:val="both"/>
              <w:rPr>
                <w:rFonts w:ascii="Arial" w:eastAsia="Yu Mincho" w:hAnsi="Arial"/>
                <w:snapToGrid w:val="0"/>
                <w:sz w:val="22"/>
                <w:szCs w:val="22"/>
                <w:u w:val="single"/>
                <w:lang w:eastAsia="en-US"/>
              </w:rPr>
            </w:pPr>
            <w:r w:rsidRPr="00907749">
              <w:rPr>
                <w:rFonts w:ascii="Arial" w:hAnsi="Arial"/>
                <w:bCs/>
                <w:snapToGrid w:val="0"/>
                <w:sz w:val="22"/>
                <w:szCs w:val="22"/>
                <w:u w:val="single"/>
                <w:lang w:eastAsia="en-US"/>
              </w:rPr>
              <w:t>досье номинации в Репрезентативный список (только для государств-участников, не имеющих национальных элементов, уже включенных в этот список);</w:t>
            </w:r>
          </w:p>
          <w:p w14:paraId="04901DF7" w14:textId="77777777" w:rsidR="00907749" w:rsidRPr="00907749" w:rsidRDefault="00907749" w:rsidP="00907749">
            <w:pPr>
              <w:keepLines/>
              <w:numPr>
                <w:ilvl w:val="0"/>
                <w:numId w:val="23"/>
              </w:numPr>
              <w:snapToGrid w:val="0"/>
              <w:spacing w:before="120" w:after="120"/>
              <w:ind w:left="457"/>
              <w:jc w:val="both"/>
              <w:rPr>
                <w:rFonts w:ascii="Arial" w:eastAsia="Yu Mincho" w:hAnsi="Arial"/>
                <w:snapToGrid w:val="0"/>
                <w:sz w:val="22"/>
                <w:szCs w:val="22"/>
                <w:lang w:eastAsia="en-US"/>
              </w:rPr>
            </w:pPr>
            <w:r w:rsidRPr="00907749">
              <w:rPr>
                <w:rFonts w:ascii="Arial" w:hAnsi="Arial"/>
                <w:bCs/>
                <w:snapToGrid w:val="0"/>
                <w:sz w:val="22"/>
                <w:szCs w:val="22"/>
                <w:lang w:eastAsia="en-US"/>
              </w:rPr>
              <w:lastRenderedPageBreak/>
              <w:t xml:space="preserve">предложений по программам, проектам и мероприятиям, которые наилучшим образом отражают принципы и цели Конвенции; </w:t>
            </w:r>
          </w:p>
          <w:p w14:paraId="27DA37F7" w14:textId="77777777" w:rsidR="00907749" w:rsidRPr="00907749" w:rsidRDefault="00907749" w:rsidP="00907749">
            <w:pPr>
              <w:keepLines/>
              <w:numPr>
                <w:ilvl w:val="0"/>
                <w:numId w:val="23"/>
              </w:numPr>
              <w:snapToGrid w:val="0"/>
              <w:spacing w:before="120" w:after="120"/>
              <w:ind w:left="457"/>
              <w:jc w:val="both"/>
              <w:rPr>
                <w:rFonts w:ascii="Calibri" w:eastAsia="Calibri" w:hAnsi="Calibri"/>
                <w:snapToGrid w:val="0"/>
                <w:color w:val="000000"/>
                <w:sz w:val="22"/>
                <w:szCs w:val="22"/>
                <w:u w:val="single"/>
                <w:lang w:eastAsia="en-US"/>
              </w:rPr>
            </w:pPr>
            <w:r w:rsidRPr="00907749">
              <w:rPr>
                <w:rFonts w:ascii="Arial" w:hAnsi="Arial"/>
                <w:bCs/>
                <w:snapToGrid w:val="0"/>
                <w:sz w:val="22"/>
                <w:szCs w:val="22"/>
                <w:lang w:eastAsia="en-US"/>
              </w:rPr>
              <w:t xml:space="preserve">запросов на передачу элемента из одного Списка в другой; и </w:t>
            </w:r>
          </w:p>
          <w:p w14:paraId="79A1D126" w14:textId="77777777" w:rsidR="00907749" w:rsidRPr="00907749" w:rsidRDefault="00907749" w:rsidP="00907749">
            <w:pPr>
              <w:keepLines/>
              <w:numPr>
                <w:ilvl w:val="0"/>
                <w:numId w:val="23"/>
              </w:numPr>
              <w:snapToGrid w:val="0"/>
              <w:spacing w:before="120" w:after="120"/>
              <w:ind w:left="457"/>
              <w:jc w:val="both"/>
              <w:rPr>
                <w:rFonts w:ascii="Calibri" w:eastAsia="Calibri" w:hAnsi="Calibri"/>
                <w:snapToGrid w:val="0"/>
                <w:color w:val="000000"/>
                <w:sz w:val="22"/>
                <w:szCs w:val="22"/>
                <w:u w:val="single"/>
                <w:lang w:eastAsia="en-US"/>
              </w:rPr>
            </w:pPr>
            <w:r w:rsidRPr="00907749">
              <w:rPr>
                <w:rFonts w:ascii="Arial" w:hAnsi="Arial"/>
                <w:bCs/>
                <w:snapToGrid w:val="0"/>
                <w:sz w:val="22"/>
                <w:szCs w:val="22"/>
                <w:lang w:eastAsia="en-US"/>
              </w:rPr>
              <w:t>досье номинации на расширенной или сокращенной основе уже включенных элементов.</w:t>
            </w:r>
          </w:p>
        </w:tc>
      </w:tr>
    </w:tbl>
    <w:p w14:paraId="1C7E6E69" w14:textId="77777777" w:rsidR="00907749" w:rsidRPr="00907749" w:rsidRDefault="00907749" w:rsidP="00907749">
      <w:pPr>
        <w:spacing w:after="160" w:line="259" w:lineRule="auto"/>
        <w:rPr>
          <w:rFonts w:ascii="Calibri" w:eastAsia="DengXian" w:hAnsi="Calibri" w:cs="Arial"/>
          <w:kern w:val="2"/>
          <w:sz w:val="22"/>
          <w:szCs w:val="22"/>
          <w:lang w:eastAsia="zh-CN"/>
          <w14:ligatures w14:val="standardContextual"/>
        </w:rPr>
      </w:pPr>
    </w:p>
    <w:p w14:paraId="1B9CFAA9" w14:textId="77777777" w:rsidR="00063D10" w:rsidRPr="00801110" w:rsidRDefault="00063D10" w:rsidP="002E0E56">
      <w:pPr>
        <w:spacing w:after="160" w:line="259" w:lineRule="auto"/>
        <w:rPr>
          <w:rFonts w:ascii="Arial" w:eastAsia="SimSun" w:hAnsi="Arial" w:cs="Arial"/>
          <w:sz w:val="22"/>
          <w:szCs w:val="22"/>
          <w:u w:val="single"/>
        </w:rPr>
      </w:pPr>
    </w:p>
    <w:sectPr w:rsidR="00063D10" w:rsidRPr="00801110" w:rsidSect="0090774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C32F" w14:textId="77777777" w:rsidR="00B33004" w:rsidRDefault="00B33004" w:rsidP="00655736">
      <w:r>
        <w:separator/>
      </w:r>
    </w:p>
  </w:endnote>
  <w:endnote w:type="continuationSeparator" w:id="0">
    <w:p w14:paraId="53BAE047" w14:textId="77777777" w:rsidR="00B33004" w:rsidRDefault="00B3300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B425" w14:textId="77777777" w:rsidR="00B33004" w:rsidRDefault="00B33004" w:rsidP="00655736">
      <w:r>
        <w:separator/>
      </w:r>
    </w:p>
  </w:footnote>
  <w:footnote w:type="continuationSeparator" w:id="0">
    <w:p w14:paraId="503F3C5C" w14:textId="77777777" w:rsidR="00B33004" w:rsidRDefault="00B33004" w:rsidP="00655736">
      <w:r>
        <w:continuationSeparator/>
      </w:r>
    </w:p>
  </w:footnote>
  <w:footnote w:id="1">
    <w:p w14:paraId="5D19F4E5" w14:textId="695B30A7" w:rsidR="00DA2EF5" w:rsidRPr="00F07379" w:rsidRDefault="00DA2EF5" w:rsidP="00F07379">
      <w:pPr>
        <w:pStyle w:val="Notedebasdepage"/>
        <w:ind w:left="180" w:hanging="180"/>
        <w:rPr>
          <w:rFonts w:asciiTheme="minorBidi" w:hAnsiTheme="minorBidi" w:cstheme="minorBidi"/>
          <w:sz w:val="18"/>
          <w:szCs w:val="18"/>
        </w:rPr>
      </w:pPr>
      <w:bookmarkStart w:id="1" w:name="_Hlk124351068"/>
      <w:r w:rsidRPr="00F07379">
        <w:rPr>
          <w:rStyle w:val="Appelnotedebasdep"/>
          <w:rFonts w:asciiTheme="minorBidi" w:hAnsiTheme="minorBidi" w:cstheme="minorBidi"/>
          <w:sz w:val="18"/>
          <w:szCs w:val="18"/>
          <w:lang w:val="en-GB"/>
        </w:rPr>
        <w:footnoteRef/>
      </w:r>
      <w:r w:rsidRPr="00F07379">
        <w:rPr>
          <w:rFonts w:asciiTheme="minorBidi" w:hAnsiTheme="minorBidi" w:cstheme="minorBidi"/>
          <w:sz w:val="18"/>
          <w:szCs w:val="18"/>
        </w:rPr>
        <w:tab/>
        <w:t xml:space="preserve">См. также веб-страницу, посвященную этому вопросу, для глобального анализа: </w:t>
      </w:r>
      <w:hyperlink r:id="rId1" w:history="1">
        <w:r w:rsidRPr="00F07379">
          <w:rPr>
            <w:rStyle w:val="Lienhypertexte"/>
            <w:rFonts w:asciiTheme="minorBidi" w:hAnsiTheme="minorBidi" w:cstheme="minorBidi"/>
            <w:sz w:val="18"/>
            <w:szCs w:val="18"/>
          </w:rPr>
          <w:t>https://ich.unesco.org/en/global-reflection-on-the-listing-mechanisms-01164</w:t>
        </w:r>
      </w:hyperlink>
      <w:r w:rsidRPr="00F07379">
        <w:rPr>
          <w:rFonts w:asciiTheme="minorBidi" w:hAnsiTheme="minorBidi" w:cstheme="minorBidi"/>
          <w:sz w:val="18"/>
          <w:szCs w:val="18"/>
        </w:rPr>
        <w:t>.</w:t>
      </w:r>
      <w:bookmarkEnd w:id="1"/>
    </w:p>
  </w:footnote>
  <w:footnote w:id="2">
    <w:p w14:paraId="1C04FB5A" w14:textId="477EDFC4" w:rsidR="001A409F" w:rsidRPr="00F07379" w:rsidRDefault="001A409F" w:rsidP="00F07379">
      <w:pPr>
        <w:pStyle w:val="Notedebasdepage"/>
        <w:ind w:left="180" w:hanging="180"/>
        <w:jc w:val="both"/>
        <w:rPr>
          <w:rFonts w:asciiTheme="minorBidi" w:hAnsiTheme="minorBidi" w:cstheme="minorBidi"/>
          <w:sz w:val="18"/>
          <w:szCs w:val="18"/>
        </w:rPr>
      </w:pPr>
      <w:r w:rsidRPr="00F07379">
        <w:rPr>
          <w:rStyle w:val="Appelnotedebasdep"/>
          <w:rFonts w:asciiTheme="minorBidi" w:hAnsiTheme="minorBidi" w:cstheme="minorBidi"/>
          <w:sz w:val="18"/>
          <w:szCs w:val="18"/>
          <w:lang w:val="en-GB"/>
        </w:rPr>
        <w:footnoteRef/>
      </w:r>
      <w:r w:rsidRPr="00F07379">
        <w:rPr>
          <w:rFonts w:asciiTheme="minorBidi" w:hAnsiTheme="minorBidi" w:cstheme="minorBidi"/>
          <w:sz w:val="18"/>
          <w:szCs w:val="18"/>
        </w:rPr>
        <w:t xml:space="preserve"> </w:t>
      </w:r>
      <w:r w:rsidRPr="00F07379">
        <w:rPr>
          <w:rFonts w:asciiTheme="minorBidi" w:hAnsiTheme="minorBidi" w:cstheme="minorBidi"/>
          <w:sz w:val="18"/>
          <w:szCs w:val="18"/>
        </w:rPr>
        <w:tab/>
        <w:t>Согласно статье 18 Конвенции 2003 года, «Комитет проводит периодический отбор и содействует осуществлению национальных, субрегиональных или региональных программ, проектов и мероприятий по охране наследия, которые, по его мнению, наилучшим образом отражают принципы и цели настоящей Конвенции, с учетом особых потребностей развивающихся стран». Для реализации этого положения в 2009 году был создан Реестр передового опыта по сохранению нематериального культурного наследия.</w:t>
      </w:r>
    </w:p>
  </w:footnote>
  <w:footnote w:id="3">
    <w:p w14:paraId="1B75B3C7" w14:textId="30AD5C50" w:rsidR="006704B3" w:rsidRPr="00F07379" w:rsidRDefault="006704B3" w:rsidP="00F07379">
      <w:pPr>
        <w:pStyle w:val="Notedebasdepage"/>
        <w:ind w:left="180" w:hanging="180"/>
        <w:jc w:val="both"/>
        <w:rPr>
          <w:rFonts w:asciiTheme="minorBidi" w:hAnsiTheme="minorBidi" w:cstheme="minorBidi"/>
          <w:sz w:val="18"/>
          <w:szCs w:val="18"/>
        </w:rPr>
      </w:pPr>
      <w:r w:rsidRPr="00F07379">
        <w:rPr>
          <w:rStyle w:val="Appelnotedebasdep"/>
          <w:rFonts w:asciiTheme="minorBidi" w:hAnsiTheme="minorBidi" w:cstheme="minorBidi"/>
          <w:sz w:val="18"/>
          <w:szCs w:val="18"/>
          <w:lang w:val="en-GB"/>
        </w:rPr>
        <w:footnoteRef/>
      </w:r>
      <w:r w:rsidRPr="00F07379">
        <w:rPr>
          <w:rFonts w:asciiTheme="minorBidi" w:hAnsiTheme="minorBidi" w:cstheme="minorBidi"/>
          <w:sz w:val="18"/>
          <w:szCs w:val="18"/>
        </w:rPr>
        <w:t xml:space="preserve"> </w:t>
      </w:r>
      <w:r w:rsidRPr="00F07379">
        <w:rPr>
          <w:rFonts w:asciiTheme="minorBidi" w:hAnsiTheme="minorBidi" w:cstheme="minorBidi"/>
          <w:sz w:val="18"/>
          <w:szCs w:val="18"/>
        </w:rPr>
        <w:tab/>
        <w:t>До своего исключения критерий P.9 гласил следующее: «программа, проект или мероприятие в первую очередь направлены на удовлетворение особых потребностей развивающихся стран».</w:t>
      </w:r>
    </w:p>
  </w:footnote>
  <w:footnote w:id="4">
    <w:p w14:paraId="7E09A3A8" w14:textId="0D7E89DA" w:rsidR="00276DE9" w:rsidRPr="00F07379" w:rsidRDefault="00276DE9" w:rsidP="00F07379">
      <w:pPr>
        <w:pStyle w:val="Notedebasdepage"/>
        <w:spacing w:after="120"/>
        <w:ind w:left="180" w:hanging="180"/>
        <w:jc w:val="both"/>
        <w:rPr>
          <w:rFonts w:asciiTheme="minorBidi" w:hAnsiTheme="minorBidi" w:cstheme="minorBidi"/>
          <w:sz w:val="18"/>
          <w:szCs w:val="18"/>
        </w:rPr>
      </w:pPr>
      <w:r w:rsidRPr="00F07379">
        <w:rPr>
          <w:rStyle w:val="Appelnotedebasdep"/>
          <w:rFonts w:asciiTheme="minorBidi" w:hAnsiTheme="minorBidi" w:cstheme="minorBidi"/>
          <w:sz w:val="18"/>
          <w:szCs w:val="18"/>
          <w:lang w:val="en-GB"/>
        </w:rPr>
        <w:footnoteRef/>
      </w:r>
      <w:r w:rsidRPr="00F07379">
        <w:rPr>
          <w:rFonts w:asciiTheme="minorBidi" w:hAnsiTheme="minorBidi" w:cstheme="minorBidi"/>
          <w:sz w:val="18"/>
          <w:szCs w:val="18"/>
        </w:rPr>
        <w:tab/>
        <w:t xml:space="preserve">См. </w:t>
      </w:r>
      <w:hyperlink r:id="rId2" w:history="1">
        <w:r w:rsidRPr="00F07379">
          <w:rPr>
            <w:rStyle w:val="Lienhypertexte"/>
            <w:rFonts w:asciiTheme="minorBidi" w:hAnsiTheme="minorBidi" w:cstheme="minorBidi"/>
            <w:sz w:val="18"/>
            <w:szCs w:val="18"/>
          </w:rPr>
          <w:t>специальную веб-страницу,</w:t>
        </w:r>
      </w:hyperlink>
      <w:r w:rsidRPr="00F07379">
        <w:rPr>
          <w:rFonts w:asciiTheme="minorBidi" w:hAnsiTheme="minorBidi" w:cstheme="minorBidi"/>
          <w:sz w:val="18"/>
          <w:szCs w:val="18"/>
        </w:rPr>
        <w:t xml:space="preserve"> посвященную заседанию рабочей группы, включая повестку дня и расписание, а также другие рабочие документы.</w:t>
      </w:r>
    </w:p>
  </w:footnote>
  <w:footnote w:id="5">
    <w:p w14:paraId="45304613" w14:textId="2B710283" w:rsidR="00D20D37" w:rsidRPr="00F07379" w:rsidRDefault="00D20D37" w:rsidP="00F07379">
      <w:pPr>
        <w:pStyle w:val="Notedebasdepage"/>
        <w:ind w:left="180" w:hanging="180"/>
        <w:jc w:val="both"/>
        <w:rPr>
          <w:rFonts w:asciiTheme="minorBidi" w:hAnsiTheme="minorBidi" w:cstheme="minorBidi"/>
          <w:sz w:val="18"/>
          <w:szCs w:val="18"/>
        </w:rPr>
      </w:pPr>
      <w:r w:rsidRPr="00F07379">
        <w:rPr>
          <w:rStyle w:val="Appelnotedebasdep"/>
          <w:rFonts w:asciiTheme="minorBidi" w:hAnsiTheme="minorBidi" w:cstheme="minorBidi"/>
          <w:sz w:val="18"/>
          <w:szCs w:val="18"/>
          <w:lang w:val="en-GB"/>
        </w:rPr>
        <w:footnoteRef/>
      </w:r>
      <w:r w:rsidR="00F07379" w:rsidRPr="00F07379">
        <w:rPr>
          <w:rFonts w:asciiTheme="minorBidi" w:hAnsiTheme="minorBidi" w:cstheme="minorBidi"/>
          <w:sz w:val="18"/>
          <w:szCs w:val="18"/>
        </w:rPr>
        <w:t xml:space="preserve"> </w:t>
      </w:r>
      <w:r w:rsidRPr="00F07379">
        <w:rPr>
          <w:rFonts w:asciiTheme="minorBidi" w:hAnsiTheme="minorBidi" w:cstheme="minorBidi"/>
          <w:sz w:val="18"/>
          <w:szCs w:val="18"/>
        </w:rPr>
        <w:t xml:space="preserve">8 марта 2024 года Соединенное Королевство Великобритании и Северной Ирландии подало документ о ратификации </w:t>
      </w:r>
      <w:r w:rsidRPr="00F07379">
        <w:rPr>
          <w:rFonts w:asciiTheme="minorBidi" w:hAnsiTheme="minorBidi" w:cstheme="minorBidi"/>
          <w:color w:val="000000"/>
          <w:sz w:val="18"/>
          <w:szCs w:val="18"/>
          <w:shd w:val="clear" w:color="auto" w:fill="FFFFFF"/>
        </w:rPr>
        <w:t>и 8 июня 2024 года станет 183-м государством, присоединившимся к Конвенции 2003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F16D669" w:rsidR="00D95C4C" w:rsidRPr="00C23A97" w:rsidRDefault="00C5776D" w:rsidP="00C5776D">
    <w:pPr>
      <w:pStyle w:val="En-tte"/>
      <w:rPr>
        <w:rFonts w:ascii="Arial" w:hAnsi="Arial" w:cs="Arial"/>
      </w:rPr>
    </w:pPr>
    <w:r>
      <w:rPr>
        <w:rFonts w:ascii="Arial" w:hAnsi="Arial"/>
        <w:sz w:val="20"/>
      </w:rPr>
      <w:t>LHE/24/10.GA/7</w:t>
    </w:r>
    <w:r w:rsidR="00D0520E">
      <w:rPr>
        <w:rFonts w:ascii="Arial" w:hAnsi="Arial"/>
        <w:sz w:val="20"/>
        <w:lang w:val="fr-FR"/>
      </w:rPr>
      <w:t xml:space="preserve"> –</w:t>
    </w:r>
    <w:r>
      <w:rPr>
        <w:rFonts w:ascii="Arial" w:hAnsi="Arial"/>
        <w:sz w:val="20"/>
      </w:rPr>
      <w:t xml:space="preserve"> </w:t>
    </w:r>
    <w:r w:rsidR="00801110" w:rsidRPr="002874EA">
      <w:rPr>
        <w:rFonts w:ascii="Arial" w:hAnsi="Arial"/>
        <w:sz w:val="20"/>
      </w:rPr>
      <w:t>страница</w:t>
    </w:r>
    <w:r w:rsidR="00D0520E">
      <w:rPr>
        <w:rFonts w:ascii="Arial" w:hAnsi="Arial"/>
        <w:sz w:val="20"/>
        <w:lang w:val="fr-FR"/>
      </w:rPr>
      <w:t xml:space="preserv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7215F64" w:rsidR="00D95C4C" w:rsidRPr="0063300C" w:rsidRDefault="00C5776D" w:rsidP="00C5776D">
    <w:pPr>
      <w:pStyle w:val="En-tte"/>
      <w:jc w:val="right"/>
      <w:rPr>
        <w:rFonts w:ascii="Arial" w:hAnsi="Arial" w:cs="Arial"/>
      </w:rPr>
    </w:pPr>
    <w:r>
      <w:rPr>
        <w:rFonts w:ascii="Arial" w:hAnsi="Arial"/>
        <w:sz w:val="20"/>
      </w:rPr>
      <w:t>LHE/24/10.GA/7</w:t>
    </w:r>
    <w:r w:rsidR="00D0520E">
      <w:rPr>
        <w:rFonts w:ascii="Arial" w:hAnsi="Arial"/>
        <w:sz w:val="20"/>
        <w:lang w:val="fr-FR"/>
      </w:rPr>
      <w:t xml:space="preserve"> –</w:t>
    </w:r>
    <w:r>
      <w:rPr>
        <w:rFonts w:ascii="Arial" w:hAnsi="Arial"/>
        <w:sz w:val="20"/>
      </w:rPr>
      <w:t xml:space="preserve"> </w:t>
    </w:r>
    <w:r w:rsidR="00801110" w:rsidRPr="002874EA">
      <w:rPr>
        <w:rFonts w:ascii="Arial" w:hAnsi="Arial"/>
        <w:sz w:val="20"/>
      </w:rPr>
      <w:t>страница</w:t>
    </w:r>
    <w:r w:rsidR="00D0520E">
      <w:rPr>
        <w:rFonts w:ascii="Arial" w:hAnsi="Arial"/>
        <w:sz w:val="20"/>
        <w:lang w:val="fr-FR"/>
      </w:rPr>
      <w:t xml:space="preserve">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2B06EA8D" w:rsidR="00D95C4C" w:rsidRPr="00E95AE2" w:rsidRDefault="00B93CB7">
    <w:pPr>
      <w:pStyle w:val="En-tte"/>
      <w:rPr>
        <w:sz w:val="22"/>
        <w:szCs w:val="22"/>
      </w:rPr>
    </w:pPr>
    <w:r>
      <w:rPr>
        <w:noProof/>
      </w:rPr>
      <w:drawing>
        <wp:anchor distT="0" distB="0" distL="114300" distR="114300" simplePos="0" relativeHeight="251659264" behindDoc="0" locked="0" layoutInCell="1" allowOverlap="1" wp14:anchorId="4360EBE7" wp14:editId="5697BE23">
          <wp:simplePos x="0" y="0"/>
          <wp:positionH relativeFrom="margin">
            <wp:align>left</wp:align>
          </wp:positionH>
          <wp:positionV relativeFrom="paragraph">
            <wp:posOffset>157480</wp:posOffset>
          </wp:positionV>
          <wp:extent cx="1543050" cy="1323975"/>
          <wp:effectExtent l="0" t="0" r="0" b="9525"/>
          <wp:wrapSquare wrapText="bothSides"/>
          <wp:docPr id="2" name="Image 2"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4087694F" w:rsidR="00D95C4C" w:rsidRPr="00D7105A" w:rsidRDefault="00C5776D" w:rsidP="00C5776D">
    <w:pPr>
      <w:jc w:val="right"/>
      <w:rPr>
        <w:rFonts w:ascii="Arial" w:hAnsi="Arial" w:cs="Arial"/>
        <w:b/>
        <w:sz w:val="22"/>
        <w:szCs w:val="22"/>
      </w:rPr>
    </w:pPr>
    <w:r>
      <w:rPr>
        <w:rFonts w:ascii="Arial" w:hAnsi="Arial"/>
        <w:b/>
        <w:sz w:val="22"/>
      </w:rPr>
      <w:t>LHE/24/10.GA/7</w:t>
    </w:r>
  </w:p>
  <w:p w14:paraId="1B4446C3" w14:textId="651FCE09" w:rsidR="00D95C4C" w:rsidRPr="00D7105A" w:rsidRDefault="00D95C4C" w:rsidP="00655736">
    <w:pPr>
      <w:jc w:val="right"/>
      <w:rPr>
        <w:rFonts w:ascii="Arial" w:eastAsiaTheme="minorEastAsia" w:hAnsi="Arial" w:cs="Arial"/>
        <w:b/>
        <w:sz w:val="22"/>
        <w:szCs w:val="22"/>
      </w:rPr>
    </w:pPr>
    <w:r w:rsidRPr="00B93CB7">
      <w:rPr>
        <w:rFonts w:ascii="Arial" w:hAnsi="Arial"/>
        <w:b/>
        <w:sz w:val="22"/>
      </w:rPr>
      <w:t>Париж, 13 мая 2024 г</w:t>
    </w:r>
    <w:r w:rsidR="006C5D70" w:rsidRPr="00E01E12">
      <w:rPr>
        <w:rFonts w:ascii="Arial" w:hAnsi="Arial"/>
        <w:b/>
        <w:sz w:val="22"/>
      </w:rPr>
      <w:t>.</w:t>
    </w:r>
  </w:p>
  <w:p w14:paraId="255B57FF" w14:textId="317B5DE1" w:rsidR="00D95C4C" w:rsidRPr="005A74ED" w:rsidRDefault="00D95C4C" w:rsidP="00962034">
    <w:pPr>
      <w:spacing w:after="120"/>
      <w:jc w:val="right"/>
      <w:rPr>
        <w:rFonts w:ascii="Arial" w:hAnsi="Arial" w:cs="Arial"/>
        <w:b/>
        <w:sz w:val="22"/>
        <w:szCs w:val="22"/>
      </w:rPr>
    </w:pPr>
    <w:r>
      <w:rPr>
        <w:rFonts w:ascii="Arial" w:hAnsi="Arial"/>
        <w:b/>
        <w:sz w:val="22"/>
      </w:rPr>
      <w:t>Оригинал: английский</w:t>
    </w:r>
  </w:p>
  <w:p w14:paraId="3C4B8B1B" w14:textId="77777777" w:rsidR="00D95C4C" w:rsidRPr="005A74ED"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33ED1"/>
    <w:multiLevelType w:val="hybridMultilevel"/>
    <w:tmpl w:val="291A2D54"/>
    <w:lvl w:ilvl="0" w:tplc="6EA08B20">
      <w:start w:val="1"/>
      <w:numFmt w:val="lowerLetter"/>
      <w:lvlText w:val="(%1)"/>
      <w:lvlJc w:val="left"/>
      <w:pPr>
        <w:ind w:left="720" w:hanging="360"/>
      </w:pPr>
      <w:rPr>
        <w:rFonts w:asciiTheme="minorBidi" w:eastAsia="Yu Mincho" w:hAnsiTheme="minorBid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2F7ABB"/>
    <w:multiLevelType w:val="hybridMultilevel"/>
    <w:tmpl w:val="81949B26"/>
    <w:lvl w:ilvl="0" w:tplc="040C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8B7B0B"/>
    <w:multiLevelType w:val="hybridMultilevel"/>
    <w:tmpl w:val="0F1890A8"/>
    <w:lvl w:ilvl="0" w:tplc="0409001B">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933BF"/>
    <w:multiLevelType w:val="multilevel"/>
    <w:tmpl w:val="C6E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07BFE"/>
    <w:multiLevelType w:val="hybridMultilevel"/>
    <w:tmpl w:val="BC6634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E1ABD"/>
    <w:multiLevelType w:val="hybridMultilevel"/>
    <w:tmpl w:val="D1A06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CA76E18"/>
    <w:multiLevelType w:val="hybridMultilevel"/>
    <w:tmpl w:val="44DAEB5A"/>
    <w:lvl w:ilvl="0" w:tplc="8E584D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4B2B18"/>
    <w:multiLevelType w:val="hybridMultilevel"/>
    <w:tmpl w:val="3A309BE0"/>
    <w:lvl w:ilvl="0" w:tplc="0D9EA3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4833242"/>
    <w:multiLevelType w:val="hybridMultilevel"/>
    <w:tmpl w:val="291A2D54"/>
    <w:lvl w:ilvl="0" w:tplc="FFFFFFFF">
      <w:start w:val="1"/>
      <w:numFmt w:val="lowerLetter"/>
      <w:lvlText w:val="(%1)"/>
      <w:lvlJc w:val="left"/>
      <w:pPr>
        <w:ind w:left="720" w:hanging="360"/>
      </w:pPr>
      <w:rPr>
        <w:rFonts w:asciiTheme="minorBidi" w:eastAsia="Yu Mincho" w:hAnsiTheme="minorBid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34E58C1"/>
    <w:multiLevelType w:val="hybridMultilevel"/>
    <w:tmpl w:val="BA7828D0"/>
    <w:lvl w:ilvl="0" w:tplc="61A68470">
      <w:start w:val="1"/>
      <w:numFmt w:val="lowerLetter"/>
      <w:lvlText w:val="%1)"/>
      <w:lvlJc w:val="left"/>
      <w:pPr>
        <w:ind w:left="720" w:hanging="360"/>
      </w:pPr>
      <w:rPr>
        <w:rFonts w:asciiTheme="minorBidi" w:eastAsia="Times New Roman" w:hAnsiTheme="minorBidi" w:cstheme="minorBidi"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822628298">
    <w:abstractNumId w:val="21"/>
  </w:num>
  <w:num w:numId="2" w16cid:durableId="699629408">
    <w:abstractNumId w:val="12"/>
  </w:num>
  <w:num w:numId="3" w16cid:durableId="164177712">
    <w:abstractNumId w:val="6"/>
  </w:num>
  <w:num w:numId="4" w16cid:durableId="1416590798">
    <w:abstractNumId w:val="26"/>
  </w:num>
  <w:num w:numId="5" w16cid:durableId="1762608160">
    <w:abstractNumId w:val="23"/>
  </w:num>
  <w:num w:numId="6" w16cid:durableId="2146270374">
    <w:abstractNumId w:val="3"/>
  </w:num>
  <w:num w:numId="7" w16cid:durableId="1113592211">
    <w:abstractNumId w:val="7"/>
  </w:num>
  <w:num w:numId="8" w16cid:durableId="1920598164">
    <w:abstractNumId w:val="17"/>
  </w:num>
  <w:num w:numId="9" w16cid:durableId="1533764642">
    <w:abstractNumId w:val="11"/>
  </w:num>
  <w:num w:numId="10" w16cid:durableId="1246129">
    <w:abstractNumId w:val="13"/>
  </w:num>
  <w:num w:numId="11" w16cid:durableId="111829808">
    <w:abstractNumId w:val="16"/>
  </w:num>
  <w:num w:numId="12" w16cid:durableId="1088770206">
    <w:abstractNumId w:val="14"/>
  </w:num>
  <w:num w:numId="13" w16cid:durableId="1263951029">
    <w:abstractNumId w:val="27"/>
  </w:num>
  <w:num w:numId="14" w16cid:durableId="395903570">
    <w:abstractNumId w:val="8"/>
  </w:num>
  <w:num w:numId="15" w16cid:durableId="1857570918">
    <w:abstractNumId w:val="11"/>
  </w:num>
  <w:num w:numId="16" w16cid:durableId="248199808">
    <w:abstractNumId w:val="11"/>
  </w:num>
  <w:num w:numId="17" w16cid:durableId="350380342">
    <w:abstractNumId w:val="11"/>
  </w:num>
  <w:num w:numId="18" w16cid:durableId="944581980">
    <w:abstractNumId w:val="11"/>
  </w:num>
  <w:num w:numId="19" w16cid:durableId="772675100">
    <w:abstractNumId w:val="11"/>
  </w:num>
  <w:num w:numId="20" w16cid:durableId="1253010311">
    <w:abstractNumId w:val="11"/>
  </w:num>
  <w:num w:numId="21" w16cid:durableId="540821319">
    <w:abstractNumId w:val="5"/>
  </w:num>
  <w:num w:numId="22" w16cid:durableId="2046514942">
    <w:abstractNumId w:val="11"/>
  </w:num>
  <w:num w:numId="23" w16cid:durableId="2013603031">
    <w:abstractNumId w:val="2"/>
  </w:num>
  <w:num w:numId="24" w16cid:durableId="228002203">
    <w:abstractNumId w:val="10"/>
  </w:num>
  <w:num w:numId="25" w16cid:durableId="680619780">
    <w:abstractNumId w:val="24"/>
  </w:num>
  <w:num w:numId="26" w16cid:durableId="1347095167">
    <w:abstractNumId w:val="11"/>
    <w:lvlOverride w:ilvl="0">
      <w:startOverride w:val="1"/>
    </w:lvlOverride>
  </w:num>
  <w:num w:numId="27" w16cid:durableId="565459000">
    <w:abstractNumId w:val="11"/>
    <w:lvlOverride w:ilvl="0">
      <w:startOverride w:val="1"/>
    </w:lvlOverride>
  </w:num>
  <w:num w:numId="28" w16cid:durableId="458453169">
    <w:abstractNumId w:val="11"/>
  </w:num>
  <w:num w:numId="29" w16cid:durableId="334380643">
    <w:abstractNumId w:val="11"/>
  </w:num>
  <w:num w:numId="30" w16cid:durableId="1019117349">
    <w:abstractNumId w:val="22"/>
  </w:num>
  <w:num w:numId="31" w16cid:durableId="2141457937">
    <w:abstractNumId w:val="18"/>
  </w:num>
  <w:num w:numId="32" w16cid:durableId="1347245547">
    <w:abstractNumId w:val="28"/>
  </w:num>
  <w:num w:numId="33" w16cid:durableId="1061052330">
    <w:abstractNumId w:val="20"/>
  </w:num>
  <w:num w:numId="34" w16cid:durableId="974944852">
    <w:abstractNumId w:val="4"/>
  </w:num>
  <w:num w:numId="35" w16cid:durableId="1830368694">
    <w:abstractNumId w:val="0"/>
  </w:num>
  <w:num w:numId="36" w16cid:durableId="1793017941">
    <w:abstractNumId w:val="15"/>
  </w:num>
  <w:num w:numId="37" w16cid:durableId="1669088779">
    <w:abstractNumId w:val="11"/>
  </w:num>
  <w:num w:numId="38" w16cid:durableId="1031341962">
    <w:abstractNumId w:val="11"/>
  </w:num>
  <w:num w:numId="39" w16cid:durableId="1924873158">
    <w:abstractNumId w:val="1"/>
  </w:num>
  <w:num w:numId="40" w16cid:durableId="1065565423">
    <w:abstractNumId w:val="25"/>
  </w:num>
  <w:num w:numId="41" w16cid:durableId="763845828">
    <w:abstractNumId w:val="9"/>
  </w:num>
  <w:num w:numId="42" w16cid:durableId="647898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4CE0"/>
    <w:rsid w:val="00041A66"/>
    <w:rsid w:val="00042D88"/>
    <w:rsid w:val="00046A7A"/>
    <w:rsid w:val="0005176E"/>
    <w:rsid w:val="00057DF5"/>
    <w:rsid w:val="000631F9"/>
    <w:rsid w:val="00063D10"/>
    <w:rsid w:val="00063F63"/>
    <w:rsid w:val="00071766"/>
    <w:rsid w:val="000765F7"/>
    <w:rsid w:val="0007725F"/>
    <w:rsid w:val="00077AB7"/>
    <w:rsid w:val="00081CD8"/>
    <w:rsid w:val="000A7F0E"/>
    <w:rsid w:val="000B1C8F"/>
    <w:rsid w:val="000B6FE4"/>
    <w:rsid w:val="000C0D61"/>
    <w:rsid w:val="000D7577"/>
    <w:rsid w:val="000E2AD4"/>
    <w:rsid w:val="000F3A3F"/>
    <w:rsid w:val="00102557"/>
    <w:rsid w:val="0010351D"/>
    <w:rsid w:val="00135E87"/>
    <w:rsid w:val="00146E40"/>
    <w:rsid w:val="00147A38"/>
    <w:rsid w:val="00164D56"/>
    <w:rsid w:val="00167B10"/>
    <w:rsid w:val="0017402F"/>
    <w:rsid w:val="00190205"/>
    <w:rsid w:val="00190D9E"/>
    <w:rsid w:val="001945CF"/>
    <w:rsid w:val="00196C1B"/>
    <w:rsid w:val="001A409F"/>
    <w:rsid w:val="001B0F73"/>
    <w:rsid w:val="001B4B7E"/>
    <w:rsid w:val="001C2DB7"/>
    <w:rsid w:val="001D14FE"/>
    <w:rsid w:val="001D5C04"/>
    <w:rsid w:val="001F26CF"/>
    <w:rsid w:val="001F6286"/>
    <w:rsid w:val="002175DF"/>
    <w:rsid w:val="00222A2D"/>
    <w:rsid w:val="00223029"/>
    <w:rsid w:val="002247F2"/>
    <w:rsid w:val="00234745"/>
    <w:rsid w:val="002351A6"/>
    <w:rsid w:val="002354AB"/>
    <w:rsid w:val="002379EC"/>
    <w:rsid w:val="00240043"/>
    <w:rsid w:val="002407AF"/>
    <w:rsid w:val="00245501"/>
    <w:rsid w:val="00254B26"/>
    <w:rsid w:val="0026221A"/>
    <w:rsid w:val="00267D64"/>
    <w:rsid w:val="0027466B"/>
    <w:rsid w:val="00276DE9"/>
    <w:rsid w:val="002814F6"/>
    <w:rsid w:val="002838A5"/>
    <w:rsid w:val="00285BB4"/>
    <w:rsid w:val="00293DF9"/>
    <w:rsid w:val="002C09E3"/>
    <w:rsid w:val="002C6A2C"/>
    <w:rsid w:val="002D1244"/>
    <w:rsid w:val="002D5023"/>
    <w:rsid w:val="002E0E56"/>
    <w:rsid w:val="002E1F29"/>
    <w:rsid w:val="00337CEB"/>
    <w:rsid w:val="00344B58"/>
    <w:rsid w:val="0034539A"/>
    <w:rsid w:val="00345CB4"/>
    <w:rsid w:val="00375D42"/>
    <w:rsid w:val="00381294"/>
    <w:rsid w:val="003A219E"/>
    <w:rsid w:val="003C032A"/>
    <w:rsid w:val="003C2707"/>
    <w:rsid w:val="003D069C"/>
    <w:rsid w:val="003D1600"/>
    <w:rsid w:val="003D7646"/>
    <w:rsid w:val="003E5457"/>
    <w:rsid w:val="003F113A"/>
    <w:rsid w:val="003F138E"/>
    <w:rsid w:val="003F3E63"/>
    <w:rsid w:val="00407480"/>
    <w:rsid w:val="00414643"/>
    <w:rsid w:val="0042269F"/>
    <w:rsid w:val="00424E74"/>
    <w:rsid w:val="004313C4"/>
    <w:rsid w:val="0043793C"/>
    <w:rsid w:val="004421E5"/>
    <w:rsid w:val="00446602"/>
    <w:rsid w:val="00452284"/>
    <w:rsid w:val="00457C8E"/>
    <w:rsid w:val="00480175"/>
    <w:rsid w:val="004830F4"/>
    <w:rsid w:val="00483D98"/>
    <w:rsid w:val="004856CA"/>
    <w:rsid w:val="00487E67"/>
    <w:rsid w:val="004906B7"/>
    <w:rsid w:val="0049705E"/>
    <w:rsid w:val="004A2875"/>
    <w:rsid w:val="004A34A0"/>
    <w:rsid w:val="004A55F2"/>
    <w:rsid w:val="004C7C82"/>
    <w:rsid w:val="004E78CB"/>
    <w:rsid w:val="005008A8"/>
    <w:rsid w:val="00510B85"/>
    <w:rsid w:val="00510E6E"/>
    <w:rsid w:val="00517FD8"/>
    <w:rsid w:val="00520981"/>
    <w:rsid w:val="00525F72"/>
    <w:rsid w:val="00526B7B"/>
    <w:rsid w:val="005274D2"/>
    <w:rsid w:val="005308CE"/>
    <w:rsid w:val="0053318C"/>
    <w:rsid w:val="0054535F"/>
    <w:rsid w:val="00566DC0"/>
    <w:rsid w:val="005734A4"/>
    <w:rsid w:val="00573ED2"/>
    <w:rsid w:val="0057439C"/>
    <w:rsid w:val="0059118D"/>
    <w:rsid w:val="005960FA"/>
    <w:rsid w:val="005A6703"/>
    <w:rsid w:val="005A74ED"/>
    <w:rsid w:val="005B0127"/>
    <w:rsid w:val="005B7A35"/>
    <w:rsid w:val="005C4B73"/>
    <w:rsid w:val="005C792B"/>
    <w:rsid w:val="005E1D2B"/>
    <w:rsid w:val="005E7074"/>
    <w:rsid w:val="005F2BAF"/>
    <w:rsid w:val="005F5AC5"/>
    <w:rsid w:val="00600D93"/>
    <w:rsid w:val="00602A43"/>
    <w:rsid w:val="00605157"/>
    <w:rsid w:val="00611325"/>
    <w:rsid w:val="00626BEA"/>
    <w:rsid w:val="0063300C"/>
    <w:rsid w:val="0064071E"/>
    <w:rsid w:val="006452A1"/>
    <w:rsid w:val="00651A5B"/>
    <w:rsid w:val="00655736"/>
    <w:rsid w:val="00657F05"/>
    <w:rsid w:val="00663B8D"/>
    <w:rsid w:val="006704B3"/>
    <w:rsid w:val="00696C8D"/>
    <w:rsid w:val="006A2AC2"/>
    <w:rsid w:val="006A3617"/>
    <w:rsid w:val="006B2AE6"/>
    <w:rsid w:val="006B4452"/>
    <w:rsid w:val="006C5D70"/>
    <w:rsid w:val="006C6625"/>
    <w:rsid w:val="006D2DF9"/>
    <w:rsid w:val="006E46E4"/>
    <w:rsid w:val="006E75EB"/>
    <w:rsid w:val="00717DA5"/>
    <w:rsid w:val="00731CC4"/>
    <w:rsid w:val="007333D0"/>
    <w:rsid w:val="00734E47"/>
    <w:rsid w:val="0073772F"/>
    <w:rsid w:val="007407CE"/>
    <w:rsid w:val="00744484"/>
    <w:rsid w:val="00747566"/>
    <w:rsid w:val="00773188"/>
    <w:rsid w:val="0077591C"/>
    <w:rsid w:val="007821B3"/>
    <w:rsid w:val="00783782"/>
    <w:rsid w:val="00784B8C"/>
    <w:rsid w:val="007879E1"/>
    <w:rsid w:val="007A2408"/>
    <w:rsid w:val="007A78BD"/>
    <w:rsid w:val="007B6D03"/>
    <w:rsid w:val="007C7B15"/>
    <w:rsid w:val="007D3515"/>
    <w:rsid w:val="007E57AA"/>
    <w:rsid w:val="00801110"/>
    <w:rsid w:val="00807F3A"/>
    <w:rsid w:val="008222B5"/>
    <w:rsid w:val="00823A11"/>
    <w:rsid w:val="0083535B"/>
    <w:rsid w:val="008451D0"/>
    <w:rsid w:val="008520A6"/>
    <w:rsid w:val="0085405E"/>
    <w:rsid w:val="0085414A"/>
    <w:rsid w:val="008567D8"/>
    <w:rsid w:val="00857EB9"/>
    <w:rsid w:val="0086269D"/>
    <w:rsid w:val="0086543A"/>
    <w:rsid w:val="008724E5"/>
    <w:rsid w:val="008725A6"/>
    <w:rsid w:val="008765C9"/>
    <w:rsid w:val="00884A9D"/>
    <w:rsid w:val="0088512B"/>
    <w:rsid w:val="00890CD4"/>
    <w:rsid w:val="008A289D"/>
    <w:rsid w:val="008A2B2D"/>
    <w:rsid w:val="008A4E1E"/>
    <w:rsid w:val="008A6458"/>
    <w:rsid w:val="008B3861"/>
    <w:rsid w:val="008C296C"/>
    <w:rsid w:val="008C75F1"/>
    <w:rsid w:val="008D4305"/>
    <w:rsid w:val="008D45F4"/>
    <w:rsid w:val="008E1A85"/>
    <w:rsid w:val="008E344F"/>
    <w:rsid w:val="008E5CA9"/>
    <w:rsid w:val="00901307"/>
    <w:rsid w:val="00903443"/>
    <w:rsid w:val="00903F5C"/>
    <w:rsid w:val="00907749"/>
    <w:rsid w:val="009163A7"/>
    <w:rsid w:val="00937D53"/>
    <w:rsid w:val="00940217"/>
    <w:rsid w:val="00946D0B"/>
    <w:rsid w:val="009472DE"/>
    <w:rsid w:val="00955877"/>
    <w:rsid w:val="00962034"/>
    <w:rsid w:val="0096526A"/>
    <w:rsid w:val="00972E5B"/>
    <w:rsid w:val="009A18CD"/>
    <w:rsid w:val="009B0335"/>
    <w:rsid w:val="009C35E6"/>
    <w:rsid w:val="009D52DC"/>
    <w:rsid w:val="009D5428"/>
    <w:rsid w:val="00A12558"/>
    <w:rsid w:val="00A13903"/>
    <w:rsid w:val="00A32A66"/>
    <w:rsid w:val="00A34ED5"/>
    <w:rsid w:val="00A45DBF"/>
    <w:rsid w:val="00A64F7D"/>
    <w:rsid w:val="00A725CF"/>
    <w:rsid w:val="00A755A2"/>
    <w:rsid w:val="00A91430"/>
    <w:rsid w:val="00AA1AF5"/>
    <w:rsid w:val="00AA590D"/>
    <w:rsid w:val="00AA6660"/>
    <w:rsid w:val="00AA70D8"/>
    <w:rsid w:val="00AB2C36"/>
    <w:rsid w:val="00AB6DDE"/>
    <w:rsid w:val="00AB70B6"/>
    <w:rsid w:val="00AC18C1"/>
    <w:rsid w:val="00AD1A86"/>
    <w:rsid w:val="00AD50A7"/>
    <w:rsid w:val="00AD5C46"/>
    <w:rsid w:val="00AE103E"/>
    <w:rsid w:val="00AF0A07"/>
    <w:rsid w:val="00AF4AEC"/>
    <w:rsid w:val="00AF625E"/>
    <w:rsid w:val="00B139BE"/>
    <w:rsid w:val="00B2172B"/>
    <w:rsid w:val="00B33004"/>
    <w:rsid w:val="00B34428"/>
    <w:rsid w:val="00B65409"/>
    <w:rsid w:val="00B8062D"/>
    <w:rsid w:val="00B917D2"/>
    <w:rsid w:val="00B92063"/>
    <w:rsid w:val="00B93CB7"/>
    <w:rsid w:val="00B97EB3"/>
    <w:rsid w:val="00BA241A"/>
    <w:rsid w:val="00BA5FB6"/>
    <w:rsid w:val="00BB04AF"/>
    <w:rsid w:val="00BB4607"/>
    <w:rsid w:val="00BB6EEC"/>
    <w:rsid w:val="00BC5703"/>
    <w:rsid w:val="00BD52C9"/>
    <w:rsid w:val="00BE6354"/>
    <w:rsid w:val="00C11E9A"/>
    <w:rsid w:val="00C138D1"/>
    <w:rsid w:val="00C20EA2"/>
    <w:rsid w:val="00C23A97"/>
    <w:rsid w:val="00C46770"/>
    <w:rsid w:val="00C52EBE"/>
    <w:rsid w:val="00C5776D"/>
    <w:rsid w:val="00C64855"/>
    <w:rsid w:val="00C70EA7"/>
    <w:rsid w:val="00C7433F"/>
    <w:rsid w:val="00C7516E"/>
    <w:rsid w:val="00C75770"/>
    <w:rsid w:val="00C776F0"/>
    <w:rsid w:val="00CA56BB"/>
    <w:rsid w:val="00CB0542"/>
    <w:rsid w:val="00CB4318"/>
    <w:rsid w:val="00CC7F90"/>
    <w:rsid w:val="00CD437B"/>
    <w:rsid w:val="00D00B2B"/>
    <w:rsid w:val="00D0520E"/>
    <w:rsid w:val="00D17348"/>
    <w:rsid w:val="00D20D37"/>
    <w:rsid w:val="00D24877"/>
    <w:rsid w:val="00D27E95"/>
    <w:rsid w:val="00D3202B"/>
    <w:rsid w:val="00D63318"/>
    <w:rsid w:val="00D7105A"/>
    <w:rsid w:val="00D74F3A"/>
    <w:rsid w:val="00D8250F"/>
    <w:rsid w:val="00D86BB3"/>
    <w:rsid w:val="00D937DE"/>
    <w:rsid w:val="00D95C4C"/>
    <w:rsid w:val="00D974AC"/>
    <w:rsid w:val="00DA2EF5"/>
    <w:rsid w:val="00DA36ED"/>
    <w:rsid w:val="00DA76A4"/>
    <w:rsid w:val="00DC49CB"/>
    <w:rsid w:val="00DE34F1"/>
    <w:rsid w:val="00DE6160"/>
    <w:rsid w:val="00DF032F"/>
    <w:rsid w:val="00DF4942"/>
    <w:rsid w:val="00E01E12"/>
    <w:rsid w:val="00E2125F"/>
    <w:rsid w:val="00E244E1"/>
    <w:rsid w:val="00E271C5"/>
    <w:rsid w:val="00E4150C"/>
    <w:rsid w:val="00E627B1"/>
    <w:rsid w:val="00E70169"/>
    <w:rsid w:val="00E9376C"/>
    <w:rsid w:val="00E95AE2"/>
    <w:rsid w:val="00EA335E"/>
    <w:rsid w:val="00EA528C"/>
    <w:rsid w:val="00EA580C"/>
    <w:rsid w:val="00EB4C96"/>
    <w:rsid w:val="00EC6F8D"/>
    <w:rsid w:val="00ED3519"/>
    <w:rsid w:val="00ED39B2"/>
    <w:rsid w:val="00EE49F4"/>
    <w:rsid w:val="00EF34E2"/>
    <w:rsid w:val="00F07379"/>
    <w:rsid w:val="00F24FD6"/>
    <w:rsid w:val="00F30DC6"/>
    <w:rsid w:val="00F31F96"/>
    <w:rsid w:val="00F32C23"/>
    <w:rsid w:val="00F53DE9"/>
    <w:rsid w:val="00F576CB"/>
    <w:rsid w:val="00F7035D"/>
    <w:rsid w:val="00F70CC5"/>
    <w:rsid w:val="00F71A02"/>
    <w:rsid w:val="00FA030C"/>
    <w:rsid w:val="00FA0D63"/>
    <w:rsid w:val="00FB724D"/>
    <w:rsid w:val="00FC5A33"/>
    <w:rsid w:val="00FD1226"/>
    <w:rsid w:val="00FD4BC8"/>
    <w:rsid w:val="00FE2168"/>
    <w:rsid w:val="00FE36B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ru-RU"/>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ru-RU"/>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ru-RU"/>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aliases w:val=" Car Car3 Char, Car Car3 Char Char Char Char"/>
    <w:basedOn w:val="Policepardfaut"/>
    <w:link w:val="CarCar3"/>
    <w:uiPriority w:val="99"/>
    <w:unhideWhenUsed/>
    <w:rsid w:val="0043793C"/>
    <w:rPr>
      <w:color w:val="0000FF" w:themeColor="hyperlink"/>
      <w:u w:val="single"/>
    </w:rPr>
  </w:style>
  <w:style w:type="character" w:styleId="Mentionnonrsolue">
    <w:name w:val="Unresolved Mention"/>
    <w:basedOn w:val="Policepardfaut"/>
    <w:uiPriority w:val="99"/>
    <w:semiHidden/>
    <w:unhideWhenUsed/>
    <w:rsid w:val="0043793C"/>
    <w:rPr>
      <w:color w:val="605E5C"/>
      <w:shd w:val="clear" w:color="auto" w:fill="E1DFDD"/>
    </w:rPr>
  </w:style>
  <w:style w:type="character" w:styleId="Lienhypertextesuivivisit">
    <w:name w:val="FollowedHyperlink"/>
    <w:basedOn w:val="Policepardfaut"/>
    <w:uiPriority w:val="99"/>
    <w:semiHidden/>
    <w:unhideWhenUsed/>
    <w:rsid w:val="007B6D03"/>
    <w:rPr>
      <w:color w:val="800080" w:themeColor="followedHyperlink"/>
      <w:u w:val="single"/>
    </w:rPr>
  </w:style>
  <w:style w:type="table" w:customStyle="1" w:styleId="Grilledutableau2">
    <w:name w:val="Grille du tableau2"/>
    <w:basedOn w:val="TableauNormal"/>
    <w:next w:val="Grilledutableau"/>
    <w:uiPriority w:val="39"/>
    <w:rsid w:val="007B6D03"/>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ara">
    <w:name w:val="GA Para"/>
    <w:qFormat/>
    <w:rsid w:val="00046A7A"/>
    <w:pPr>
      <w:spacing w:after="120"/>
      <w:ind w:left="720" w:hanging="360"/>
    </w:pPr>
    <w:rPr>
      <w:rFonts w:ascii="Arial" w:eastAsia="Times New Roman" w:hAnsi="Arial" w:cs="Arial"/>
      <w:snapToGrid w:val="0"/>
      <w:sz w:val="22"/>
      <w:szCs w:val="22"/>
      <w:lang w:eastAsia="en-US"/>
    </w:rPr>
  </w:style>
  <w:style w:type="paragraph" w:customStyle="1" w:styleId="CarCar3">
    <w:name w:val="Car Car3"/>
    <w:aliases w:val=" Car Car3 Char Char"/>
    <w:basedOn w:val="Normal"/>
    <w:link w:val="Lienhypertexte"/>
    <w:uiPriority w:val="99"/>
    <w:rsid w:val="00046A7A"/>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paragraph" w:customStyle="1" w:styleId="Style1">
    <w:name w:val="Style1"/>
    <w:basedOn w:val="Normal"/>
    <w:rsid w:val="00146E40"/>
    <w:pPr>
      <w:pBdr>
        <w:top w:val="nil"/>
        <w:left w:val="nil"/>
        <w:bottom w:val="nil"/>
        <w:right w:val="nil"/>
        <w:between w:val="nil"/>
        <w:bar w:val="nil"/>
      </w:pBdr>
      <w:spacing w:before="120" w:after="240"/>
      <w:ind w:left="567" w:hanging="567"/>
      <w:jc w:val="both"/>
    </w:pPr>
    <w:rPr>
      <w:rFonts w:ascii="Arial" w:hAnsi="Arial" w:cs="Arial"/>
      <w:snapToGrid w:val="0"/>
      <w:sz w:val="22"/>
      <w:szCs w:val="22"/>
      <w:lang w:eastAsia="en-US"/>
    </w:rPr>
  </w:style>
  <w:style w:type="paragraph" w:styleId="Rvision">
    <w:name w:val="Revision"/>
    <w:hidden/>
    <w:uiPriority w:val="99"/>
    <w:semiHidden/>
    <w:rsid w:val="000D7577"/>
    <w:rPr>
      <w:rFonts w:ascii="Times New Roman" w:eastAsia="Times New Roman" w:hAnsi="Times New Roman"/>
      <w:sz w:val="24"/>
      <w:szCs w:val="24"/>
    </w:rPr>
  </w:style>
  <w:style w:type="character" w:customStyle="1" w:styleId="Aucun">
    <w:name w:val="Aucun"/>
    <w:rsid w:val="00381294"/>
    <w:rPr>
      <w:lang w:val="ru-RU"/>
    </w:rPr>
  </w:style>
  <w:style w:type="character" w:styleId="Marquedecommentaire">
    <w:name w:val="annotation reference"/>
    <w:basedOn w:val="Policepardfaut"/>
    <w:uiPriority w:val="99"/>
    <w:semiHidden/>
    <w:unhideWhenUsed/>
    <w:rsid w:val="007C7B15"/>
    <w:rPr>
      <w:sz w:val="16"/>
      <w:szCs w:val="16"/>
    </w:rPr>
  </w:style>
  <w:style w:type="paragraph" w:styleId="Commentaire">
    <w:name w:val="annotation text"/>
    <w:basedOn w:val="Normal"/>
    <w:link w:val="CommentaireCar"/>
    <w:uiPriority w:val="99"/>
    <w:unhideWhenUsed/>
    <w:rsid w:val="007C7B15"/>
    <w:rPr>
      <w:sz w:val="20"/>
      <w:szCs w:val="20"/>
    </w:rPr>
  </w:style>
  <w:style w:type="character" w:customStyle="1" w:styleId="CommentaireCar">
    <w:name w:val="Commentaire Car"/>
    <w:basedOn w:val="Policepardfaut"/>
    <w:link w:val="Commentaire"/>
    <w:uiPriority w:val="99"/>
    <w:rsid w:val="007C7B1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C7B15"/>
    <w:rPr>
      <w:b/>
      <w:bCs/>
    </w:rPr>
  </w:style>
  <w:style w:type="character" w:customStyle="1" w:styleId="ObjetducommentaireCar">
    <w:name w:val="Objet du commentaire Car"/>
    <w:basedOn w:val="CommentaireCar"/>
    <w:link w:val="Objetducommentaire"/>
    <w:uiPriority w:val="99"/>
    <w:semiHidden/>
    <w:rsid w:val="007C7B15"/>
    <w:rPr>
      <w:rFonts w:ascii="Times New Roman" w:eastAsia="Times New Roman" w:hAnsi="Times New Roman"/>
      <w:b/>
      <w:bCs/>
    </w:rPr>
  </w:style>
  <w:style w:type="character" w:customStyle="1" w:styleId="hps">
    <w:name w:val="hps"/>
    <w:rsid w:val="006C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4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87245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88482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11_EN.docx" TargetMode="External"/><Relationship Id="rId13" Type="http://schemas.openxmlformats.org/officeDocument/2006/relationships/hyperlink" Target="https://ich.unesco.org/doc/src/LHE-22-17.COM-10-EN.docx" TargetMode="External"/><Relationship Id="rId18" Type="http://schemas.openxmlformats.org/officeDocument/2006/relationships/hyperlink" Target="https://ich.unesco.org/en/decisions/18.COM/11" TargetMode="External"/><Relationship Id="rId26" Type="http://schemas.openxmlformats.org/officeDocument/2006/relationships/hyperlink" Target="https://ich.unesco.org/en/decisions/18.COM/11" TargetMode="External"/><Relationship Id="rId3" Type="http://schemas.openxmlformats.org/officeDocument/2006/relationships/styles" Target="styles.xml"/><Relationship Id="rId21" Type="http://schemas.openxmlformats.org/officeDocument/2006/relationships/hyperlink" Target="https://ich.unesco.org/en/decisions/18.COM/10" TargetMode="External"/><Relationship Id="rId7" Type="http://schemas.openxmlformats.org/officeDocument/2006/relationships/endnotes" Target="endnotes.xml"/><Relationship Id="rId12" Type="http://schemas.openxmlformats.org/officeDocument/2006/relationships/hyperlink" Target="https://ich.unesco.org/en/Decisions/16.COM/14" TargetMode="External"/><Relationship Id="rId17" Type="http://schemas.openxmlformats.org/officeDocument/2006/relationships/hyperlink" Target="https://ich.unesco.org/doc/src/LHE-23-EXP_ART18-4_EN.docx" TargetMode="External"/><Relationship Id="rId25" Type="http://schemas.openxmlformats.org/officeDocument/2006/relationships/hyperlink" Target="https://ich.unesco.org/en/decisions/18.COM/10" TargetMode="External"/><Relationship Id="rId2" Type="http://schemas.openxmlformats.org/officeDocument/2006/relationships/numbering" Target="numbering.xml"/><Relationship Id="rId16" Type="http://schemas.openxmlformats.org/officeDocument/2006/relationships/hyperlink" Target="https://ich.unesco.org/doc/src/LHE-23-18.COM-11_EN.docx" TargetMode="External"/><Relationship Id="rId20" Type="http://schemas.openxmlformats.org/officeDocument/2006/relationships/hyperlink" Target="https://ich.unesco.org/en/Decisions/17.COM/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Resolutions-RU.docx" TargetMode="External"/><Relationship Id="rId24" Type="http://schemas.openxmlformats.org/officeDocument/2006/relationships/hyperlink" Target="https://ich.unesco.org/en/Decisions/17.COM/7" TargetMode="External"/><Relationship Id="rId5" Type="http://schemas.openxmlformats.org/officeDocument/2006/relationships/webSettings" Target="webSettings.xml"/><Relationship Id="rId15" Type="http://schemas.openxmlformats.org/officeDocument/2006/relationships/hyperlink" Target="https://ich.unesco.org/doc/src/LHE-23-EXP_ART18-4_EN.docx" TargetMode="External"/><Relationship Id="rId23" Type="http://schemas.openxmlformats.org/officeDocument/2006/relationships/hyperlink" Target="https://ich.unesco.org/en/decisions/16.COM/14" TargetMode="External"/><Relationship Id="rId28" Type="http://schemas.openxmlformats.org/officeDocument/2006/relationships/header" Target="header2.xml"/><Relationship Id="rId10" Type="http://schemas.openxmlformats.org/officeDocument/2006/relationships/hyperlink" Target="https://ich.unesco.org/en/Decisions/16.COM/14" TargetMode="External"/><Relationship Id="rId19" Type="http://schemas.openxmlformats.org/officeDocument/2006/relationships/hyperlink" Target="https://ich.unesco.org/doc/src/LHE-22-9.GA-Resolutions-RU.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8.COM/11" TargetMode="External"/><Relationship Id="rId14" Type="http://schemas.openxmlformats.org/officeDocument/2006/relationships/hyperlink" Target="https://ich.unesco.org/en/Decisions/17.COM/10" TargetMode="External"/><Relationship Id="rId22" Type="http://schemas.openxmlformats.org/officeDocument/2006/relationships/hyperlink" Target="https://ich.unesco.org/doc/src/LHE-22-9.GA-Resolutions-RU.doc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meeting-of-experts-category-vi-01306" TargetMode="External"/><Relationship Id="rId1" Type="http://schemas.openxmlformats.org/officeDocument/2006/relationships/hyperlink" Target="https://ich.unesco.org/en/global-reflection-on-the-listing-mechanism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65</TotalTime>
  <Pages>9</Pages>
  <Words>2898</Words>
  <Characters>15943</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11</cp:revision>
  <cp:lastPrinted>2024-03-27T09:41:00Z</cp:lastPrinted>
  <dcterms:created xsi:type="dcterms:W3CDTF">2024-05-13T08:39:00Z</dcterms:created>
  <dcterms:modified xsi:type="dcterms:W3CDTF">2024-05-13T18:01:00Z</dcterms:modified>
</cp:coreProperties>
</file>