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BC" w:rsidRPr="000432BF" w:rsidRDefault="009F28BC" w:rsidP="009F28BC">
      <w:pPr>
        <w:pStyle w:val="Chapitre"/>
        <w:rPr>
          <w:lang w:val="es-ES"/>
        </w:rPr>
      </w:pPr>
      <w:bookmarkStart w:id="0" w:name="_Toc241229778"/>
      <w:bookmarkStart w:id="1" w:name="_Toc241229982"/>
      <w:bookmarkStart w:id="2" w:name="_Toc242165676"/>
      <w:r w:rsidRPr="000432BF">
        <w:rPr>
          <w:lang w:val="es-ES"/>
        </w:rPr>
        <w:t>Uni</w:t>
      </w:r>
      <w:r w:rsidR="00EB3BF2" w:rsidRPr="000432BF">
        <w:rPr>
          <w:lang w:val="es-ES"/>
        </w:rPr>
        <w:t>DAD</w:t>
      </w:r>
      <w:r w:rsidRPr="000432BF">
        <w:rPr>
          <w:lang w:val="es-ES"/>
        </w:rPr>
        <w:t xml:space="preserve"> 6</w:t>
      </w:r>
    </w:p>
    <w:p w:rsidR="006C700E" w:rsidRPr="000432BF" w:rsidRDefault="00EB3BF2" w:rsidP="006C700E">
      <w:pPr>
        <w:pStyle w:val="HO1"/>
        <w:rPr>
          <w:lang w:val="es-ES"/>
        </w:rPr>
      </w:pPr>
      <w:r w:rsidRPr="000432BF">
        <w:rPr>
          <w:lang w:val="es-ES"/>
        </w:rPr>
        <w:t>Folleto</w:t>
      </w:r>
      <w:r w:rsidR="006C700E" w:rsidRPr="000432BF">
        <w:rPr>
          <w:lang w:val="es-ES"/>
        </w:rPr>
        <w:t xml:space="preserve">: </w:t>
      </w:r>
    </w:p>
    <w:bookmarkEnd w:id="0"/>
    <w:bookmarkEnd w:id="1"/>
    <w:bookmarkEnd w:id="2"/>
    <w:p w:rsidR="0031587B" w:rsidRPr="000432BF" w:rsidRDefault="00690E85" w:rsidP="00C73E9C">
      <w:pPr>
        <w:pStyle w:val="HO2"/>
        <w:rPr>
          <w:lang w:val="es-ES"/>
        </w:rPr>
      </w:pPr>
      <w:r>
        <w:rPr>
          <w:lang w:val="es-ES"/>
        </w:rPr>
        <w:t xml:space="preserve">MARCO </w:t>
      </w:r>
      <w:r w:rsidR="00DB1F84" w:rsidRPr="000432BF">
        <w:rPr>
          <w:lang w:val="es-ES"/>
        </w:rPr>
        <w:t>DE INVENTARIO</w:t>
      </w:r>
    </w:p>
    <w:p w:rsidR="0031587B" w:rsidRPr="000432BF" w:rsidRDefault="0031587B" w:rsidP="0031587B">
      <w:pPr>
        <w:pStyle w:val="Soustitre"/>
        <w:rPr>
          <w:i w:val="0"/>
          <w:w w:val="107"/>
          <w:lang w:val="es-ES"/>
        </w:rPr>
      </w:pPr>
      <w:r w:rsidRPr="000432BF">
        <w:rPr>
          <w:w w:val="106"/>
          <w:lang w:val="es-ES"/>
        </w:rPr>
        <w:t>M</w:t>
      </w:r>
      <w:r w:rsidR="00217A6C" w:rsidRPr="000432BF">
        <w:rPr>
          <w:w w:val="106"/>
          <w:lang w:val="es-ES"/>
        </w:rPr>
        <w:t>arco modelo para identificar elemento</w:t>
      </w:r>
      <w:r w:rsidR="009F0B72">
        <w:rPr>
          <w:w w:val="106"/>
          <w:lang w:val="es-ES"/>
        </w:rPr>
        <w:t xml:space="preserve">s del PCI a la hora de efectuar </w:t>
      </w:r>
      <w:r w:rsidR="00217A6C" w:rsidRPr="000432BF">
        <w:rPr>
          <w:w w:val="106"/>
          <w:lang w:val="es-ES"/>
        </w:rPr>
        <w:t>inventarios</w:t>
      </w:r>
      <w:r w:rsidR="009F0B72">
        <w:rPr>
          <w:rStyle w:val="FootnoteReference"/>
          <w:w w:val="106"/>
          <w:lang w:val="es-ES"/>
        </w:rPr>
        <w:footnoteReference w:id="1"/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FC074A" w:rsidTr="00C73E9C">
        <w:tc>
          <w:tcPr>
            <w:tcW w:w="472" w:type="dxa"/>
            <w:shd w:val="clear" w:color="auto" w:fill="F2F2F2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1.</w:t>
            </w:r>
          </w:p>
        </w:tc>
        <w:tc>
          <w:tcPr>
            <w:tcW w:w="8373" w:type="dxa"/>
            <w:shd w:val="clear" w:color="auto" w:fill="F2F2F2"/>
          </w:tcPr>
          <w:p w:rsidR="0031587B" w:rsidRPr="000432BF" w:rsidRDefault="00217A6C" w:rsidP="00217A6C">
            <w:pPr>
              <w:pStyle w:val="Tabtxt"/>
              <w:widowControl w:val="0"/>
              <w:spacing w:before="80" w:after="80"/>
              <w:ind w:left="113" w:right="113"/>
              <w:jc w:val="both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IDENTIFICACIÓN DEL ELEMENTO DEL PCI</w:t>
            </w:r>
          </w:p>
        </w:tc>
      </w:tr>
      <w:tr w:rsidR="0031587B" w:rsidRPr="00FC074A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1.1.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217A6C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Nombre del elemento del PCI, tal y como lo practica(n) la(s) comunidad(es) interesada(s)</w:t>
            </w:r>
            <w:r w:rsidR="00EF1AA2" w:rsidRPr="000432BF">
              <w:rPr>
                <w:lang w:val="es-ES"/>
              </w:rPr>
              <w:t>.</w:t>
            </w: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1.2.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217A6C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Breve título ilustrativo del elemento del PCI, que comprenda una indicación del/de los ámbito(s) del PCI de que se trate.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432BF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1.3.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217A6C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vertAlign w:val="superscript"/>
                <w:lang w:val="es-ES"/>
              </w:rPr>
            </w:pPr>
            <w:r w:rsidRPr="000432BF">
              <w:rPr>
                <w:lang w:val="es-ES"/>
              </w:rPr>
              <w:t>Comunidad(es) interesada(s).</w:t>
            </w:r>
            <w:r w:rsidR="0031587B" w:rsidRPr="000432BF">
              <w:rPr>
                <w:vertAlign w:val="superscript"/>
                <w:lang w:val="es-ES"/>
              </w:rPr>
              <w:t>1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432BF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96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1.4.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217A6C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vertAlign w:val="superscript"/>
                <w:lang w:val="es-ES"/>
              </w:rPr>
            </w:pPr>
            <w:r w:rsidRPr="000432BF">
              <w:rPr>
                <w:lang w:val="es-ES"/>
              </w:rPr>
              <w:t>Emplazamiento(s) físico(s) / distribución geográfica del elemento del PCI, y frecuencia de su manifestación</w:t>
            </w:r>
            <w:r w:rsidR="00EF1AA2" w:rsidRPr="000432BF">
              <w:rPr>
                <w:lang w:val="es-ES"/>
              </w:rPr>
              <w:t>.</w:t>
            </w:r>
            <w:r w:rsidRPr="000432BF">
              <w:rPr>
                <w:vertAlign w:val="superscript"/>
                <w:lang w:val="es-ES"/>
              </w:rPr>
              <w:t xml:space="preserve"> </w:t>
            </w:r>
            <w:r w:rsidR="0031587B" w:rsidRPr="000432BF">
              <w:rPr>
                <w:vertAlign w:val="superscript"/>
                <w:lang w:val="es-ES"/>
              </w:rPr>
              <w:t>2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FC074A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lastRenderedPageBreak/>
              <w:t>1.5.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217A6C" w:rsidP="0035794D">
            <w:pPr>
              <w:pStyle w:val="Tabtxt"/>
              <w:widowControl w:val="0"/>
              <w:spacing w:before="80" w:after="192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Breve descripción del elemento del PCI (es preferible que no sobrepase 200 palabras).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1920"/>
              <w:ind w:left="113" w:right="113"/>
              <w:jc w:val="both"/>
              <w:rPr>
                <w:lang w:val="es-ES"/>
              </w:rPr>
            </w:pP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1920"/>
              <w:ind w:left="113" w:right="113"/>
              <w:jc w:val="both"/>
              <w:rPr>
                <w:lang w:val="es-ES"/>
              </w:rPr>
            </w:pPr>
          </w:p>
          <w:p w:rsidR="00C363DB" w:rsidRPr="000432BF" w:rsidRDefault="00C363D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192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FC074A" w:rsidTr="00C73E9C">
        <w:tc>
          <w:tcPr>
            <w:tcW w:w="472" w:type="dxa"/>
            <w:shd w:val="clear" w:color="auto" w:fill="F2F2F2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2.</w:t>
            </w:r>
          </w:p>
        </w:tc>
        <w:tc>
          <w:tcPr>
            <w:tcW w:w="8373" w:type="dxa"/>
            <w:shd w:val="clear" w:color="auto" w:fill="F2F2F2"/>
          </w:tcPr>
          <w:p w:rsidR="0031587B" w:rsidRPr="000432BF" w:rsidRDefault="00217A6C" w:rsidP="0035794D">
            <w:pPr>
              <w:pStyle w:val="Tabtxt"/>
              <w:widowControl w:val="0"/>
              <w:spacing w:before="80" w:after="80"/>
              <w:ind w:left="113" w:right="113"/>
              <w:jc w:val="both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CARACTERÍSTICAS DEL ELEMENTO DEL PCI</w:t>
            </w: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2.1.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217A6C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Practicante(s) / intérprete(s) que participan directamente en la manifestación o la práctica del elemento del PCI [incluir nombre(s), edad(es)</w:t>
            </w:r>
            <w:r w:rsidR="00ED61AD">
              <w:rPr>
                <w:lang w:val="es-ES"/>
              </w:rPr>
              <w:t>, sexo(s), categoría(s) profesió</w:t>
            </w:r>
            <w:r w:rsidRPr="000432BF">
              <w:rPr>
                <w:lang w:val="es-ES"/>
              </w:rPr>
              <w:t>n(es), etc.]</w:t>
            </w:r>
            <w:r w:rsidR="00EF1AA2" w:rsidRPr="000432BF">
              <w:rPr>
                <w:lang w:val="es-ES"/>
              </w:rPr>
              <w:t>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</w:tbl>
    <w:p w:rsidR="00C363DB" w:rsidRPr="000432BF" w:rsidRDefault="00C363DB">
      <w:pPr>
        <w:jc w:val="left"/>
        <w:rPr>
          <w:sz w:val="18"/>
          <w:szCs w:val="18"/>
          <w:lang w:val="es-ES"/>
        </w:rPr>
      </w:pPr>
      <w:r w:rsidRPr="000432BF">
        <w:rPr>
          <w:sz w:val="18"/>
          <w:szCs w:val="18"/>
          <w:lang w:val="es-ES"/>
        </w:rPr>
        <w:br w:type="page"/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lastRenderedPageBreak/>
              <w:t>2.2.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192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Otras personas de la comunidad que participan menos directamente en la manifestación del elemento del PCI, pero que contribuyen a su práctica o facilitan su transmisión (por ejemplo, preparando escenarios y vestuarios, impartiendo formación o ejerciendo funciones de supervisión</w:t>
            </w:r>
            <w:r w:rsidR="00673EB7">
              <w:rPr>
                <w:lang w:val="es-ES"/>
              </w:rPr>
              <w:t xml:space="preserve"> o patrocinio</w:t>
            </w:r>
            <w:r w:rsidRPr="000432BF">
              <w:rPr>
                <w:lang w:val="es-ES"/>
              </w:rPr>
              <w:t>).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192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FC074A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2.3.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Idioma(s) o registro(s) de idioma del elemento.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2.4.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Elementos materiales [instrumentos, indumentaria especial, espacio(s) específico(s), objetos rituales, etc.] relacionados con la manifestación o transmisión del elemento del PCI, si los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2.5.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48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Otros elementos inmateriales relacionados con la manifestación o transmisión del elemento del PCI, si los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2.6.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vertAlign w:val="superscript"/>
                <w:lang w:val="es-ES"/>
              </w:rPr>
            </w:pPr>
            <w:r w:rsidRPr="000432BF">
              <w:rPr>
                <w:lang w:val="es-ES"/>
              </w:rPr>
              <w:t xml:space="preserve">Usos consuetudinarios, si los hubiere, por los que se rige el acceso al elemento del PCI, o a algunos aspectos de </w:t>
            </w:r>
            <w:r w:rsidR="00112831">
              <w:rPr>
                <w:lang w:val="es-ES"/>
              </w:rPr>
              <w:t>e</w:t>
            </w:r>
            <w:r w:rsidRPr="000432BF">
              <w:rPr>
                <w:lang w:val="es-ES"/>
              </w:rPr>
              <w:t>ste.</w:t>
            </w:r>
            <w:r w:rsidR="0031587B" w:rsidRPr="000432BF">
              <w:rPr>
                <w:vertAlign w:val="superscript"/>
                <w:lang w:val="es-ES"/>
              </w:rPr>
              <w:t>3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lastRenderedPageBreak/>
              <w:t>2.7.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Formas de transmisión a otros miembros de la comunidad.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4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2.8.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Organizaciones pertinentes (asociaciones comunitarias, ONG, etc.), si las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FC074A" w:rsidTr="00C73E9C">
        <w:tc>
          <w:tcPr>
            <w:tcW w:w="472" w:type="dxa"/>
            <w:shd w:val="clear" w:color="auto" w:fill="F2F2F2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3.</w:t>
            </w:r>
          </w:p>
        </w:tc>
        <w:tc>
          <w:tcPr>
            <w:tcW w:w="8373" w:type="dxa"/>
            <w:shd w:val="clear" w:color="auto" w:fill="F2F2F2"/>
          </w:tcPr>
          <w:p w:rsidR="0031587B" w:rsidRPr="000432BF" w:rsidRDefault="00EF1AA2" w:rsidP="0035794D">
            <w:pPr>
              <w:pStyle w:val="Tabtxt"/>
              <w:widowControl w:val="0"/>
              <w:spacing w:before="80" w:after="80"/>
              <w:ind w:left="113" w:right="113"/>
              <w:jc w:val="both"/>
              <w:rPr>
                <w:b/>
                <w:vertAlign w:val="superscript"/>
                <w:lang w:val="es-ES"/>
              </w:rPr>
            </w:pPr>
            <w:r w:rsidRPr="00D30D95">
              <w:rPr>
                <w:b/>
                <w:caps/>
                <w:lang w:val="es-ES"/>
              </w:rPr>
              <w:t>Estado del elemento del PCI – Viabilidad</w:t>
            </w:r>
            <w:r w:rsidRPr="000432BF">
              <w:rPr>
                <w:b/>
                <w:vertAlign w:val="superscript"/>
                <w:lang w:val="es-ES"/>
              </w:rPr>
              <w:t xml:space="preserve"> </w:t>
            </w:r>
            <w:r w:rsidR="00900609" w:rsidRPr="000432BF">
              <w:rPr>
                <w:b/>
                <w:vertAlign w:val="superscript"/>
                <w:lang w:val="es-ES"/>
              </w:rPr>
              <w:t>4</w:t>
            </w: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3.1.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Amenazas que pesan sobre la manifestación y transmisión duradera del elemento del PCI en el seno de la(s) comunidad(es) interesada(s), si las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3.2.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EF1AA2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Amenazas que pesan sobre la perdurabilidad del acceso a los recursos y elementos materiales vinculados al elemento del PCI</w:t>
            </w:r>
            <w:r w:rsidR="00D30D95">
              <w:rPr>
                <w:lang w:val="es-ES"/>
              </w:rPr>
              <w:t>, si las hubiere</w:t>
            </w:r>
            <w:r w:rsidRPr="000432BF">
              <w:rPr>
                <w:lang w:val="es-ES"/>
              </w:rPr>
              <w:t>.</w:t>
            </w:r>
          </w:p>
          <w:p w:rsidR="00C363DB" w:rsidRPr="000432BF" w:rsidRDefault="00C363D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</w:tbl>
    <w:p w:rsidR="00C363DB" w:rsidRPr="000432BF" w:rsidRDefault="00C363DB">
      <w:pPr>
        <w:jc w:val="left"/>
        <w:rPr>
          <w:sz w:val="18"/>
          <w:szCs w:val="18"/>
          <w:lang w:val="es-ES"/>
        </w:rPr>
      </w:pPr>
      <w:r w:rsidRPr="000432BF">
        <w:rPr>
          <w:sz w:val="18"/>
          <w:szCs w:val="18"/>
          <w:lang w:val="es-ES"/>
        </w:rPr>
        <w:br w:type="page"/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FC074A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lastRenderedPageBreak/>
              <w:t>3.3.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FB5797" w:rsidP="0035794D">
            <w:pPr>
              <w:pStyle w:val="Tabtxt"/>
              <w:widowControl w:val="0"/>
              <w:spacing w:before="80" w:after="960"/>
              <w:ind w:left="113" w:right="113"/>
              <w:jc w:val="both"/>
              <w:rPr>
                <w:lang w:val="es-ES"/>
              </w:rPr>
            </w:pPr>
            <w:r w:rsidRPr="000432BF">
              <w:rPr>
                <w:lang w:val="es-ES"/>
              </w:rPr>
              <w:t>Viabilidad de otros elementos del patrimonio inmaterial vinculados al elemento del PCI, si los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both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3.4.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FB5797" w:rsidP="0035794D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Medidas de salvaguardia u otras medidas aplicadas, si las hubiere, que tengan por objeto afrontar las posibles amenazas y estimular la manifestación y transmisión del elemento del PCI en el futuro.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  <w:rPr>
                <w:lang w:val="es-ES"/>
              </w:rPr>
            </w:pP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F2F2F2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4.</w:t>
            </w:r>
          </w:p>
        </w:tc>
        <w:tc>
          <w:tcPr>
            <w:tcW w:w="8373" w:type="dxa"/>
            <w:shd w:val="clear" w:color="auto" w:fill="F2F2F2"/>
          </w:tcPr>
          <w:p w:rsidR="0031587B" w:rsidRPr="000432BF" w:rsidRDefault="00FB5797" w:rsidP="0035794D">
            <w:pPr>
              <w:pStyle w:val="Tabtxt"/>
              <w:widowControl w:val="0"/>
              <w:spacing w:before="80" w:after="80"/>
              <w:ind w:left="113" w:right="113"/>
              <w:jc w:val="lef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RESTRICCIONES Y PERMISOS RELATIVOS A LOS DATOS</w:t>
            </w: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4.1.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FB5797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Consentimiento de la(s) comunidad(es) interesad(as) para el acopio de datos y participación de la</w:t>
            </w:r>
            <w:r w:rsidR="00ED61AD">
              <w:rPr>
                <w:lang w:val="es-ES"/>
              </w:rPr>
              <w:t>(</w:t>
            </w:r>
            <w:r w:rsidRPr="000432BF">
              <w:rPr>
                <w:lang w:val="es-ES"/>
              </w:rPr>
              <w:t>s</w:t>
            </w:r>
            <w:r w:rsidR="00ED61AD">
              <w:rPr>
                <w:lang w:val="es-ES"/>
              </w:rPr>
              <w:t>)</w:t>
            </w:r>
            <w:r w:rsidRPr="000432BF">
              <w:rPr>
                <w:lang w:val="es-ES"/>
              </w:rPr>
              <w:t xml:space="preserve"> misma</w:t>
            </w:r>
            <w:r w:rsidR="00ED61AD">
              <w:rPr>
                <w:lang w:val="es-ES"/>
              </w:rPr>
              <w:t>(</w:t>
            </w:r>
            <w:r w:rsidRPr="000432BF">
              <w:rPr>
                <w:lang w:val="es-ES"/>
              </w:rPr>
              <w:t>s</w:t>
            </w:r>
            <w:r w:rsidR="00ED61AD">
              <w:rPr>
                <w:lang w:val="es-ES"/>
              </w:rPr>
              <w:t>)</w:t>
            </w:r>
            <w:r w:rsidRPr="000432BF">
              <w:rPr>
                <w:lang w:val="es-ES"/>
              </w:rPr>
              <w:t xml:space="preserve"> en esta actividad</w:t>
            </w: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4.2.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FB5797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Restricciones impuestas al acceso a los datos acopiados o a su uso, si las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FC074A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96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4.3.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FB5797" w:rsidP="0035794D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Especialista(s): nombre(s) y estatus o pertenencia(s).</w:t>
            </w:r>
          </w:p>
        </w:tc>
      </w:tr>
    </w:tbl>
    <w:p w:rsidR="00ED61AD" w:rsidRPr="008908CB" w:rsidRDefault="00ED61AD">
      <w:pPr>
        <w:rPr>
          <w:lang w:val="es-ES_tradnl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8373"/>
      </w:tblGrid>
      <w:tr w:rsidR="0031587B" w:rsidRPr="000F02F5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lastRenderedPageBreak/>
              <w:t>4.4.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FB5797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Fecha(s) y lugar(es) del acopio de datos.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FC074A" w:rsidTr="00C73E9C">
        <w:tc>
          <w:tcPr>
            <w:tcW w:w="472" w:type="dxa"/>
            <w:shd w:val="clear" w:color="auto" w:fill="F2F2F2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5.</w:t>
            </w:r>
          </w:p>
        </w:tc>
        <w:tc>
          <w:tcPr>
            <w:tcW w:w="8373" w:type="dxa"/>
            <w:shd w:val="clear" w:color="auto" w:fill="F2F2F2"/>
          </w:tcPr>
          <w:p w:rsidR="0031587B" w:rsidRPr="000432BF" w:rsidRDefault="00DB1F84" w:rsidP="0035794D">
            <w:pPr>
              <w:pStyle w:val="Tabtxt"/>
              <w:widowControl w:val="0"/>
              <w:spacing w:before="80" w:after="80"/>
              <w:ind w:left="113" w:right="113"/>
              <w:jc w:val="left"/>
              <w:rPr>
                <w:b/>
                <w:vertAlign w:val="superscript"/>
                <w:lang w:val="es-ES"/>
              </w:rPr>
            </w:pPr>
            <w:r w:rsidRPr="000432BF">
              <w:rPr>
                <w:b/>
                <w:lang w:val="es-ES"/>
              </w:rPr>
              <w:t>REFERENCIAS RELATIVAS AL ELEMENTO DEL PCI, SI LAS HUBIERE</w:t>
            </w:r>
            <w:r w:rsidR="0031587B" w:rsidRPr="000432BF">
              <w:rPr>
                <w:b/>
                <w:vertAlign w:val="superscript"/>
                <w:lang w:val="es-ES"/>
              </w:rPr>
              <w:t>5</w:t>
            </w:r>
          </w:p>
        </w:tc>
      </w:tr>
      <w:tr w:rsidR="0031587B" w:rsidRPr="000432BF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5.1.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DB1F84" w:rsidP="0035794D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Bibliografía, si la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5.2.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DB1F84" w:rsidP="0035794D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Materiales audiovisuales, grabaciones, etc., conservados en archivos, museos y colecciones privadas, si los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5.3.</w:t>
            </w:r>
          </w:p>
        </w:tc>
        <w:tc>
          <w:tcPr>
            <w:tcW w:w="8373" w:type="dxa"/>
            <w:tcBorders>
              <w:bottom w:val="single" w:sz="4" w:space="0" w:color="auto"/>
            </w:tcBorders>
            <w:shd w:val="clear" w:color="auto" w:fill="auto"/>
          </w:tcPr>
          <w:p w:rsidR="0031587B" w:rsidRPr="000432BF" w:rsidRDefault="00DB1F84" w:rsidP="0035794D">
            <w:pPr>
              <w:pStyle w:val="Tabtxt"/>
              <w:widowControl w:val="0"/>
              <w:spacing w:before="80" w:after="96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Material documental y objetos conservados en archivos, museos y colecciones privadas, si los hubiere.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96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F2F2F2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b/>
                <w:lang w:val="es-ES"/>
              </w:rPr>
            </w:pPr>
            <w:r w:rsidRPr="000432BF">
              <w:rPr>
                <w:b/>
                <w:lang w:val="es-ES"/>
              </w:rPr>
              <w:t>6.</w:t>
            </w:r>
          </w:p>
        </w:tc>
        <w:tc>
          <w:tcPr>
            <w:tcW w:w="8373" w:type="dxa"/>
            <w:shd w:val="clear" w:color="auto" w:fill="F2F2F2"/>
          </w:tcPr>
          <w:p w:rsidR="0031587B" w:rsidRPr="000432BF" w:rsidRDefault="00DB1F84" w:rsidP="0035794D">
            <w:pPr>
              <w:pStyle w:val="Tabtxt"/>
              <w:widowControl w:val="0"/>
              <w:spacing w:before="80" w:after="80"/>
              <w:ind w:left="113" w:right="113"/>
              <w:jc w:val="left"/>
              <w:rPr>
                <w:b/>
                <w:lang w:val="es-ES"/>
              </w:rPr>
            </w:pPr>
            <w:r w:rsidRPr="00D30D95">
              <w:rPr>
                <w:b/>
                <w:caps/>
                <w:lang w:val="es-ES"/>
              </w:rPr>
              <w:t>Datos sobre la confección del/de los inventario</w:t>
            </w:r>
            <w:r w:rsidRPr="000432BF">
              <w:rPr>
                <w:b/>
                <w:lang w:val="es-ES"/>
              </w:rPr>
              <w:t>(s)</w:t>
            </w:r>
          </w:p>
        </w:tc>
      </w:tr>
      <w:tr w:rsidR="0031587B" w:rsidRPr="00FC074A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6.1.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DB1F84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Persona o personas que confeccionaron las fichas con los datos del inventario</w:t>
            </w:r>
            <w:r w:rsidR="00ED61AD">
              <w:rPr>
                <w:lang w:val="es-ES"/>
              </w:rPr>
              <w:t>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t>6.2.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DB1F84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Prueba del consentimiento de la(s) comunidad(es) interesada(s) con respecto a: i) la confección del inventario sobre el elemento; y ii) la información que se debe suministrar en el inventario.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</w:tc>
      </w:tr>
      <w:tr w:rsidR="0031587B" w:rsidRPr="000F02F5" w:rsidTr="00C73E9C">
        <w:tc>
          <w:tcPr>
            <w:tcW w:w="472" w:type="dxa"/>
            <w:shd w:val="clear" w:color="auto" w:fill="auto"/>
          </w:tcPr>
          <w:p w:rsidR="0031587B" w:rsidRPr="000432BF" w:rsidRDefault="0031587B" w:rsidP="0035794D">
            <w:pPr>
              <w:pStyle w:val="Tabtxt"/>
              <w:widowControl w:val="0"/>
              <w:spacing w:before="80" w:after="80"/>
              <w:jc w:val="right"/>
              <w:rPr>
                <w:lang w:val="es-ES"/>
              </w:rPr>
            </w:pPr>
            <w:r w:rsidRPr="000432BF">
              <w:rPr>
                <w:lang w:val="es-ES"/>
              </w:rPr>
              <w:lastRenderedPageBreak/>
              <w:t>6.3.</w:t>
            </w:r>
          </w:p>
        </w:tc>
        <w:tc>
          <w:tcPr>
            <w:tcW w:w="8373" w:type="dxa"/>
            <w:shd w:val="clear" w:color="auto" w:fill="auto"/>
          </w:tcPr>
          <w:p w:rsidR="0031587B" w:rsidRPr="000432BF" w:rsidRDefault="00DB1F84" w:rsidP="0035794D">
            <w:pPr>
              <w:pStyle w:val="Tabtxt"/>
              <w:widowControl w:val="0"/>
              <w:spacing w:before="80" w:after="480"/>
              <w:ind w:left="113" w:right="113"/>
              <w:jc w:val="left"/>
              <w:rPr>
                <w:lang w:val="es-ES"/>
              </w:rPr>
            </w:pPr>
            <w:r w:rsidRPr="000432BF">
              <w:rPr>
                <w:lang w:val="es-ES"/>
              </w:rPr>
              <w:t>Fecha de inclusión de los datos en el inventario.</w:t>
            </w:r>
          </w:p>
          <w:p w:rsidR="0031587B" w:rsidRPr="000432BF" w:rsidRDefault="0031587B" w:rsidP="0035794D">
            <w:pPr>
              <w:pStyle w:val="Tabtxt"/>
              <w:widowControl w:val="0"/>
              <w:tabs>
                <w:tab w:val="center" w:pos="4423"/>
                <w:tab w:val="right" w:pos="8845"/>
              </w:tabs>
              <w:spacing w:before="80" w:after="480"/>
              <w:ind w:left="113" w:right="113"/>
              <w:jc w:val="left"/>
              <w:rPr>
                <w:lang w:val="es-ES"/>
              </w:rPr>
            </w:pPr>
          </w:p>
        </w:tc>
      </w:tr>
    </w:tbl>
    <w:p w:rsidR="0031587B" w:rsidRPr="00DF6F25" w:rsidRDefault="00AB0950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es-ES"/>
        </w:rPr>
      </w:pPr>
      <w:r w:rsidRPr="00DF6F25">
        <w:rPr>
          <w:lang w:val="es-ES"/>
        </w:rPr>
        <w:t>Véase la Unidad</w:t>
      </w:r>
      <w:r w:rsidR="0031587B" w:rsidRPr="00DF6F25">
        <w:rPr>
          <w:lang w:val="es-ES"/>
        </w:rPr>
        <w:t xml:space="preserve"> 3</w:t>
      </w:r>
      <w:r w:rsidRPr="00DF6F25">
        <w:rPr>
          <w:lang w:val="es-ES"/>
        </w:rPr>
        <w:t xml:space="preserve"> </w:t>
      </w:r>
      <w:r w:rsidR="00ED61AD" w:rsidRPr="00DF6F25">
        <w:rPr>
          <w:lang w:val="es-ES"/>
        </w:rPr>
        <w:t>(</w:t>
      </w:r>
      <w:r w:rsidRPr="00DF6F25">
        <w:rPr>
          <w:lang w:val="es-ES"/>
        </w:rPr>
        <w:t>Texto para el Participante</w:t>
      </w:r>
      <w:r w:rsidR="00ED61AD" w:rsidRPr="00DF6F25">
        <w:rPr>
          <w:lang w:val="es-ES"/>
        </w:rPr>
        <w:t>)</w:t>
      </w:r>
      <w:r w:rsidR="0031587B" w:rsidRPr="00DF6F25">
        <w:rPr>
          <w:lang w:val="es-ES"/>
        </w:rPr>
        <w:t>.</w:t>
      </w:r>
    </w:p>
    <w:p w:rsidR="0031587B" w:rsidRPr="000432BF" w:rsidRDefault="0075466B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es-ES"/>
        </w:rPr>
      </w:pPr>
      <w:r w:rsidRPr="000432BF">
        <w:rPr>
          <w:lang w:val="es-ES"/>
        </w:rPr>
        <w:t>Se debe indicar el lugar en el que se manifiestan y transmiten las prácticas o expresiones del elemento del PCI de que se trate</w:t>
      </w:r>
      <w:r w:rsidR="0031587B" w:rsidRPr="000432BF">
        <w:rPr>
          <w:lang w:val="es-ES"/>
        </w:rPr>
        <w:t xml:space="preserve">. </w:t>
      </w:r>
      <w:r w:rsidRPr="000432BF">
        <w:rPr>
          <w:lang w:val="es-ES"/>
        </w:rPr>
        <w:t>Los elementos del PCI pueden estar vinculados a un lugar especí</w:t>
      </w:r>
      <w:r w:rsidR="00357884" w:rsidRPr="000432BF">
        <w:rPr>
          <w:lang w:val="es-ES"/>
        </w:rPr>
        <w:t>f</w:t>
      </w:r>
      <w:r w:rsidRPr="000432BF">
        <w:rPr>
          <w:lang w:val="es-ES"/>
        </w:rPr>
        <w:t>ico</w:t>
      </w:r>
      <w:r w:rsidR="0031587B" w:rsidRPr="000432BF">
        <w:rPr>
          <w:lang w:val="es-ES"/>
        </w:rPr>
        <w:t xml:space="preserve"> (</w:t>
      </w:r>
      <w:r w:rsidR="00357884" w:rsidRPr="000432BF">
        <w:rPr>
          <w:lang w:val="es-ES"/>
        </w:rPr>
        <w:t>por ejemplo, una ciudad determinada) o a una zona geográfica mucho más vasta, que puede abarcar incluso territorios de Estados vecinos</w:t>
      </w:r>
      <w:r w:rsidR="0031587B" w:rsidRPr="000432BF">
        <w:rPr>
          <w:lang w:val="es-ES"/>
        </w:rPr>
        <w:t>.</w:t>
      </w:r>
      <w:r w:rsidR="00357884" w:rsidRPr="000432BF">
        <w:rPr>
          <w:lang w:val="es-ES"/>
        </w:rPr>
        <w:t xml:space="preserve"> En los inventarios de elementos del PCI se debe indicar si </w:t>
      </w:r>
      <w:r w:rsidR="00673EB7">
        <w:rPr>
          <w:lang w:val="es-ES"/>
        </w:rPr>
        <w:t>e</w:t>
      </w:r>
      <w:r w:rsidR="00ED61AD">
        <w:rPr>
          <w:lang w:val="es-ES"/>
        </w:rPr>
        <w:t xml:space="preserve">stos últimos </w:t>
      </w:r>
      <w:r w:rsidR="00357884" w:rsidRPr="000432BF">
        <w:rPr>
          <w:lang w:val="es-ES"/>
        </w:rPr>
        <w:t>están también presentes en otros Estados</w:t>
      </w:r>
      <w:r w:rsidR="0031587B" w:rsidRPr="000432BF">
        <w:rPr>
          <w:lang w:val="es-ES"/>
        </w:rPr>
        <w:t>.</w:t>
      </w:r>
    </w:p>
    <w:p w:rsidR="0031587B" w:rsidRPr="000432BF" w:rsidRDefault="005B18AE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es-ES"/>
        </w:rPr>
      </w:pPr>
      <w:r w:rsidRPr="000432BF">
        <w:rPr>
          <w:rFonts w:eastAsia="MyriadPro-Light"/>
          <w:color w:val="231F20"/>
          <w:szCs w:val="19"/>
          <w:lang w:val="es-ES"/>
        </w:rPr>
        <w:t>A menudo, la tradición impone que s</w:t>
      </w:r>
      <w:r w:rsidR="00673EB7">
        <w:rPr>
          <w:rFonts w:eastAsia="MyriadPro-Light"/>
          <w:color w:val="231F20"/>
          <w:szCs w:val="19"/>
          <w:lang w:val="es-ES"/>
        </w:rPr>
        <w:t>o</w:t>
      </w:r>
      <w:r w:rsidRPr="000432BF">
        <w:rPr>
          <w:rFonts w:eastAsia="MyriadPro-Light"/>
          <w:color w:val="231F20"/>
          <w:szCs w:val="19"/>
          <w:lang w:val="es-ES"/>
        </w:rPr>
        <w:t xml:space="preserve">lo </w:t>
      </w:r>
      <w:r w:rsidR="00F72781" w:rsidRPr="000432BF">
        <w:rPr>
          <w:rFonts w:eastAsia="MyriadPro-Light"/>
          <w:color w:val="231F20"/>
          <w:szCs w:val="19"/>
          <w:lang w:val="es-ES"/>
        </w:rPr>
        <w:t xml:space="preserve">sean </w:t>
      </w:r>
      <w:r w:rsidRPr="000432BF">
        <w:rPr>
          <w:rFonts w:eastAsia="MyriadPro-Light"/>
          <w:color w:val="231F20"/>
          <w:szCs w:val="19"/>
          <w:lang w:val="es-ES"/>
        </w:rPr>
        <w:t xml:space="preserve">determinadas personas </w:t>
      </w:r>
      <w:r w:rsidR="00F72781" w:rsidRPr="000432BF">
        <w:rPr>
          <w:rFonts w:eastAsia="MyriadPro-Light"/>
          <w:color w:val="231F20"/>
          <w:szCs w:val="19"/>
          <w:lang w:val="es-ES"/>
        </w:rPr>
        <w:t xml:space="preserve">quienes </w:t>
      </w:r>
      <w:r w:rsidRPr="000432BF">
        <w:rPr>
          <w:rFonts w:eastAsia="MyriadPro-Light"/>
          <w:color w:val="231F20"/>
          <w:szCs w:val="19"/>
          <w:lang w:val="es-ES"/>
        </w:rPr>
        <w:t>pued</w:t>
      </w:r>
      <w:r w:rsidR="00F72781" w:rsidRPr="000432BF">
        <w:rPr>
          <w:rFonts w:eastAsia="MyriadPro-Light"/>
          <w:color w:val="231F20"/>
          <w:szCs w:val="19"/>
          <w:lang w:val="es-ES"/>
        </w:rPr>
        <w:t>e</w:t>
      </w:r>
      <w:r w:rsidRPr="000432BF">
        <w:rPr>
          <w:rFonts w:eastAsia="MyriadPro-Light"/>
          <w:color w:val="231F20"/>
          <w:szCs w:val="19"/>
          <w:lang w:val="es-ES"/>
        </w:rPr>
        <w:t xml:space="preserve">n practicar un </w:t>
      </w:r>
      <w:r w:rsidR="00F72781" w:rsidRPr="000432BF">
        <w:rPr>
          <w:rFonts w:eastAsia="MyriadPro-Light"/>
          <w:color w:val="231F20"/>
          <w:szCs w:val="19"/>
          <w:lang w:val="es-ES"/>
        </w:rPr>
        <w:t>elemento del PCI o expresarlo</w:t>
      </w:r>
      <w:r w:rsidR="008A54FB">
        <w:rPr>
          <w:rFonts w:eastAsia="MyriadPro-Light"/>
          <w:color w:val="231F20"/>
          <w:szCs w:val="19"/>
          <w:lang w:val="es-ES"/>
        </w:rPr>
        <w:t>. O</w:t>
      </w:r>
      <w:r w:rsidRPr="000432BF">
        <w:rPr>
          <w:rFonts w:eastAsia="MyriadPro-Light"/>
          <w:color w:val="231F20"/>
          <w:szCs w:val="19"/>
          <w:lang w:val="es-ES"/>
        </w:rPr>
        <w:t xml:space="preserve">curre con frecuencia que algunas funciones concretas solamente pueden ser desempeñadas por personas de un determinado sexo, </w:t>
      </w:r>
      <w:r w:rsidR="00ED61AD">
        <w:rPr>
          <w:rFonts w:eastAsia="MyriadPro-Light"/>
          <w:color w:val="231F20"/>
          <w:szCs w:val="19"/>
          <w:lang w:val="es-ES"/>
        </w:rPr>
        <w:t xml:space="preserve">de </w:t>
      </w:r>
      <w:r w:rsidRPr="000432BF">
        <w:rPr>
          <w:rFonts w:eastAsia="MyriadPro-Light"/>
          <w:color w:val="231F20"/>
          <w:szCs w:val="19"/>
          <w:lang w:val="es-ES"/>
        </w:rPr>
        <w:t xml:space="preserve">una determinada edad o </w:t>
      </w:r>
      <w:r w:rsidR="00F72781" w:rsidRPr="000432BF">
        <w:rPr>
          <w:rFonts w:eastAsia="MyriadPro-Light"/>
          <w:color w:val="231F20"/>
          <w:szCs w:val="19"/>
          <w:lang w:val="es-ES"/>
        </w:rPr>
        <w:t xml:space="preserve">con </w:t>
      </w:r>
      <w:r w:rsidRPr="000432BF">
        <w:rPr>
          <w:rFonts w:eastAsia="MyriadPro-Light"/>
          <w:color w:val="231F20"/>
          <w:szCs w:val="19"/>
          <w:lang w:val="es-ES"/>
        </w:rPr>
        <w:t xml:space="preserve">unos determinados conocimientos. También puede haber restricciones con respecto a las personas que puedan formar parte del público asistente a la manifestación de un elemento del PCI. La Convención exige que esas restricciones se respeten, si </w:t>
      </w:r>
      <w:r w:rsidR="00F72781" w:rsidRPr="000432BF">
        <w:rPr>
          <w:rFonts w:eastAsia="MyriadPro-Light"/>
          <w:color w:val="231F20"/>
          <w:szCs w:val="19"/>
          <w:lang w:val="es-ES"/>
        </w:rPr>
        <w:t>tal</w:t>
      </w:r>
      <w:r w:rsidRPr="000432BF">
        <w:rPr>
          <w:rFonts w:eastAsia="MyriadPro-Light"/>
          <w:color w:val="231F20"/>
          <w:szCs w:val="19"/>
          <w:lang w:val="es-ES"/>
        </w:rPr>
        <w:t xml:space="preserve"> es la voluntad de </w:t>
      </w:r>
      <w:r w:rsidR="00F72781" w:rsidRPr="000432BF">
        <w:rPr>
          <w:rFonts w:eastAsia="MyriadPro-Light"/>
          <w:color w:val="231F20"/>
          <w:szCs w:val="19"/>
          <w:lang w:val="es-ES"/>
        </w:rPr>
        <w:t>las comunidades interesadas. A</w:t>
      </w:r>
      <w:r w:rsidRPr="000432BF">
        <w:rPr>
          <w:rFonts w:eastAsia="MyriadPro-Light"/>
          <w:color w:val="231F20"/>
          <w:szCs w:val="19"/>
          <w:lang w:val="es-ES"/>
        </w:rPr>
        <w:t xml:space="preserve"> veces</w:t>
      </w:r>
      <w:r w:rsidR="00D85C85">
        <w:rPr>
          <w:rFonts w:eastAsia="MyriadPro-Light"/>
          <w:color w:val="231F20"/>
          <w:szCs w:val="19"/>
          <w:lang w:val="es-ES"/>
        </w:rPr>
        <w:t xml:space="preserve">, e </w:t>
      </w:r>
      <w:r w:rsidR="00F72781" w:rsidRPr="000432BF">
        <w:rPr>
          <w:rFonts w:eastAsia="MyriadPro-Light"/>
          <w:color w:val="231F20"/>
          <w:szCs w:val="19"/>
          <w:lang w:val="es-ES"/>
        </w:rPr>
        <w:t xml:space="preserve">con miras a garantizar la viabilidad de un elemento del PCI, </w:t>
      </w:r>
      <w:r w:rsidRPr="000432BF">
        <w:rPr>
          <w:rFonts w:eastAsia="MyriadPro-Light"/>
          <w:color w:val="231F20"/>
          <w:szCs w:val="19"/>
          <w:lang w:val="es-ES"/>
        </w:rPr>
        <w:t xml:space="preserve">los miembros de la comunidad proponen –y la comunidad en general lo acepta– que algunas funciones específicas </w:t>
      </w:r>
      <w:r w:rsidR="00F72781" w:rsidRPr="000432BF">
        <w:rPr>
          <w:rFonts w:eastAsia="MyriadPro-Light"/>
          <w:color w:val="231F20"/>
          <w:szCs w:val="19"/>
          <w:lang w:val="es-ES"/>
        </w:rPr>
        <w:t xml:space="preserve">del elemento en cuestión </w:t>
      </w:r>
      <w:r w:rsidRPr="000432BF">
        <w:rPr>
          <w:rFonts w:eastAsia="MyriadPro-Light"/>
          <w:color w:val="231F20"/>
          <w:szCs w:val="19"/>
          <w:lang w:val="es-ES"/>
        </w:rPr>
        <w:t>puedan ser desempeñadas por categorías de personas distintas de las que suelen asumir</w:t>
      </w:r>
      <w:r w:rsidR="00F72781" w:rsidRPr="000432BF">
        <w:rPr>
          <w:rFonts w:eastAsia="MyriadPro-Light"/>
          <w:color w:val="231F20"/>
          <w:szCs w:val="19"/>
          <w:lang w:val="es-ES"/>
        </w:rPr>
        <w:t>las</w:t>
      </w:r>
      <w:r w:rsidR="00161F90" w:rsidRPr="000432BF">
        <w:rPr>
          <w:rFonts w:eastAsia="MyriadPro-Light"/>
          <w:color w:val="231F20"/>
          <w:szCs w:val="19"/>
          <w:lang w:val="es-ES"/>
        </w:rPr>
        <w:t xml:space="preserve"> </w:t>
      </w:r>
      <w:r w:rsidRPr="000432BF">
        <w:rPr>
          <w:rFonts w:eastAsia="MyriadPro-Light"/>
          <w:color w:val="231F20"/>
          <w:szCs w:val="19"/>
          <w:lang w:val="es-ES"/>
        </w:rPr>
        <w:t>tradicionalmente.</w:t>
      </w:r>
    </w:p>
    <w:p w:rsidR="0031587B" w:rsidRPr="000432BF" w:rsidRDefault="00AB0950" w:rsidP="00C73E9C">
      <w:pPr>
        <w:pStyle w:val="FootnoteText"/>
        <w:tabs>
          <w:tab w:val="clear" w:pos="284"/>
        </w:tabs>
        <w:spacing w:before="120"/>
        <w:ind w:left="357" w:firstLine="0"/>
        <w:rPr>
          <w:lang w:val="es-ES"/>
        </w:rPr>
      </w:pPr>
      <w:r w:rsidRPr="000432BF">
        <w:rPr>
          <w:lang w:val="es-ES"/>
        </w:rPr>
        <w:t xml:space="preserve">En el Artículo 13.d.ii de la Convención se </w:t>
      </w:r>
      <w:r w:rsidRPr="000432BF">
        <w:rPr>
          <w:szCs w:val="22"/>
          <w:lang w:val="es-ES"/>
        </w:rPr>
        <w:t xml:space="preserve">pide a “cada Estado Parte [que haga] todo lo posible por garantizar el acceso al patrimonio cultural inmaterial, respetando al mismo tiempo los usos consuetudinarios por los que se rige el acceso a determinados aspectos de dicho patrimonio”. Por eso, cuando algunas prácticas del PCI </w:t>
      </w:r>
      <w:r w:rsidRPr="000432BF">
        <w:rPr>
          <w:lang w:val="es-ES"/>
        </w:rPr>
        <w:t>se graban, registran o documentan a pesar de que</w:t>
      </w:r>
      <w:r w:rsidRPr="000432BF">
        <w:rPr>
          <w:szCs w:val="22"/>
          <w:lang w:val="es-ES"/>
        </w:rPr>
        <w:t xml:space="preserve"> no pueden</w:t>
      </w:r>
      <w:r w:rsidRPr="000432BF">
        <w:rPr>
          <w:lang w:val="es-ES"/>
        </w:rPr>
        <w:t xml:space="preserve"> ser presenciadas por determinadas categorías de personas (por ejemplo, los hombres), es necesario consultar a las comunidades y grupos interesados para saber si todo el mundo podrá tener acceso a esas grabaciones, registros o documentos, o si se podrán mostrar abiertamente en público. Por supuesto, las grabaciones, registros y </w:t>
      </w:r>
      <w:r w:rsidR="00C2129B">
        <w:rPr>
          <w:lang w:val="es-ES"/>
        </w:rPr>
        <w:t xml:space="preserve">trabajos de </w:t>
      </w:r>
      <w:r w:rsidRPr="000432BF">
        <w:rPr>
          <w:lang w:val="es-ES"/>
        </w:rPr>
        <w:t>documentaci</w:t>
      </w:r>
      <w:r w:rsidR="00C2129B">
        <w:rPr>
          <w:lang w:val="es-ES"/>
        </w:rPr>
        <w:t>ón</w:t>
      </w:r>
      <w:r w:rsidRPr="000432BF">
        <w:rPr>
          <w:lang w:val="es-ES"/>
        </w:rPr>
        <w:t xml:space="preserve"> s</w:t>
      </w:r>
      <w:r w:rsidR="009753DE">
        <w:rPr>
          <w:lang w:val="es-ES"/>
        </w:rPr>
        <w:t>o</w:t>
      </w:r>
      <w:r w:rsidRPr="000432BF">
        <w:rPr>
          <w:lang w:val="es-ES"/>
        </w:rPr>
        <w:t>lo se podrán efectuar con el consentimiento explícito, libre, previo e informado de los depositarios de las tradiciones de que se trate.</w:t>
      </w:r>
    </w:p>
    <w:p w:rsidR="0031587B" w:rsidRPr="00DF6F25" w:rsidRDefault="00ED61AD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es-ES"/>
        </w:rPr>
      </w:pPr>
      <w:r w:rsidRPr="00DF6F25">
        <w:rPr>
          <w:lang w:val="es-ES"/>
        </w:rPr>
        <w:t>Véase la Unidad 3 (</w:t>
      </w:r>
      <w:r w:rsidR="00AB0950" w:rsidRPr="00DF6F25">
        <w:rPr>
          <w:lang w:val="es-ES"/>
        </w:rPr>
        <w:t>Texto para el Participante</w:t>
      </w:r>
      <w:r w:rsidRPr="00DF6F25">
        <w:rPr>
          <w:lang w:val="es-ES"/>
        </w:rPr>
        <w:t>)</w:t>
      </w:r>
      <w:r w:rsidR="00AB0950" w:rsidRPr="00DF6F25">
        <w:rPr>
          <w:lang w:val="es-ES"/>
        </w:rPr>
        <w:t>.</w:t>
      </w:r>
    </w:p>
    <w:p w:rsidR="0031587B" w:rsidRPr="000432BF" w:rsidRDefault="00346BFB" w:rsidP="0031587B">
      <w:pPr>
        <w:pStyle w:val="FootnoteText"/>
        <w:numPr>
          <w:ilvl w:val="0"/>
          <w:numId w:val="145"/>
        </w:numPr>
        <w:tabs>
          <w:tab w:val="clear" w:pos="284"/>
        </w:tabs>
        <w:spacing w:before="120"/>
        <w:ind w:left="357" w:hanging="357"/>
        <w:rPr>
          <w:lang w:val="es-ES"/>
        </w:rPr>
      </w:pPr>
      <w:r w:rsidRPr="000432BF">
        <w:rPr>
          <w:rFonts w:eastAsia="Times New Roman" w:cs="Times New Roman"/>
          <w:bCs/>
          <w:color w:val="000000" w:themeColor="text1"/>
          <w:lang w:val="es-ES"/>
        </w:rPr>
        <w:t xml:space="preserve">Se entiende por confección de un inventario la identificación y definición del PCI. Esta actividad es distinta </w:t>
      </w:r>
      <w:r w:rsidRPr="000432BF">
        <w:rPr>
          <w:lang w:val="es-ES"/>
        </w:rPr>
        <w:t>de la labor de</w:t>
      </w:r>
      <w:r w:rsidRPr="000432BF">
        <w:rPr>
          <w:rFonts w:eastAsia="Times New Roman" w:cs="Times New Roman"/>
          <w:bCs/>
          <w:color w:val="000000" w:themeColor="text1"/>
          <w:lang w:val="es-ES"/>
        </w:rPr>
        <w:t xml:space="preserve"> documentación o investigación. </w:t>
      </w:r>
      <w:r w:rsidRPr="000432BF">
        <w:rPr>
          <w:lang w:val="es-ES"/>
        </w:rPr>
        <w:t xml:space="preserve">La </w:t>
      </w:r>
      <w:r w:rsidRPr="000432BF">
        <w:rPr>
          <w:rFonts w:eastAsia="Times New Roman" w:cs="Times New Roman"/>
          <w:bCs/>
          <w:color w:val="000000" w:themeColor="text1"/>
          <w:lang w:val="es-ES"/>
        </w:rPr>
        <w:t xml:space="preserve">inclusión de un elemento del PCI en un inventario no exige un vasto trabajo de investigación o documentación. Si ya existen versiones </w:t>
      </w:r>
      <w:r w:rsidRPr="000432BF">
        <w:rPr>
          <w:lang w:val="es-ES"/>
        </w:rPr>
        <w:t xml:space="preserve">del elemento </w:t>
      </w:r>
      <w:r w:rsidRPr="000432BF">
        <w:rPr>
          <w:rFonts w:eastAsia="Times New Roman" w:cs="Times New Roman"/>
          <w:bCs/>
          <w:color w:val="000000" w:themeColor="text1"/>
          <w:lang w:val="es-ES"/>
        </w:rPr>
        <w:t xml:space="preserve">registradas, estudiadas o documentadas de otra manera, se deben indicar las referencias correspondientes en la Sección 5 del marco modelo. Esta misma sección es el lugar indicado para consignar también cualquier información sobre la existencia de colecciones de objetos o instrumentos relacionados con expresiones o prácticas </w:t>
      </w:r>
      <w:r w:rsidRPr="000432BF">
        <w:rPr>
          <w:lang w:val="es-ES"/>
        </w:rPr>
        <w:t>vi</w:t>
      </w:r>
      <w:bookmarkStart w:id="3" w:name="_GoBack"/>
      <w:bookmarkEnd w:id="3"/>
      <w:r w:rsidRPr="000432BF">
        <w:rPr>
          <w:lang w:val="es-ES"/>
        </w:rPr>
        <w:t xml:space="preserve">vas </w:t>
      </w:r>
      <w:r w:rsidRPr="000432BF">
        <w:rPr>
          <w:rFonts w:eastAsia="Times New Roman" w:cs="Times New Roman"/>
          <w:bCs/>
          <w:color w:val="000000" w:themeColor="text1"/>
          <w:lang w:val="es-ES"/>
        </w:rPr>
        <w:t xml:space="preserve">de elementos del </w:t>
      </w:r>
      <w:r w:rsidRPr="000432BF">
        <w:rPr>
          <w:lang w:val="es-ES"/>
        </w:rPr>
        <w:t>PCI</w:t>
      </w:r>
      <w:r w:rsidRPr="000432BF">
        <w:rPr>
          <w:rFonts w:eastAsia="Times New Roman" w:cs="Times New Roman"/>
          <w:bCs/>
          <w:color w:val="000000" w:themeColor="text1"/>
          <w:lang w:val="es-ES"/>
        </w:rPr>
        <w:t>.</w:t>
      </w:r>
    </w:p>
    <w:sectPr w:rsidR="0031587B" w:rsidRPr="000432BF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Sect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A9" w:rsidRDefault="00C975A9" w:rsidP="000A699C">
      <w:pPr>
        <w:spacing w:before="0" w:after="0"/>
      </w:pPr>
      <w:r>
        <w:separator/>
      </w:r>
    </w:p>
  </w:endnote>
  <w:endnote w:type="continuationSeparator" w:id="0">
    <w:p w:rsidR="00C975A9" w:rsidRDefault="00C975A9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altName w:val="Tempus Sans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Default="007B2721" w:rsidP="008908CB">
    <w:pPr>
      <w:pStyle w:val="Footer"/>
    </w:pPr>
    <w:r>
      <w:rPr>
        <w:noProof/>
        <w:lang w:eastAsia="ja-JP"/>
      </w:rPr>
      <w:drawing>
        <wp:anchor distT="0" distB="0" distL="114300" distR="114300" simplePos="0" relativeHeight="251790336" behindDoc="0" locked="0" layoutInCell="1" allowOverlap="1" wp14:anchorId="36F61700" wp14:editId="19DD2FF9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36">
      <w:rPr>
        <w:noProof/>
        <w:lang w:val="fr-FR" w:eastAsia="ja-JP"/>
      </w:rPr>
      <w:drawing>
        <wp:anchor distT="0" distB="0" distL="114300" distR="114300" simplePos="0" relativeHeight="251778048" behindDoc="0" locked="0" layoutInCell="1" allowOverlap="1" wp14:anchorId="703BECED" wp14:editId="45FD2939">
          <wp:simplePos x="0" y="0"/>
          <wp:positionH relativeFrom="column">
            <wp:posOffset>-317</wp:posOffset>
          </wp:positionH>
          <wp:positionV relativeFrom="paragraph">
            <wp:posOffset>-255587</wp:posOffset>
          </wp:positionV>
          <wp:extent cx="827477" cy="6000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ab/>
    </w:r>
    <w:r w:rsidR="00044005">
      <w:tab/>
      <w:t>U0</w:t>
    </w:r>
    <w:r w:rsidR="00254C5C">
      <w:t>06</w:t>
    </w:r>
    <w:r w:rsidR="001C7ECE">
      <w:t>-v1.</w:t>
    </w:r>
    <w:r w:rsidR="00F535F3">
      <w:t>2</w:t>
    </w:r>
    <w:r w:rsidR="00044005">
      <w:t>-HO-E</w:t>
    </w:r>
    <w:r w:rsidR="00EB3BF2">
      <w:t>S</w:t>
    </w:r>
    <w:r w:rsidR="00044005" w:rsidDel="00F22FFD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Pr="007D60D5" w:rsidRDefault="007B2721">
    <w:pPr>
      <w:pStyle w:val="Footer"/>
    </w:pPr>
    <w:r>
      <w:rPr>
        <w:noProof/>
        <w:lang w:eastAsia="ja-JP"/>
      </w:rPr>
      <w:drawing>
        <wp:anchor distT="0" distB="0" distL="114300" distR="114300" simplePos="0" relativeHeight="251792384" behindDoc="0" locked="0" layoutInCell="1" allowOverlap="1" wp14:anchorId="36F61700" wp14:editId="19DD2FF9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436">
      <w:rPr>
        <w:noProof/>
        <w:lang w:val="fr-FR" w:eastAsia="ja-JP"/>
      </w:rPr>
      <w:drawing>
        <wp:anchor distT="0" distB="0" distL="114300" distR="114300" simplePos="0" relativeHeight="251780096" behindDoc="0" locked="0" layoutInCell="1" allowOverlap="1" wp14:anchorId="41DB2630" wp14:editId="0F54E6B1">
          <wp:simplePos x="0" y="0"/>
          <wp:positionH relativeFrom="column">
            <wp:posOffset>4947920</wp:posOffset>
          </wp:positionH>
          <wp:positionV relativeFrom="paragraph">
            <wp:posOffset>-374333</wp:posOffset>
          </wp:positionV>
          <wp:extent cx="827405" cy="600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>U0</w:t>
    </w:r>
    <w:r w:rsidR="00254C5C">
      <w:t>06</w:t>
    </w:r>
    <w:r w:rsidR="001C7ECE">
      <w:t>-v1.</w:t>
    </w:r>
    <w:r w:rsidR="00673EB7">
      <w:t>2</w:t>
    </w:r>
    <w:r w:rsidR="00044005">
      <w:t>-HO-E</w:t>
    </w:r>
    <w:r w:rsidR="00EB3BF2">
      <w:t>S</w:t>
    </w:r>
    <w:r w:rsidR="00044005">
      <w:tab/>
    </w:r>
    <w:r w:rsidR="000440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B" w:rsidRDefault="007B2721" w:rsidP="005B432B">
    <w:pPr>
      <w:pStyle w:val="Footer"/>
      <w:tabs>
        <w:tab w:val="left" w:pos="2093"/>
      </w:tabs>
    </w:pPr>
    <w:r>
      <w:rPr>
        <w:noProof/>
        <w:lang w:eastAsia="ja-JP"/>
      </w:rPr>
      <w:drawing>
        <wp:anchor distT="0" distB="0" distL="114300" distR="114300" simplePos="0" relativeHeight="251788288" behindDoc="0" locked="0" layoutInCell="1" allowOverlap="1" wp14:anchorId="36F61700" wp14:editId="19DD2FF9">
          <wp:simplePos x="0" y="0"/>
          <wp:positionH relativeFrom="column">
            <wp:posOffset>2552700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36">
      <w:rPr>
        <w:noProof/>
        <w:lang w:val="fr-FR" w:eastAsia="ja-JP"/>
      </w:rPr>
      <w:drawing>
        <wp:anchor distT="0" distB="0" distL="114300" distR="114300" simplePos="0" relativeHeight="251776000" behindDoc="0" locked="0" layoutInCell="1" allowOverlap="1" wp14:anchorId="3C060360" wp14:editId="4DBC54D6">
          <wp:simplePos x="0" y="0"/>
          <wp:positionH relativeFrom="column">
            <wp:posOffset>4937760</wp:posOffset>
          </wp:positionH>
          <wp:positionV relativeFrom="paragraph">
            <wp:posOffset>-338138</wp:posOffset>
          </wp:positionV>
          <wp:extent cx="827405" cy="600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ECE">
      <w:t>U006-v1.</w:t>
    </w:r>
    <w:r w:rsidR="00673EB7">
      <w:t>2</w:t>
    </w:r>
    <w:r w:rsidR="00346BFB">
      <w:t>-HO-EN</w:t>
    </w:r>
    <w:r w:rsidR="00346BFB">
      <w:tab/>
    </w:r>
    <w:r w:rsidR="000F02F5">
      <w:tab/>
    </w:r>
    <w:r w:rsidR="005B43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A9" w:rsidRDefault="00C975A9" w:rsidP="000A699C">
      <w:pPr>
        <w:spacing w:before="0" w:after="0"/>
      </w:pPr>
      <w:r>
        <w:separator/>
      </w:r>
    </w:p>
  </w:footnote>
  <w:footnote w:type="continuationSeparator" w:id="0">
    <w:p w:rsidR="00C975A9" w:rsidRDefault="00C975A9" w:rsidP="000A699C">
      <w:pPr>
        <w:spacing w:before="0" w:after="0"/>
      </w:pPr>
      <w:r>
        <w:continuationSeparator/>
      </w:r>
    </w:p>
  </w:footnote>
  <w:footnote w:id="1">
    <w:p w:rsidR="00690E85" w:rsidRPr="008908CB" w:rsidRDefault="009F0B72" w:rsidP="00897920">
      <w:pPr>
        <w:pStyle w:val="FootnoteText"/>
        <w:ind w:left="0" w:firstLine="0"/>
        <w:rPr>
          <w:lang w:val="es-ES_tradnl"/>
        </w:rPr>
      </w:pPr>
      <w:r>
        <w:rPr>
          <w:rStyle w:val="FootnoteReference"/>
        </w:rPr>
        <w:footnoteRef/>
      </w:r>
      <w:r w:rsidRPr="008908CB">
        <w:rPr>
          <w:lang w:val="es-ES_tradnl"/>
        </w:rPr>
        <w:t xml:space="preserve"> Este marco se inspira </w:t>
      </w:r>
      <w:r w:rsidR="00673EB7">
        <w:rPr>
          <w:lang w:val="es-ES_tradnl"/>
        </w:rPr>
        <w:t>en</w:t>
      </w:r>
      <w:r w:rsidR="00D30D95">
        <w:rPr>
          <w:lang w:val="es-ES_tradnl"/>
        </w:rPr>
        <w:t xml:space="preserve"> </w:t>
      </w:r>
      <w:r w:rsidRPr="008908CB">
        <w:rPr>
          <w:lang w:val="es-ES_tradnl"/>
        </w:rPr>
        <w:t>el marco que se encuentra en la página web de la UNESCO</w:t>
      </w:r>
      <w:r w:rsidR="00690E85" w:rsidRPr="008908CB">
        <w:rPr>
          <w:lang w:val="es-ES_tradnl"/>
        </w:rPr>
        <w:t xml:space="preserve"> </w:t>
      </w:r>
      <w:r w:rsidR="00B9412E">
        <w:rPr>
          <w:lang w:val="es-ES_tradnl"/>
        </w:rPr>
        <w:t>(</w:t>
      </w:r>
      <w:r w:rsidR="00D30D95" w:rsidRPr="00DB5AFA">
        <w:rPr>
          <w:lang w:val="es-ES_tradnl"/>
        </w:rPr>
        <w:t>http://www.unesco.org/culture/ich/doc</w:t>
      </w:r>
      <w:r w:rsidR="00B9412E">
        <w:rPr>
          <w:lang w:val="es-ES_tradnl"/>
        </w:rPr>
        <w:t>)</w:t>
      </w:r>
      <w:r w:rsidR="00690E85" w:rsidRPr="008908CB">
        <w:rPr>
          <w:lang w:val="es-ES_tradnl"/>
        </w:rPr>
        <w:t>.</w:t>
      </w:r>
      <w:r w:rsidR="00FC074A">
        <w:rPr>
          <w:lang w:val="es-ES_tradnl"/>
        </w:rPr>
        <w:t xml:space="preserve"> </w:t>
      </w:r>
      <w:r w:rsidR="00690E85" w:rsidRPr="008908CB">
        <w:rPr>
          <w:lang w:val="es-ES_tradnl"/>
        </w:rPr>
        <w:t xml:space="preserve">Los Estados Partes </w:t>
      </w:r>
      <w:r w:rsidR="00810CC6" w:rsidRPr="008908CB">
        <w:rPr>
          <w:lang w:val="es-ES_tradnl"/>
        </w:rPr>
        <w:t>tienen la posibilidad de elaborar sur propios</w:t>
      </w:r>
      <w:r w:rsidR="00690E85" w:rsidRPr="008908CB">
        <w:rPr>
          <w:lang w:val="es-ES_tradnl"/>
        </w:rPr>
        <w:t xml:space="preserve"> marcos</w:t>
      </w:r>
      <w:r w:rsidR="00810CC6" w:rsidRPr="008908CB">
        <w:rPr>
          <w:lang w:val="es-ES_tradnl"/>
        </w:rPr>
        <w:t xml:space="preserve">. Este marco </w:t>
      </w:r>
      <w:r w:rsidR="00690E85" w:rsidRPr="008908CB">
        <w:rPr>
          <w:lang w:val="es-ES_tradnl"/>
        </w:rPr>
        <w:t xml:space="preserve">solo </w:t>
      </w:r>
      <w:r w:rsidR="00B16B6F" w:rsidRPr="008908CB">
        <w:rPr>
          <w:lang w:val="es-ES_tradnl"/>
        </w:rPr>
        <w:t>ofrece algunas</w:t>
      </w:r>
      <w:r w:rsidR="00690E85" w:rsidRPr="008908CB">
        <w:rPr>
          <w:lang w:val="es-ES_tradnl"/>
        </w:rPr>
        <w:t xml:space="preserve"> propuestas.</w:t>
      </w:r>
      <w:r w:rsidR="00810CC6" w:rsidRPr="008908CB">
        <w:rPr>
          <w:lang w:val="es-ES_tradnl"/>
        </w:rPr>
        <w:t xml:space="preserve"> </w:t>
      </w:r>
      <w:r w:rsidR="00B16B6F" w:rsidRPr="008908CB">
        <w:rPr>
          <w:lang w:val="es-ES_tradnl"/>
        </w:rPr>
        <w:t>Los Estados que lo desean pueden ada</w:t>
      </w:r>
      <w:r w:rsidR="00810CC6" w:rsidRPr="008908CB">
        <w:rPr>
          <w:lang w:val="es-ES_tradnl"/>
        </w:rPr>
        <w:t xml:space="preserve">ptarlo según sus necesidades. Cabe notar que los propósitos de los inventarios son identificar y definir los elementos del PCI y no </w:t>
      </w:r>
      <w:r w:rsidR="00B16B6F" w:rsidRPr="008908CB">
        <w:rPr>
          <w:lang w:val="es-ES_tradnl"/>
        </w:rPr>
        <w:t>recolectar datos</w:t>
      </w:r>
      <w:r w:rsidR="00810CC6" w:rsidRPr="008908CB">
        <w:rPr>
          <w:lang w:val="es-ES_tradnl"/>
        </w:rPr>
        <w:t xml:space="preserve"> de </w:t>
      </w:r>
      <w:r w:rsidR="00B16B6F" w:rsidRPr="008908CB">
        <w:rPr>
          <w:lang w:val="es-ES_tradnl"/>
        </w:rPr>
        <w:t>forma</w:t>
      </w:r>
      <w:r w:rsidR="00810CC6" w:rsidRPr="008908CB">
        <w:rPr>
          <w:lang w:val="es-ES_tradnl"/>
        </w:rPr>
        <w:t xml:space="preserve"> detallada y deben de ser actualizados con regularidad.</w:t>
      </w:r>
      <w:r w:rsidR="00B16B6F" w:rsidRPr="008908CB">
        <w:rPr>
          <w:lang w:val="es-ES_tradnl"/>
        </w:rPr>
        <w:t xml:space="preserve"> Por consiguiente, las respuestas a las preguntas 1-5 no deberían de superar más de algunas páginas (en total).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Default="001A2FCF">
    <w:pPr>
      <w:pStyle w:val="Header"/>
    </w:pPr>
    <w:r>
      <w:rPr>
        <w:rStyle w:val="PageNumber"/>
      </w:rPr>
      <w:fldChar w:fldCharType="begin"/>
    </w:r>
    <w:r w:rsidR="0004400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2721">
      <w:rPr>
        <w:rStyle w:val="PageNumber"/>
        <w:noProof/>
      </w:rPr>
      <w:t>6</w:t>
    </w:r>
    <w:r>
      <w:rPr>
        <w:rStyle w:val="PageNumber"/>
      </w:rPr>
      <w:fldChar w:fldCharType="end"/>
    </w:r>
    <w:r w:rsidR="00044005">
      <w:rPr>
        <w:rStyle w:val="PageNumber"/>
      </w:rPr>
      <w:tab/>
    </w:r>
    <w:r w:rsidR="00EB3BF2">
      <w:rPr>
        <w:rStyle w:val="PageNumber"/>
      </w:rPr>
      <w:t>Unidad 6: Identificación y confección de inventarios del PCI</w:t>
    </w:r>
    <w:r w:rsidR="00044005">
      <w:tab/>
    </w:r>
    <w:r w:rsidR="00F74116">
      <w:t>Foll</w:t>
    </w:r>
    <w:r w:rsidR="00EB3BF2">
      <w:t>eto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Pr="004A4AD6" w:rsidRDefault="00EB3BF2" w:rsidP="00D25BBB">
    <w:pPr>
      <w:pStyle w:val="Header"/>
    </w:pPr>
    <w:r>
      <w:t>Folleto</w:t>
    </w:r>
    <w:r w:rsidR="00044005">
      <w:tab/>
    </w:r>
    <w:r>
      <w:rPr>
        <w:rStyle w:val="PageNumber"/>
      </w:rPr>
      <w:t>Unidad 6: Identificación y confección de inventarios del PCI</w:t>
    </w:r>
    <w:r w:rsidR="00044005">
      <w:tab/>
    </w:r>
    <w:r w:rsidR="001A2FCF">
      <w:rPr>
        <w:rStyle w:val="PageNumber"/>
      </w:rPr>
      <w:fldChar w:fldCharType="begin"/>
    </w:r>
    <w:r w:rsidR="00044005">
      <w:rPr>
        <w:rStyle w:val="PageNumber"/>
      </w:rPr>
      <w:instrText xml:space="preserve"> PAGE </w:instrText>
    </w:r>
    <w:r w:rsidR="001A2FCF">
      <w:rPr>
        <w:rStyle w:val="PageNumber"/>
      </w:rPr>
      <w:fldChar w:fldCharType="separate"/>
    </w:r>
    <w:r w:rsidR="007B2721">
      <w:rPr>
        <w:rStyle w:val="PageNumber"/>
        <w:noProof/>
      </w:rPr>
      <w:t>7</w:t>
    </w:r>
    <w:r w:rsidR="001A2FCF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Pr="002305AA" w:rsidRDefault="00254C5C">
    <w:pPr>
      <w:pStyle w:val="Header"/>
    </w:pPr>
    <w:r>
      <w:tab/>
    </w:r>
    <w:r w:rsidR="00EB3BF2">
      <w:t>Folleto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2BF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A36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A0C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2F5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2831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1F90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2FC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EC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6C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6CE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1B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879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36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ACF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BFB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884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D37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A54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78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8AE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AC9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3EB7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0E85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466B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2721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0CC6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B21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8CB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20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4FB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3DE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2D2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2F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8EE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B72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436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950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6B6F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12E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3F4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549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29B"/>
    <w:rsid w:val="00C213AD"/>
    <w:rsid w:val="00C21DEC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5A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D95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C85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1F84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AFA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6F25"/>
    <w:rsid w:val="00DF77A6"/>
    <w:rsid w:val="00DF7827"/>
    <w:rsid w:val="00E005F8"/>
    <w:rsid w:val="00E007EB"/>
    <w:rsid w:val="00E00A61"/>
    <w:rsid w:val="00E00C08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ADD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BF2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1AD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1AA2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5F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81"/>
    <w:rsid w:val="00F72796"/>
    <w:rsid w:val="00F72CF9"/>
    <w:rsid w:val="00F72D2E"/>
    <w:rsid w:val="00F72DE6"/>
    <w:rsid w:val="00F73646"/>
    <w:rsid w:val="00F7383C"/>
    <w:rsid w:val="00F74116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797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74A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861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0F02F5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EE42-D46A-4180-B9D3-F7C0E4DC6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86A54-8DCF-460F-AFCD-A1CA054B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5587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6589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2017-11-30T15:58:00Z</dcterms:created>
  <dcterms:modified xsi:type="dcterms:W3CDTF">2018-03-22T14:29:00Z</dcterms:modified>
</cp:coreProperties>
</file>