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22" w:rsidRPr="001522B4" w:rsidRDefault="000D5F22" w:rsidP="004936EF">
      <w:pPr>
        <w:pStyle w:val="Chapitre"/>
        <w:rPr>
          <w:kern w:val="0"/>
          <w:lang w:val="es-ES"/>
        </w:rPr>
      </w:pPr>
      <w:bookmarkStart w:id="0" w:name="_Toc241644745"/>
      <w:bookmarkStart w:id="1" w:name="_Toc283105182"/>
      <w:bookmarkStart w:id="2" w:name="_Toc302374700"/>
      <w:r w:rsidRPr="001522B4">
        <w:rPr>
          <w:kern w:val="0"/>
          <w:lang w:val="es-ES"/>
        </w:rPr>
        <w:t>Uni</w:t>
      </w:r>
      <w:r w:rsidR="003A139B" w:rsidRPr="001522B4">
        <w:rPr>
          <w:kern w:val="0"/>
          <w:lang w:val="es-ES"/>
        </w:rPr>
        <w:t>DAD</w:t>
      </w:r>
      <w:r w:rsidRPr="001522B4">
        <w:rPr>
          <w:kern w:val="0"/>
          <w:lang w:val="es-ES"/>
        </w:rPr>
        <w:t xml:space="preserve"> 14</w:t>
      </w:r>
    </w:p>
    <w:p w:rsidR="000D5F22" w:rsidRPr="001522B4" w:rsidRDefault="003A139B" w:rsidP="005120A7">
      <w:pPr>
        <w:pStyle w:val="HO1"/>
        <w:rPr>
          <w:lang w:val="es-ES"/>
        </w:rPr>
      </w:pPr>
      <w:r w:rsidRPr="001522B4">
        <w:rPr>
          <w:lang w:val="es-ES"/>
        </w:rPr>
        <w:t>Folleto</w:t>
      </w:r>
      <w:r w:rsidR="000D5F22" w:rsidRPr="001522B4">
        <w:rPr>
          <w:lang w:val="es-ES"/>
        </w:rPr>
        <w:t>:</w:t>
      </w:r>
    </w:p>
    <w:p w:rsidR="000D5F22" w:rsidRPr="001522B4" w:rsidRDefault="00574FE6" w:rsidP="005120A7">
      <w:pPr>
        <w:pStyle w:val="HO2"/>
        <w:rPr>
          <w:lang w:val="es-ES"/>
        </w:rPr>
      </w:pPr>
      <w:r w:rsidRPr="001522B4">
        <w:rPr>
          <w:lang w:val="es-ES"/>
        </w:rPr>
        <w:t>Preguntas de opción múltiple</w:t>
      </w:r>
    </w:p>
    <w:bookmarkEnd w:id="0"/>
    <w:bookmarkEnd w:id="1"/>
    <w:bookmarkEnd w:id="2"/>
    <w:p w:rsidR="00394841" w:rsidRPr="001522B4" w:rsidRDefault="00907AAD" w:rsidP="004936EF">
      <w:pPr>
        <w:pStyle w:val="Heading4"/>
        <w:rPr>
          <w:lang w:val="es-ES"/>
        </w:rPr>
      </w:pPr>
      <w:r w:rsidRPr="001522B4">
        <w:rPr>
          <w:lang w:val="es-ES"/>
        </w:rPr>
        <w:t>ACERCA DE LA CONVENCIÓN</w:t>
      </w:r>
    </w:p>
    <w:p w:rsidR="00394841" w:rsidRPr="001522B4" w:rsidRDefault="004C6C18" w:rsidP="00394841">
      <w:pPr>
        <w:pStyle w:val="Heading3"/>
        <w:rPr>
          <w:lang w:val="es-ES"/>
        </w:rPr>
      </w:pPr>
      <w:bookmarkStart w:id="3" w:name="_Toc238982292"/>
      <w:r w:rsidRPr="001522B4">
        <w:rPr>
          <w:lang w:val="es-ES"/>
        </w:rPr>
        <w:t>PREGUNTA</w:t>
      </w:r>
      <w:r w:rsidR="00394841" w:rsidRPr="001522B4">
        <w:rPr>
          <w:lang w:val="es-ES"/>
        </w:rPr>
        <w:t xml:space="preserve"> 1</w:t>
      </w:r>
      <w:bookmarkEnd w:id="3"/>
    </w:p>
    <w:p w:rsidR="00D534BE" w:rsidRPr="001522B4" w:rsidRDefault="00D534BE" w:rsidP="00F61251">
      <w:pPr>
        <w:ind w:left="851"/>
        <w:rPr>
          <w:sz w:val="20"/>
          <w:szCs w:val="20"/>
          <w:lang w:val="es-ES"/>
        </w:rPr>
      </w:pPr>
      <w:r w:rsidRPr="001522B4">
        <w:rPr>
          <w:sz w:val="20"/>
          <w:szCs w:val="20"/>
          <w:lang w:val="es-ES"/>
        </w:rPr>
        <w:t>¿Cuál de las actividades menciona</w:t>
      </w:r>
      <w:r w:rsidR="00DF1B19" w:rsidRPr="001522B4">
        <w:rPr>
          <w:sz w:val="20"/>
          <w:szCs w:val="20"/>
          <w:lang w:val="es-ES"/>
        </w:rPr>
        <w:t>das</w:t>
      </w:r>
      <w:r w:rsidRPr="001522B4">
        <w:rPr>
          <w:sz w:val="20"/>
          <w:szCs w:val="20"/>
          <w:lang w:val="es-ES"/>
        </w:rPr>
        <w:t xml:space="preserve"> a continuación, </w:t>
      </w:r>
      <w:r w:rsidR="00DF1B19" w:rsidRPr="001522B4">
        <w:rPr>
          <w:sz w:val="20"/>
          <w:szCs w:val="20"/>
          <w:lang w:val="es-ES"/>
        </w:rPr>
        <w:t>si las hubiere</w:t>
      </w:r>
      <w:r w:rsidRPr="001522B4">
        <w:rPr>
          <w:sz w:val="20"/>
          <w:szCs w:val="20"/>
          <w:lang w:val="es-ES"/>
        </w:rPr>
        <w:t xml:space="preserve">, </w:t>
      </w:r>
      <w:r w:rsidR="00DF1B19" w:rsidRPr="001522B4">
        <w:rPr>
          <w:sz w:val="20"/>
          <w:szCs w:val="20"/>
          <w:lang w:val="es-ES"/>
        </w:rPr>
        <w:t xml:space="preserve">tienen que </w:t>
      </w:r>
      <w:r w:rsidR="00D443D8" w:rsidRPr="001522B4">
        <w:rPr>
          <w:sz w:val="20"/>
          <w:szCs w:val="20"/>
          <w:lang w:val="es-ES"/>
        </w:rPr>
        <w:t>empr</w:t>
      </w:r>
      <w:r w:rsidRPr="001522B4">
        <w:rPr>
          <w:sz w:val="20"/>
          <w:szCs w:val="20"/>
          <w:lang w:val="es-ES"/>
        </w:rPr>
        <w:t xml:space="preserve">ender </w:t>
      </w:r>
      <w:r w:rsidR="00DF1B19" w:rsidRPr="001522B4">
        <w:rPr>
          <w:sz w:val="20"/>
          <w:szCs w:val="20"/>
          <w:lang w:val="es-ES"/>
        </w:rPr>
        <w:t xml:space="preserve">obligatoriamente </w:t>
      </w:r>
      <w:r w:rsidRPr="001522B4">
        <w:rPr>
          <w:sz w:val="20"/>
          <w:szCs w:val="20"/>
          <w:lang w:val="es-ES"/>
        </w:rPr>
        <w:t>los Estados antes de que puedan ratificar la Convención?</w:t>
      </w:r>
    </w:p>
    <w:p w:rsidR="00D534BE" w:rsidRPr="001522B4" w:rsidRDefault="00DF1B19" w:rsidP="00116750">
      <w:pPr>
        <w:pStyle w:val="ListParagraph"/>
        <w:numPr>
          <w:ilvl w:val="0"/>
          <w:numId w:val="17"/>
        </w:numPr>
        <w:spacing w:before="0" w:after="60" w:line="280" w:lineRule="exact"/>
        <w:ind w:left="1134" w:hanging="283"/>
        <w:rPr>
          <w:sz w:val="20"/>
          <w:szCs w:val="20"/>
          <w:lang w:val="es-ES"/>
        </w:rPr>
      </w:pPr>
      <w:r w:rsidRPr="001522B4">
        <w:rPr>
          <w:sz w:val="20"/>
          <w:szCs w:val="20"/>
          <w:lang w:val="es-ES"/>
        </w:rPr>
        <w:t>C</w:t>
      </w:r>
      <w:r w:rsidR="00D443D8" w:rsidRPr="001522B4">
        <w:rPr>
          <w:sz w:val="20"/>
          <w:szCs w:val="20"/>
          <w:lang w:val="es-ES"/>
        </w:rPr>
        <w:t>re</w:t>
      </w:r>
      <w:r w:rsidRPr="001522B4">
        <w:rPr>
          <w:sz w:val="20"/>
          <w:szCs w:val="20"/>
          <w:lang w:val="es-ES"/>
        </w:rPr>
        <w:t>ar</w:t>
      </w:r>
      <w:r w:rsidR="00D534BE" w:rsidRPr="001522B4">
        <w:rPr>
          <w:sz w:val="20"/>
          <w:szCs w:val="20"/>
          <w:lang w:val="es-ES"/>
        </w:rPr>
        <w:t xml:space="preserve"> inventarios del </w:t>
      </w:r>
      <w:r w:rsidRPr="001522B4">
        <w:rPr>
          <w:sz w:val="20"/>
          <w:szCs w:val="20"/>
          <w:lang w:val="es-ES"/>
        </w:rPr>
        <w:t>PCI</w:t>
      </w:r>
      <w:r w:rsidR="00D534BE" w:rsidRPr="001522B4">
        <w:rPr>
          <w:sz w:val="20"/>
          <w:szCs w:val="20"/>
          <w:lang w:val="es-ES"/>
        </w:rPr>
        <w:t xml:space="preserve"> presente en su territorio.</w:t>
      </w:r>
    </w:p>
    <w:p w:rsidR="00D534BE" w:rsidRPr="001522B4" w:rsidRDefault="00D534BE" w:rsidP="00116750">
      <w:pPr>
        <w:pStyle w:val="ListParagraph"/>
        <w:numPr>
          <w:ilvl w:val="0"/>
          <w:numId w:val="17"/>
        </w:numPr>
        <w:spacing w:before="0" w:after="60" w:line="280" w:lineRule="exact"/>
        <w:ind w:left="1134" w:hanging="283"/>
        <w:rPr>
          <w:sz w:val="20"/>
          <w:szCs w:val="20"/>
          <w:lang w:val="es-ES"/>
        </w:rPr>
      </w:pPr>
      <w:r w:rsidRPr="001522B4">
        <w:rPr>
          <w:sz w:val="20"/>
          <w:szCs w:val="20"/>
          <w:lang w:val="es-ES"/>
        </w:rPr>
        <w:t>Obtener el consent</w:t>
      </w:r>
      <w:r w:rsidR="00D443D8" w:rsidRPr="001522B4">
        <w:rPr>
          <w:sz w:val="20"/>
          <w:szCs w:val="20"/>
          <w:lang w:val="es-ES"/>
        </w:rPr>
        <w:t xml:space="preserve">imiento de las comunidades, </w:t>
      </w:r>
      <w:r w:rsidRPr="001522B4">
        <w:rPr>
          <w:sz w:val="20"/>
          <w:szCs w:val="20"/>
          <w:lang w:val="es-ES"/>
        </w:rPr>
        <w:t xml:space="preserve">grupos </w:t>
      </w:r>
      <w:r w:rsidR="00D443D8" w:rsidRPr="001522B4">
        <w:rPr>
          <w:sz w:val="20"/>
          <w:szCs w:val="20"/>
          <w:lang w:val="es-ES"/>
        </w:rPr>
        <w:t>e</w:t>
      </w:r>
      <w:r w:rsidRPr="001522B4">
        <w:rPr>
          <w:sz w:val="20"/>
          <w:szCs w:val="20"/>
          <w:lang w:val="es-ES"/>
        </w:rPr>
        <w:t xml:space="preserve"> individuos (que son los </w:t>
      </w:r>
      <w:r w:rsidR="00D443D8" w:rsidRPr="001522B4">
        <w:rPr>
          <w:sz w:val="20"/>
          <w:szCs w:val="20"/>
          <w:lang w:val="es-ES"/>
        </w:rPr>
        <w:t>custodio</w:t>
      </w:r>
      <w:r w:rsidRPr="001522B4">
        <w:rPr>
          <w:sz w:val="20"/>
          <w:szCs w:val="20"/>
          <w:lang w:val="es-ES"/>
        </w:rPr>
        <w:t>s del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dentro del </w:t>
      </w:r>
      <w:r w:rsidR="00D443D8" w:rsidRPr="001522B4">
        <w:rPr>
          <w:sz w:val="20"/>
          <w:szCs w:val="20"/>
          <w:lang w:val="es-ES"/>
        </w:rPr>
        <w:t>país</w:t>
      </w:r>
      <w:r w:rsidRPr="001522B4">
        <w:rPr>
          <w:sz w:val="20"/>
          <w:szCs w:val="20"/>
          <w:lang w:val="es-ES"/>
        </w:rPr>
        <w:t>) para ratifica</w:t>
      </w:r>
      <w:r w:rsidR="00D443D8" w:rsidRPr="001522B4">
        <w:rPr>
          <w:sz w:val="20"/>
          <w:szCs w:val="20"/>
          <w:lang w:val="es-ES"/>
        </w:rPr>
        <w:t>r la Convención</w:t>
      </w:r>
      <w:r w:rsidRPr="001522B4">
        <w:rPr>
          <w:sz w:val="20"/>
          <w:szCs w:val="20"/>
          <w:lang w:val="es-ES"/>
        </w:rPr>
        <w:t>.</w:t>
      </w:r>
    </w:p>
    <w:p w:rsidR="00D534BE" w:rsidRPr="001522B4" w:rsidRDefault="00D534BE" w:rsidP="00116750">
      <w:pPr>
        <w:pStyle w:val="ListParagraph"/>
        <w:numPr>
          <w:ilvl w:val="0"/>
          <w:numId w:val="17"/>
        </w:numPr>
        <w:spacing w:before="0" w:after="60" w:line="280" w:lineRule="exact"/>
        <w:ind w:left="1134" w:hanging="283"/>
        <w:rPr>
          <w:sz w:val="20"/>
          <w:szCs w:val="20"/>
          <w:lang w:val="es-ES"/>
        </w:rPr>
      </w:pPr>
      <w:r w:rsidRPr="001522B4">
        <w:rPr>
          <w:sz w:val="20"/>
          <w:szCs w:val="20"/>
          <w:lang w:val="es-ES"/>
        </w:rPr>
        <w:t>Adaptar la legislación nacional –</w:t>
      </w:r>
      <w:r w:rsidR="00D443D8" w:rsidRPr="001522B4">
        <w:rPr>
          <w:sz w:val="20"/>
          <w:szCs w:val="20"/>
          <w:lang w:val="es-ES"/>
        </w:rPr>
        <w:t>si fuere</w:t>
      </w:r>
      <w:r w:rsidRPr="001522B4">
        <w:rPr>
          <w:sz w:val="20"/>
          <w:szCs w:val="20"/>
          <w:lang w:val="es-ES"/>
        </w:rPr>
        <w:t xml:space="preserve"> necesario– para crear un marco jurídico </w:t>
      </w:r>
      <w:r w:rsidR="00D443D8" w:rsidRPr="001522B4">
        <w:rPr>
          <w:sz w:val="20"/>
          <w:szCs w:val="20"/>
          <w:lang w:val="es-ES"/>
        </w:rPr>
        <w:t xml:space="preserve">destinado a </w:t>
      </w:r>
      <w:r w:rsidRPr="001522B4">
        <w:rPr>
          <w:sz w:val="20"/>
          <w:szCs w:val="20"/>
          <w:lang w:val="es-ES"/>
        </w:rPr>
        <w:t>salvaguard</w:t>
      </w:r>
      <w:r w:rsidR="00D443D8" w:rsidRPr="001522B4">
        <w:rPr>
          <w:sz w:val="20"/>
          <w:szCs w:val="20"/>
          <w:lang w:val="es-ES"/>
        </w:rPr>
        <w:t xml:space="preserve">ar </w:t>
      </w:r>
      <w:r w:rsidRPr="001522B4">
        <w:rPr>
          <w:sz w:val="20"/>
          <w:szCs w:val="20"/>
          <w:lang w:val="es-ES"/>
        </w:rPr>
        <w:t>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w:t>
      </w:r>
    </w:p>
    <w:p w:rsidR="00D534BE" w:rsidRPr="001522B4" w:rsidRDefault="00D534BE" w:rsidP="00116750">
      <w:pPr>
        <w:pStyle w:val="ListParagraph"/>
        <w:numPr>
          <w:ilvl w:val="0"/>
          <w:numId w:val="17"/>
        </w:numPr>
        <w:spacing w:before="0" w:after="60" w:line="280" w:lineRule="exact"/>
        <w:ind w:left="1134" w:hanging="283"/>
        <w:rPr>
          <w:sz w:val="20"/>
          <w:szCs w:val="20"/>
          <w:lang w:val="es-ES"/>
        </w:rPr>
      </w:pPr>
      <w:r w:rsidRPr="001522B4">
        <w:rPr>
          <w:sz w:val="20"/>
          <w:szCs w:val="20"/>
          <w:lang w:val="es-ES"/>
        </w:rPr>
        <w:t xml:space="preserve">Ninguna de </w:t>
      </w:r>
      <w:r w:rsidR="00D443D8" w:rsidRPr="001522B4">
        <w:rPr>
          <w:sz w:val="20"/>
          <w:szCs w:val="20"/>
          <w:lang w:val="es-ES"/>
        </w:rPr>
        <w:t>todas esas actividades</w:t>
      </w:r>
      <w:r w:rsidRPr="001522B4">
        <w:rPr>
          <w:sz w:val="20"/>
          <w:szCs w:val="20"/>
          <w:lang w:val="es-ES"/>
        </w:rPr>
        <w:t>.</w:t>
      </w:r>
    </w:p>
    <w:p w:rsidR="00394841" w:rsidRPr="001522B4" w:rsidRDefault="004C6C18" w:rsidP="00394841">
      <w:pPr>
        <w:pStyle w:val="Heading3"/>
        <w:rPr>
          <w:lang w:val="es-ES"/>
        </w:rPr>
      </w:pPr>
      <w:bookmarkStart w:id="4" w:name="_Toc238982293"/>
      <w:r w:rsidRPr="001522B4">
        <w:rPr>
          <w:lang w:val="es-ES"/>
        </w:rPr>
        <w:t>PREGUNTA</w:t>
      </w:r>
      <w:r w:rsidR="00394841" w:rsidRPr="001522B4">
        <w:rPr>
          <w:lang w:val="es-ES"/>
        </w:rPr>
        <w:t xml:space="preserve"> 2</w:t>
      </w:r>
      <w:bookmarkEnd w:id="4"/>
    </w:p>
    <w:p w:rsidR="008712A7" w:rsidRPr="001522B4" w:rsidRDefault="008712A7" w:rsidP="008712A7">
      <w:pPr>
        <w:ind w:left="851"/>
        <w:rPr>
          <w:sz w:val="20"/>
          <w:szCs w:val="20"/>
          <w:lang w:val="es-ES"/>
        </w:rPr>
      </w:pPr>
      <w:r w:rsidRPr="001522B4">
        <w:rPr>
          <w:sz w:val="20"/>
          <w:szCs w:val="20"/>
          <w:lang w:val="es-ES"/>
        </w:rPr>
        <w:t>Al ratificar la Convención</w:t>
      </w:r>
      <w:r w:rsidR="009B1C44">
        <w:rPr>
          <w:sz w:val="20"/>
          <w:szCs w:val="20"/>
          <w:lang w:val="es-ES"/>
        </w:rPr>
        <w:t>,</w:t>
      </w:r>
      <w:r w:rsidRPr="001522B4">
        <w:rPr>
          <w:sz w:val="20"/>
          <w:szCs w:val="20"/>
          <w:lang w:val="es-ES"/>
        </w:rPr>
        <w:t xml:space="preserve"> los Estados </w:t>
      </w:r>
      <w:r w:rsidR="00324994" w:rsidRPr="001522B4">
        <w:rPr>
          <w:sz w:val="20"/>
          <w:szCs w:val="20"/>
          <w:lang w:val="es-ES"/>
        </w:rPr>
        <w:t>contraen</w:t>
      </w:r>
      <w:r w:rsidRPr="001522B4">
        <w:rPr>
          <w:sz w:val="20"/>
          <w:szCs w:val="20"/>
          <w:lang w:val="es-ES"/>
        </w:rPr>
        <w:t xml:space="preserve"> </w:t>
      </w:r>
      <w:r w:rsidR="00324994" w:rsidRPr="001522B4">
        <w:rPr>
          <w:sz w:val="20"/>
          <w:szCs w:val="20"/>
          <w:lang w:val="es-ES"/>
        </w:rPr>
        <w:t>determinadas</w:t>
      </w:r>
      <w:r w:rsidRPr="001522B4">
        <w:rPr>
          <w:sz w:val="20"/>
          <w:szCs w:val="20"/>
          <w:lang w:val="es-ES"/>
        </w:rPr>
        <w:t xml:space="preserve"> obligaciones. ¿Cuáles de las </w:t>
      </w:r>
      <w:r w:rsidR="00324994" w:rsidRPr="001522B4">
        <w:rPr>
          <w:sz w:val="20"/>
          <w:szCs w:val="20"/>
          <w:lang w:val="es-ES"/>
        </w:rPr>
        <w:t>enumeradas a continuación</w:t>
      </w:r>
      <w:r w:rsidRPr="001522B4">
        <w:rPr>
          <w:sz w:val="20"/>
          <w:szCs w:val="20"/>
          <w:lang w:val="es-ES"/>
        </w:rPr>
        <w:t xml:space="preserve">, </w:t>
      </w:r>
      <w:r w:rsidR="00324994" w:rsidRPr="001522B4">
        <w:rPr>
          <w:sz w:val="20"/>
          <w:szCs w:val="20"/>
          <w:lang w:val="es-ES"/>
        </w:rPr>
        <w:t>si las hubiere</w:t>
      </w:r>
      <w:r w:rsidRPr="001522B4">
        <w:rPr>
          <w:sz w:val="20"/>
          <w:szCs w:val="20"/>
          <w:lang w:val="es-ES"/>
        </w:rPr>
        <w:t xml:space="preserve">, </w:t>
      </w:r>
      <w:r w:rsidRPr="001522B4">
        <w:rPr>
          <w:sz w:val="20"/>
          <w:szCs w:val="20"/>
          <w:u w:val="single"/>
          <w:lang w:val="es-ES"/>
        </w:rPr>
        <w:t>no</w:t>
      </w:r>
      <w:r w:rsidRPr="001522B4">
        <w:rPr>
          <w:sz w:val="20"/>
          <w:szCs w:val="20"/>
          <w:lang w:val="es-ES"/>
        </w:rPr>
        <w:t xml:space="preserve"> </w:t>
      </w:r>
      <w:r w:rsidR="00324994" w:rsidRPr="001522B4">
        <w:rPr>
          <w:sz w:val="20"/>
          <w:szCs w:val="20"/>
          <w:lang w:val="es-ES"/>
        </w:rPr>
        <w:t>son vinculantes para</w:t>
      </w:r>
      <w:r w:rsidRPr="001522B4">
        <w:rPr>
          <w:sz w:val="20"/>
          <w:szCs w:val="20"/>
          <w:lang w:val="es-ES"/>
        </w:rPr>
        <w:t xml:space="preserve"> los Estados Partes</w:t>
      </w:r>
      <w:r w:rsidR="00324994" w:rsidRPr="001522B4">
        <w:rPr>
          <w:sz w:val="20"/>
          <w:szCs w:val="20"/>
          <w:lang w:val="es-ES"/>
        </w:rPr>
        <w:t xml:space="preserve">, según </w:t>
      </w:r>
      <w:r w:rsidRPr="001522B4">
        <w:rPr>
          <w:sz w:val="20"/>
          <w:szCs w:val="20"/>
          <w:lang w:val="es-ES"/>
        </w:rPr>
        <w:t>la Convención?</w:t>
      </w:r>
    </w:p>
    <w:p w:rsidR="008712A7" w:rsidRPr="001522B4" w:rsidRDefault="00324994" w:rsidP="00116750">
      <w:pPr>
        <w:numPr>
          <w:ilvl w:val="0"/>
          <w:numId w:val="18"/>
        </w:numPr>
        <w:ind w:left="1134" w:hanging="283"/>
        <w:rPr>
          <w:sz w:val="20"/>
          <w:szCs w:val="20"/>
          <w:lang w:val="es-ES"/>
        </w:rPr>
      </w:pPr>
      <w:r w:rsidRPr="001522B4">
        <w:rPr>
          <w:sz w:val="20"/>
          <w:szCs w:val="20"/>
          <w:lang w:val="es-ES"/>
        </w:rPr>
        <w:t>Cada Estado Parte debe</w:t>
      </w:r>
      <w:r w:rsidR="008712A7" w:rsidRPr="001522B4">
        <w:rPr>
          <w:sz w:val="20"/>
          <w:szCs w:val="20"/>
          <w:lang w:val="es-ES"/>
        </w:rPr>
        <w:t xml:space="preserve"> confeccionar uno o más registros de las comunidades y grupos presentes en su territorio.</w:t>
      </w:r>
    </w:p>
    <w:p w:rsidR="008712A7" w:rsidRPr="001522B4" w:rsidRDefault="008712A7" w:rsidP="00116750">
      <w:pPr>
        <w:numPr>
          <w:ilvl w:val="0"/>
          <w:numId w:val="18"/>
        </w:numPr>
        <w:ind w:left="1134" w:hanging="283"/>
        <w:rPr>
          <w:sz w:val="20"/>
          <w:szCs w:val="20"/>
          <w:lang w:val="es-ES"/>
        </w:rPr>
      </w:pPr>
      <w:r w:rsidRPr="001522B4">
        <w:rPr>
          <w:sz w:val="20"/>
          <w:szCs w:val="20"/>
          <w:lang w:val="es-ES"/>
        </w:rPr>
        <w:t xml:space="preserve">Cada Estado Parte </w:t>
      </w:r>
      <w:r w:rsidR="005E668A" w:rsidRPr="001522B4">
        <w:rPr>
          <w:sz w:val="20"/>
          <w:szCs w:val="20"/>
          <w:lang w:val="es-ES"/>
        </w:rPr>
        <w:t>debe</w:t>
      </w:r>
      <w:r w:rsidRPr="001522B4">
        <w:rPr>
          <w:sz w:val="20"/>
          <w:szCs w:val="20"/>
          <w:lang w:val="es-ES"/>
        </w:rPr>
        <w:t xml:space="preserve"> tomar las medidas necesarias para garantizar la viabilidad del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presente en su territorio.</w:t>
      </w:r>
    </w:p>
    <w:p w:rsidR="008712A7" w:rsidRPr="001522B4" w:rsidRDefault="00324994" w:rsidP="00116750">
      <w:pPr>
        <w:numPr>
          <w:ilvl w:val="0"/>
          <w:numId w:val="18"/>
        </w:numPr>
        <w:ind w:left="1134" w:hanging="283"/>
        <w:rPr>
          <w:sz w:val="20"/>
          <w:szCs w:val="20"/>
          <w:lang w:val="es-ES"/>
        </w:rPr>
      </w:pPr>
      <w:r w:rsidRPr="001522B4">
        <w:rPr>
          <w:sz w:val="20"/>
          <w:szCs w:val="20"/>
          <w:lang w:val="es-ES"/>
        </w:rPr>
        <w:t>Cada Estado Parte debe</w:t>
      </w:r>
      <w:r w:rsidR="008712A7" w:rsidRPr="001522B4">
        <w:rPr>
          <w:sz w:val="20"/>
          <w:szCs w:val="20"/>
          <w:lang w:val="es-ES"/>
        </w:rPr>
        <w:t xml:space="preserve"> informar </w:t>
      </w:r>
      <w:r w:rsidRPr="001522B4">
        <w:rPr>
          <w:sz w:val="20"/>
          <w:szCs w:val="20"/>
          <w:lang w:val="es-ES"/>
        </w:rPr>
        <w:t>periódicamente</w:t>
      </w:r>
      <w:r w:rsidR="008712A7" w:rsidRPr="001522B4">
        <w:rPr>
          <w:sz w:val="20"/>
          <w:szCs w:val="20"/>
          <w:lang w:val="es-ES"/>
        </w:rPr>
        <w:t xml:space="preserve"> al Comité </w:t>
      </w:r>
      <w:r w:rsidR="005E668A" w:rsidRPr="001522B4">
        <w:rPr>
          <w:sz w:val="20"/>
          <w:szCs w:val="20"/>
          <w:lang w:val="es-ES"/>
        </w:rPr>
        <w:t>sobre</w:t>
      </w:r>
      <w:r w:rsidR="008712A7" w:rsidRPr="001522B4">
        <w:rPr>
          <w:sz w:val="20"/>
          <w:szCs w:val="20"/>
          <w:lang w:val="es-ES"/>
        </w:rPr>
        <w:t xml:space="preserve"> las medidas adoptadas para aplicar la Convención.</w:t>
      </w:r>
    </w:p>
    <w:p w:rsidR="008712A7" w:rsidRPr="001522B4" w:rsidRDefault="008712A7" w:rsidP="00116750">
      <w:pPr>
        <w:numPr>
          <w:ilvl w:val="0"/>
          <w:numId w:val="18"/>
        </w:numPr>
        <w:ind w:left="1134" w:hanging="283"/>
        <w:rPr>
          <w:sz w:val="20"/>
          <w:szCs w:val="20"/>
          <w:lang w:val="es-ES"/>
        </w:rPr>
      </w:pPr>
      <w:r w:rsidRPr="001522B4">
        <w:rPr>
          <w:sz w:val="20"/>
          <w:szCs w:val="20"/>
          <w:lang w:val="es-ES"/>
        </w:rPr>
        <w:t>Cada Estado Par</w:t>
      </w:r>
      <w:r w:rsidR="005E668A" w:rsidRPr="001522B4">
        <w:rPr>
          <w:sz w:val="20"/>
          <w:szCs w:val="20"/>
          <w:lang w:val="es-ES"/>
        </w:rPr>
        <w:t>te debe</w:t>
      </w:r>
      <w:r w:rsidRPr="001522B4">
        <w:rPr>
          <w:sz w:val="20"/>
          <w:szCs w:val="20"/>
          <w:lang w:val="es-ES"/>
        </w:rPr>
        <w:t xml:space="preserve"> </w:t>
      </w:r>
      <w:r w:rsidR="005E668A" w:rsidRPr="001522B4">
        <w:rPr>
          <w:sz w:val="20"/>
          <w:szCs w:val="20"/>
          <w:lang w:val="es-ES"/>
        </w:rPr>
        <w:t>designar</w:t>
      </w:r>
      <w:r w:rsidRPr="001522B4">
        <w:rPr>
          <w:sz w:val="20"/>
          <w:szCs w:val="20"/>
          <w:lang w:val="es-ES"/>
        </w:rPr>
        <w:t xml:space="preserve"> un órgano competente para salvaguard</w:t>
      </w:r>
      <w:r w:rsidR="005E668A" w:rsidRPr="001522B4">
        <w:rPr>
          <w:sz w:val="20"/>
          <w:szCs w:val="20"/>
          <w:lang w:val="es-ES"/>
        </w:rPr>
        <w:t xml:space="preserve">ar </w:t>
      </w:r>
      <w:r w:rsidRPr="001522B4">
        <w:rPr>
          <w:sz w:val="20"/>
          <w:szCs w:val="20"/>
          <w:lang w:val="es-ES"/>
        </w:rPr>
        <w:t>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w:t>
      </w:r>
      <w:r w:rsidR="005E668A" w:rsidRPr="001522B4">
        <w:rPr>
          <w:sz w:val="20"/>
          <w:szCs w:val="20"/>
          <w:lang w:val="es-ES"/>
        </w:rPr>
        <w:t>a nivel nacional, o crear uno nuevo para cumplir esa tarea</w:t>
      </w:r>
      <w:r w:rsidRPr="001522B4">
        <w:rPr>
          <w:sz w:val="20"/>
          <w:szCs w:val="20"/>
          <w:lang w:val="es-ES"/>
        </w:rPr>
        <w:t>.</w:t>
      </w:r>
    </w:p>
    <w:p w:rsidR="008712A7" w:rsidRPr="001522B4" w:rsidRDefault="005E668A" w:rsidP="00116750">
      <w:pPr>
        <w:numPr>
          <w:ilvl w:val="0"/>
          <w:numId w:val="18"/>
        </w:numPr>
        <w:ind w:left="1134" w:hanging="283"/>
        <w:rPr>
          <w:sz w:val="20"/>
          <w:szCs w:val="20"/>
          <w:lang w:val="es-ES"/>
        </w:rPr>
      </w:pPr>
      <w:r w:rsidRPr="001522B4">
        <w:rPr>
          <w:sz w:val="20"/>
          <w:szCs w:val="20"/>
          <w:lang w:val="es-ES"/>
        </w:rPr>
        <w:t>Cada Estado Parte debe</w:t>
      </w:r>
      <w:r w:rsidR="008712A7" w:rsidRPr="001522B4">
        <w:rPr>
          <w:sz w:val="20"/>
          <w:szCs w:val="20"/>
          <w:lang w:val="es-ES"/>
        </w:rPr>
        <w:t xml:space="preserve"> confeccionar uno o más inventarios del</w:t>
      </w:r>
      <w:r w:rsidR="00D443D8" w:rsidRPr="001522B4">
        <w:rPr>
          <w:sz w:val="20"/>
          <w:szCs w:val="20"/>
          <w:lang w:val="es-ES"/>
        </w:rPr>
        <w:t xml:space="preserve"> </w:t>
      </w:r>
      <w:r w:rsidR="00DF1B19" w:rsidRPr="001522B4">
        <w:rPr>
          <w:sz w:val="20"/>
          <w:szCs w:val="20"/>
          <w:lang w:val="es-ES"/>
        </w:rPr>
        <w:t>PCI</w:t>
      </w:r>
      <w:r w:rsidR="008712A7" w:rsidRPr="001522B4">
        <w:rPr>
          <w:sz w:val="20"/>
          <w:szCs w:val="20"/>
          <w:lang w:val="es-ES"/>
        </w:rPr>
        <w:t xml:space="preserve"> presente en su territorio.</w:t>
      </w:r>
    </w:p>
    <w:p w:rsidR="00394841" w:rsidRPr="001522B4" w:rsidRDefault="004C6C18" w:rsidP="00394841">
      <w:pPr>
        <w:pStyle w:val="Heading3"/>
        <w:rPr>
          <w:lang w:val="es-ES"/>
        </w:rPr>
      </w:pPr>
      <w:bookmarkStart w:id="5" w:name="_Toc238982294"/>
      <w:r w:rsidRPr="001522B4">
        <w:rPr>
          <w:lang w:val="es-ES"/>
        </w:rPr>
        <w:t>PREGUNTA</w:t>
      </w:r>
      <w:r w:rsidR="00394841" w:rsidRPr="001522B4">
        <w:rPr>
          <w:lang w:val="es-ES"/>
        </w:rPr>
        <w:t xml:space="preserve"> 3</w:t>
      </w:r>
      <w:bookmarkEnd w:id="5"/>
    </w:p>
    <w:p w:rsidR="00394841" w:rsidRPr="001522B4" w:rsidRDefault="008712A7" w:rsidP="008712A7">
      <w:pPr>
        <w:pStyle w:val="Texte1"/>
        <w:rPr>
          <w:lang w:val="es-ES"/>
        </w:rPr>
      </w:pPr>
      <w:r w:rsidRPr="001522B4">
        <w:rPr>
          <w:lang w:val="es-ES"/>
        </w:rPr>
        <w:t>¿Quién elige a los miembros del Comité Intergubernamental</w:t>
      </w:r>
      <w:r w:rsidR="00394841" w:rsidRPr="001522B4">
        <w:rPr>
          <w:lang w:val="es-ES"/>
        </w:rPr>
        <w:t>?</w:t>
      </w:r>
    </w:p>
    <w:p w:rsidR="00394841" w:rsidRPr="001522B4" w:rsidRDefault="008712A7" w:rsidP="008712A7">
      <w:pPr>
        <w:pStyle w:val="numrationa"/>
        <w:ind w:left="1134" w:hanging="283"/>
        <w:rPr>
          <w:lang w:val="es-ES"/>
        </w:rPr>
      </w:pPr>
      <w:r w:rsidRPr="001522B4">
        <w:rPr>
          <w:lang w:val="es-ES"/>
        </w:rPr>
        <w:t>a)</w:t>
      </w:r>
      <w:r w:rsidRPr="001522B4">
        <w:rPr>
          <w:lang w:val="es-ES"/>
        </w:rPr>
        <w:tab/>
        <w:t>El propio Comité lleva a cabo la renovación de sus miembros</w:t>
      </w:r>
      <w:r w:rsidR="00394841" w:rsidRPr="001522B4">
        <w:rPr>
          <w:lang w:val="es-ES"/>
        </w:rPr>
        <w:t>.</w:t>
      </w:r>
    </w:p>
    <w:p w:rsidR="00394841" w:rsidRPr="001522B4" w:rsidRDefault="00E57473" w:rsidP="008712A7">
      <w:pPr>
        <w:pStyle w:val="numrationa"/>
        <w:ind w:left="1134" w:hanging="283"/>
        <w:rPr>
          <w:lang w:val="es-ES"/>
        </w:rPr>
      </w:pPr>
      <w:r w:rsidRPr="001522B4">
        <w:rPr>
          <w:lang w:val="es-ES"/>
        </w:rPr>
        <w:t>b)</w:t>
      </w:r>
      <w:r w:rsidRPr="001522B4">
        <w:rPr>
          <w:lang w:val="es-ES"/>
        </w:rPr>
        <w:tab/>
      </w:r>
      <w:r w:rsidR="008712A7" w:rsidRPr="001522B4">
        <w:rPr>
          <w:lang w:val="es-ES"/>
        </w:rPr>
        <w:t>La Asamblea General</w:t>
      </w:r>
      <w:r w:rsidR="00394841" w:rsidRPr="001522B4">
        <w:rPr>
          <w:lang w:val="es-ES"/>
        </w:rPr>
        <w:t>.</w:t>
      </w:r>
    </w:p>
    <w:p w:rsidR="00394841" w:rsidRPr="001522B4" w:rsidRDefault="00E57473" w:rsidP="008712A7">
      <w:pPr>
        <w:pStyle w:val="numrationa"/>
        <w:ind w:left="1134" w:hanging="283"/>
        <w:rPr>
          <w:lang w:val="es-ES"/>
        </w:rPr>
      </w:pPr>
      <w:r w:rsidRPr="001522B4">
        <w:rPr>
          <w:lang w:val="es-ES"/>
        </w:rPr>
        <w:t>c)</w:t>
      </w:r>
      <w:r w:rsidRPr="001522B4">
        <w:rPr>
          <w:lang w:val="es-ES"/>
        </w:rPr>
        <w:tab/>
      </w:r>
      <w:r w:rsidR="008712A7" w:rsidRPr="001522B4">
        <w:rPr>
          <w:lang w:val="es-ES"/>
        </w:rPr>
        <w:t>El</w:t>
      </w:r>
      <w:r w:rsidR="00CE4536">
        <w:rPr>
          <w:lang w:val="es-ES"/>
        </w:rPr>
        <w:t>/la directora(a)</w:t>
      </w:r>
      <w:r w:rsidR="008712A7" w:rsidRPr="001522B4">
        <w:rPr>
          <w:lang w:val="es-ES"/>
        </w:rPr>
        <w:t xml:space="preserve"> </w:t>
      </w:r>
      <w:r w:rsidR="00394841" w:rsidRPr="001522B4">
        <w:rPr>
          <w:lang w:val="es-ES"/>
        </w:rPr>
        <w:t xml:space="preserve">General </w:t>
      </w:r>
      <w:r w:rsidR="008712A7" w:rsidRPr="001522B4">
        <w:rPr>
          <w:lang w:val="es-ES"/>
        </w:rPr>
        <w:t>de la</w:t>
      </w:r>
      <w:r w:rsidR="00394841" w:rsidRPr="001522B4">
        <w:rPr>
          <w:lang w:val="es-ES"/>
        </w:rPr>
        <w:t xml:space="preserve"> UNESCO.</w:t>
      </w:r>
    </w:p>
    <w:p w:rsidR="00394841" w:rsidRPr="001522B4" w:rsidRDefault="004C6C18" w:rsidP="00394841">
      <w:pPr>
        <w:pStyle w:val="Heading3"/>
        <w:rPr>
          <w:lang w:val="es-ES"/>
        </w:rPr>
      </w:pPr>
      <w:bookmarkStart w:id="6" w:name="_Toc238982295"/>
      <w:r w:rsidRPr="001522B4">
        <w:rPr>
          <w:lang w:val="es-ES"/>
        </w:rPr>
        <w:lastRenderedPageBreak/>
        <w:t>PREGUNTA</w:t>
      </w:r>
      <w:r w:rsidR="00394841" w:rsidRPr="001522B4">
        <w:rPr>
          <w:lang w:val="es-ES"/>
        </w:rPr>
        <w:t xml:space="preserve"> 4</w:t>
      </w:r>
      <w:bookmarkEnd w:id="6"/>
    </w:p>
    <w:p w:rsidR="008712A7" w:rsidRPr="001522B4" w:rsidRDefault="008712A7" w:rsidP="008712A7">
      <w:pPr>
        <w:ind w:left="851"/>
        <w:rPr>
          <w:sz w:val="20"/>
          <w:szCs w:val="20"/>
          <w:lang w:val="es-ES"/>
        </w:rPr>
      </w:pPr>
      <w:r w:rsidRPr="001522B4">
        <w:rPr>
          <w:sz w:val="20"/>
          <w:szCs w:val="20"/>
          <w:lang w:val="es-ES"/>
        </w:rPr>
        <w:t>El gobierno del país A no está satisfecho con un</w:t>
      </w:r>
      <w:r w:rsidR="005E668A" w:rsidRPr="001522B4">
        <w:rPr>
          <w:sz w:val="20"/>
          <w:szCs w:val="20"/>
          <w:lang w:val="es-ES"/>
        </w:rPr>
        <w:t>o de los</w:t>
      </w:r>
      <w:r w:rsidRPr="001522B4">
        <w:rPr>
          <w:sz w:val="20"/>
          <w:szCs w:val="20"/>
          <w:lang w:val="es-ES"/>
        </w:rPr>
        <w:t xml:space="preserve"> procedimiento</w:t>
      </w:r>
      <w:r w:rsidR="005E668A" w:rsidRPr="001522B4">
        <w:rPr>
          <w:sz w:val="20"/>
          <w:szCs w:val="20"/>
          <w:lang w:val="es-ES"/>
        </w:rPr>
        <w:t>s</w:t>
      </w:r>
      <w:r w:rsidRPr="001522B4">
        <w:rPr>
          <w:sz w:val="20"/>
          <w:szCs w:val="20"/>
          <w:lang w:val="es-ES"/>
        </w:rPr>
        <w:t xml:space="preserve"> </w:t>
      </w:r>
      <w:r w:rsidR="005E668A" w:rsidRPr="001522B4">
        <w:rPr>
          <w:sz w:val="20"/>
          <w:szCs w:val="20"/>
          <w:lang w:val="es-ES"/>
        </w:rPr>
        <w:t>especificados</w:t>
      </w:r>
      <w:r w:rsidRPr="001522B4">
        <w:rPr>
          <w:sz w:val="20"/>
          <w:szCs w:val="20"/>
          <w:lang w:val="es-ES"/>
        </w:rPr>
        <w:t xml:space="preserve"> en las Directrices Operativas. ¿Cuál sería </w:t>
      </w:r>
      <w:r w:rsidR="005E668A" w:rsidRPr="001522B4">
        <w:rPr>
          <w:sz w:val="20"/>
          <w:szCs w:val="20"/>
          <w:lang w:val="es-ES"/>
        </w:rPr>
        <w:t>el método</w:t>
      </w:r>
      <w:r w:rsidRPr="001522B4">
        <w:rPr>
          <w:sz w:val="20"/>
          <w:szCs w:val="20"/>
          <w:lang w:val="es-ES"/>
        </w:rPr>
        <w:t xml:space="preserve"> más </w:t>
      </w:r>
      <w:r w:rsidR="005E668A" w:rsidRPr="001522B4">
        <w:rPr>
          <w:sz w:val="20"/>
          <w:szCs w:val="20"/>
          <w:lang w:val="es-ES"/>
        </w:rPr>
        <w:t>adecuado</w:t>
      </w:r>
      <w:r w:rsidRPr="001522B4">
        <w:rPr>
          <w:sz w:val="20"/>
          <w:szCs w:val="20"/>
          <w:lang w:val="es-ES"/>
        </w:rPr>
        <w:t xml:space="preserve"> </w:t>
      </w:r>
      <w:r w:rsidR="005E668A" w:rsidRPr="001522B4">
        <w:rPr>
          <w:sz w:val="20"/>
          <w:szCs w:val="20"/>
          <w:lang w:val="es-ES"/>
        </w:rPr>
        <w:t>que este</w:t>
      </w:r>
      <w:r w:rsidRPr="001522B4">
        <w:rPr>
          <w:sz w:val="20"/>
          <w:szCs w:val="20"/>
          <w:lang w:val="es-ES"/>
        </w:rPr>
        <w:t xml:space="preserve"> país </w:t>
      </w:r>
      <w:r w:rsidR="005E668A" w:rsidRPr="001522B4">
        <w:rPr>
          <w:sz w:val="20"/>
          <w:szCs w:val="20"/>
          <w:lang w:val="es-ES"/>
        </w:rPr>
        <w:t>debería adoptar</w:t>
      </w:r>
      <w:r w:rsidRPr="001522B4">
        <w:rPr>
          <w:sz w:val="20"/>
          <w:szCs w:val="20"/>
          <w:lang w:val="es-ES"/>
        </w:rPr>
        <w:t xml:space="preserve"> para </w:t>
      </w:r>
      <w:r w:rsidR="005E668A" w:rsidRPr="001522B4">
        <w:rPr>
          <w:sz w:val="20"/>
          <w:szCs w:val="20"/>
          <w:lang w:val="es-ES"/>
        </w:rPr>
        <w:t>resolver</w:t>
      </w:r>
      <w:r w:rsidRPr="001522B4">
        <w:rPr>
          <w:sz w:val="20"/>
          <w:szCs w:val="20"/>
          <w:lang w:val="es-ES"/>
        </w:rPr>
        <w:t xml:space="preserve"> </w:t>
      </w:r>
      <w:r w:rsidR="005E668A" w:rsidRPr="001522B4">
        <w:rPr>
          <w:sz w:val="20"/>
          <w:szCs w:val="20"/>
          <w:lang w:val="es-ES"/>
        </w:rPr>
        <w:t>una</w:t>
      </w:r>
      <w:r w:rsidRPr="001522B4">
        <w:rPr>
          <w:sz w:val="20"/>
          <w:szCs w:val="20"/>
          <w:lang w:val="es-ES"/>
        </w:rPr>
        <w:t xml:space="preserve"> situación</w:t>
      </w:r>
      <w:r w:rsidR="005E668A" w:rsidRPr="001522B4">
        <w:rPr>
          <w:sz w:val="20"/>
          <w:szCs w:val="20"/>
          <w:lang w:val="es-ES"/>
        </w:rPr>
        <w:t xml:space="preserve"> de este tipo</w:t>
      </w:r>
      <w:r w:rsidRPr="001522B4">
        <w:rPr>
          <w:sz w:val="20"/>
          <w:szCs w:val="20"/>
          <w:lang w:val="es-ES"/>
        </w:rPr>
        <w:t>?</w:t>
      </w:r>
    </w:p>
    <w:p w:rsidR="008712A7" w:rsidRPr="001522B4" w:rsidRDefault="008712A7" w:rsidP="00116750">
      <w:pPr>
        <w:pStyle w:val="ListParagraph"/>
        <w:numPr>
          <w:ilvl w:val="0"/>
          <w:numId w:val="19"/>
        </w:numPr>
        <w:ind w:left="1134" w:hanging="283"/>
        <w:rPr>
          <w:sz w:val="20"/>
          <w:szCs w:val="20"/>
          <w:lang w:val="es-ES"/>
        </w:rPr>
      </w:pPr>
      <w:r w:rsidRPr="001522B4">
        <w:rPr>
          <w:sz w:val="20"/>
          <w:szCs w:val="20"/>
          <w:lang w:val="es-ES"/>
        </w:rPr>
        <w:t xml:space="preserve">Solicitar al </w:t>
      </w:r>
      <w:r w:rsidR="00CE4536">
        <w:rPr>
          <w:sz w:val="20"/>
          <w:szCs w:val="20"/>
          <w:lang w:val="es-ES"/>
        </w:rPr>
        <w:t xml:space="preserve">(a la) </w:t>
      </w:r>
      <w:r w:rsidRPr="001522B4">
        <w:rPr>
          <w:sz w:val="20"/>
          <w:szCs w:val="20"/>
          <w:lang w:val="es-ES"/>
        </w:rPr>
        <w:t>Director</w:t>
      </w:r>
      <w:r w:rsidR="00CE4536">
        <w:rPr>
          <w:sz w:val="20"/>
          <w:szCs w:val="20"/>
          <w:lang w:val="es-ES"/>
        </w:rPr>
        <w:t>(a)</w:t>
      </w:r>
      <w:r w:rsidRPr="001522B4">
        <w:rPr>
          <w:sz w:val="20"/>
          <w:szCs w:val="20"/>
          <w:lang w:val="es-ES"/>
        </w:rPr>
        <w:t xml:space="preserve"> General de la UNESCO que cambie el procedimiento y, </w:t>
      </w:r>
      <w:r w:rsidR="005E668A" w:rsidRPr="001522B4">
        <w:rPr>
          <w:sz w:val="20"/>
          <w:szCs w:val="20"/>
          <w:lang w:val="es-ES"/>
        </w:rPr>
        <w:t>por consiguiente</w:t>
      </w:r>
      <w:r w:rsidRPr="001522B4">
        <w:rPr>
          <w:sz w:val="20"/>
          <w:szCs w:val="20"/>
          <w:lang w:val="es-ES"/>
        </w:rPr>
        <w:t>, la Directriz Operativa en cuestión.</w:t>
      </w:r>
    </w:p>
    <w:p w:rsidR="008712A7" w:rsidRPr="001522B4" w:rsidRDefault="008712A7" w:rsidP="00116750">
      <w:pPr>
        <w:numPr>
          <w:ilvl w:val="0"/>
          <w:numId w:val="19"/>
        </w:numPr>
        <w:ind w:left="1134" w:hanging="283"/>
        <w:rPr>
          <w:sz w:val="20"/>
          <w:szCs w:val="20"/>
          <w:lang w:val="es-ES"/>
        </w:rPr>
      </w:pPr>
      <w:r w:rsidRPr="001522B4">
        <w:rPr>
          <w:sz w:val="20"/>
          <w:szCs w:val="20"/>
          <w:lang w:val="es-ES"/>
        </w:rPr>
        <w:t xml:space="preserve">Incluir el tema en el orden del día de la próxima reunión de la Asamblea General </w:t>
      </w:r>
      <w:r w:rsidR="005E668A" w:rsidRPr="001522B4">
        <w:rPr>
          <w:sz w:val="20"/>
          <w:szCs w:val="20"/>
          <w:lang w:val="es-ES"/>
        </w:rPr>
        <w:t xml:space="preserve">para convencer a este órgano de que es necesario pedir al </w:t>
      </w:r>
      <w:r w:rsidRPr="001522B4">
        <w:rPr>
          <w:sz w:val="20"/>
          <w:szCs w:val="20"/>
          <w:lang w:val="es-ES"/>
        </w:rPr>
        <w:t xml:space="preserve">Comité que </w:t>
      </w:r>
      <w:r w:rsidR="005E668A" w:rsidRPr="001522B4">
        <w:rPr>
          <w:sz w:val="20"/>
          <w:szCs w:val="20"/>
          <w:lang w:val="es-ES"/>
        </w:rPr>
        <w:t>reconsidere</w:t>
      </w:r>
      <w:r w:rsidRPr="001522B4">
        <w:rPr>
          <w:sz w:val="20"/>
          <w:szCs w:val="20"/>
          <w:lang w:val="es-ES"/>
        </w:rPr>
        <w:t xml:space="preserve"> el tema y formule una nueva propuesta </w:t>
      </w:r>
      <w:r w:rsidR="005F3E0C" w:rsidRPr="001522B4">
        <w:rPr>
          <w:sz w:val="20"/>
          <w:szCs w:val="20"/>
          <w:lang w:val="es-ES"/>
        </w:rPr>
        <w:t>con respecto al</w:t>
      </w:r>
      <w:r w:rsidRPr="001522B4">
        <w:rPr>
          <w:sz w:val="20"/>
          <w:szCs w:val="20"/>
          <w:lang w:val="es-ES"/>
        </w:rPr>
        <w:t xml:space="preserve"> procedimiento.</w:t>
      </w:r>
    </w:p>
    <w:p w:rsidR="008712A7" w:rsidRPr="001522B4" w:rsidRDefault="008712A7" w:rsidP="00116750">
      <w:pPr>
        <w:numPr>
          <w:ilvl w:val="0"/>
          <w:numId w:val="19"/>
        </w:numPr>
        <w:ind w:left="1134" w:hanging="283"/>
        <w:rPr>
          <w:sz w:val="20"/>
          <w:szCs w:val="20"/>
          <w:lang w:val="es-ES"/>
        </w:rPr>
      </w:pPr>
      <w:r w:rsidRPr="001522B4">
        <w:rPr>
          <w:sz w:val="20"/>
          <w:szCs w:val="20"/>
          <w:lang w:val="es-ES"/>
        </w:rPr>
        <w:t xml:space="preserve">Decidir que nunca </w:t>
      </w:r>
      <w:r w:rsidR="005F3E0C" w:rsidRPr="001522B4">
        <w:rPr>
          <w:sz w:val="20"/>
          <w:szCs w:val="20"/>
          <w:lang w:val="es-ES"/>
        </w:rPr>
        <w:t>aplicará ese</w:t>
      </w:r>
      <w:r w:rsidRPr="001522B4">
        <w:rPr>
          <w:sz w:val="20"/>
          <w:szCs w:val="20"/>
          <w:lang w:val="es-ES"/>
        </w:rPr>
        <w:t xml:space="preserve"> procedimiento.</w:t>
      </w:r>
    </w:p>
    <w:p w:rsidR="00394841" w:rsidRPr="001522B4" w:rsidRDefault="00394841" w:rsidP="004936EF">
      <w:pPr>
        <w:pStyle w:val="Heading4"/>
        <w:rPr>
          <w:lang w:val="es-ES"/>
        </w:rPr>
      </w:pPr>
      <w:r w:rsidRPr="001522B4">
        <w:rPr>
          <w:lang w:val="es-ES"/>
        </w:rPr>
        <w:t>Defini</w:t>
      </w:r>
      <w:r w:rsidR="00C56119" w:rsidRPr="001522B4">
        <w:rPr>
          <w:lang w:val="es-ES"/>
        </w:rPr>
        <w:t>CIONES</w:t>
      </w:r>
      <w:r w:rsidRPr="001522B4">
        <w:rPr>
          <w:lang w:val="es-ES"/>
        </w:rPr>
        <w:t xml:space="preserve"> </w:t>
      </w:r>
      <w:r w:rsidR="00C56119" w:rsidRPr="001522B4">
        <w:rPr>
          <w:lang w:val="es-ES"/>
        </w:rPr>
        <w:t>Y</w:t>
      </w:r>
      <w:r w:rsidRPr="001522B4">
        <w:rPr>
          <w:lang w:val="es-ES"/>
        </w:rPr>
        <w:t xml:space="preserve"> concept</w:t>
      </w:r>
      <w:r w:rsidR="00C56119" w:rsidRPr="001522B4">
        <w:rPr>
          <w:lang w:val="es-ES"/>
        </w:rPr>
        <w:t>O</w:t>
      </w:r>
      <w:r w:rsidRPr="001522B4">
        <w:rPr>
          <w:lang w:val="es-ES"/>
        </w:rPr>
        <w:t>s</w:t>
      </w:r>
    </w:p>
    <w:p w:rsidR="00394841" w:rsidRPr="001522B4" w:rsidRDefault="004C6C18" w:rsidP="00394841">
      <w:pPr>
        <w:pStyle w:val="Heading3"/>
        <w:rPr>
          <w:lang w:val="es-ES"/>
        </w:rPr>
      </w:pPr>
      <w:bookmarkStart w:id="7" w:name="_Toc238982296"/>
      <w:r w:rsidRPr="001522B4">
        <w:rPr>
          <w:lang w:val="es-ES"/>
        </w:rPr>
        <w:t>PREGUNTA</w:t>
      </w:r>
      <w:r w:rsidR="00394841" w:rsidRPr="001522B4">
        <w:rPr>
          <w:lang w:val="es-ES"/>
        </w:rPr>
        <w:t xml:space="preserve"> 5</w:t>
      </w:r>
      <w:bookmarkEnd w:id="7"/>
    </w:p>
    <w:p w:rsidR="008712A7" w:rsidRPr="001522B4" w:rsidRDefault="008712A7" w:rsidP="008712A7">
      <w:pPr>
        <w:ind w:left="851"/>
        <w:rPr>
          <w:sz w:val="20"/>
          <w:szCs w:val="20"/>
          <w:lang w:val="es-ES"/>
        </w:rPr>
      </w:pPr>
      <w:r w:rsidRPr="001522B4">
        <w:rPr>
          <w:sz w:val="20"/>
          <w:szCs w:val="20"/>
          <w:lang w:val="es-ES"/>
        </w:rPr>
        <w:t>¿</w:t>
      </w:r>
      <w:r w:rsidR="005F3E0C" w:rsidRPr="001522B4">
        <w:rPr>
          <w:sz w:val="20"/>
          <w:szCs w:val="20"/>
          <w:lang w:val="es-ES"/>
        </w:rPr>
        <w:t xml:space="preserve">Constituye siempre una violación de los derechos humanos </w:t>
      </w:r>
      <w:r w:rsidRPr="001522B4">
        <w:rPr>
          <w:sz w:val="20"/>
          <w:szCs w:val="20"/>
          <w:lang w:val="es-ES"/>
        </w:rPr>
        <w:t>la diferenciación de tareas</w:t>
      </w:r>
      <w:r w:rsidR="00C375D0" w:rsidRPr="001522B4">
        <w:rPr>
          <w:sz w:val="20"/>
          <w:szCs w:val="20"/>
          <w:lang w:val="es-ES"/>
        </w:rPr>
        <w:t>,</w:t>
      </w:r>
      <w:r w:rsidRPr="001522B4">
        <w:rPr>
          <w:sz w:val="20"/>
          <w:szCs w:val="20"/>
          <w:lang w:val="es-ES"/>
        </w:rPr>
        <w:t xml:space="preserve"> </w:t>
      </w:r>
      <w:r w:rsidR="00C375D0" w:rsidRPr="001522B4">
        <w:rPr>
          <w:sz w:val="20"/>
          <w:szCs w:val="20"/>
          <w:lang w:val="es-ES"/>
        </w:rPr>
        <w:t xml:space="preserve">establecida en función del </w:t>
      </w:r>
      <w:r w:rsidR="009B1C44">
        <w:rPr>
          <w:sz w:val="20"/>
          <w:szCs w:val="20"/>
          <w:lang w:val="es-ES"/>
        </w:rPr>
        <w:t>género</w:t>
      </w:r>
      <w:r w:rsidR="00C375D0" w:rsidRPr="001522B4">
        <w:rPr>
          <w:sz w:val="20"/>
          <w:szCs w:val="20"/>
          <w:lang w:val="es-ES"/>
        </w:rPr>
        <w:t xml:space="preserve">, </w:t>
      </w:r>
      <w:r w:rsidR="005F3E0C" w:rsidRPr="001522B4">
        <w:rPr>
          <w:sz w:val="20"/>
          <w:szCs w:val="20"/>
          <w:lang w:val="es-ES"/>
        </w:rPr>
        <w:t>en la práctica de</w:t>
      </w:r>
      <w:r w:rsidRPr="001522B4">
        <w:rPr>
          <w:sz w:val="20"/>
          <w:szCs w:val="20"/>
          <w:lang w:val="es-ES"/>
        </w:rPr>
        <w:t xml:space="preserve"> elementos del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w:t>
      </w:r>
    </w:p>
    <w:p w:rsidR="008712A7" w:rsidRPr="001522B4" w:rsidRDefault="008712A7" w:rsidP="00116750">
      <w:pPr>
        <w:pStyle w:val="ListParagraph"/>
        <w:numPr>
          <w:ilvl w:val="0"/>
          <w:numId w:val="20"/>
        </w:numPr>
        <w:ind w:left="1134" w:hanging="283"/>
        <w:rPr>
          <w:sz w:val="20"/>
          <w:szCs w:val="20"/>
          <w:lang w:val="es-ES"/>
        </w:rPr>
      </w:pPr>
      <w:r w:rsidRPr="001522B4">
        <w:rPr>
          <w:sz w:val="20"/>
          <w:szCs w:val="20"/>
          <w:lang w:val="es-ES"/>
        </w:rPr>
        <w:t xml:space="preserve">No, la diferenciación </w:t>
      </w:r>
      <w:r w:rsidR="005F3E0C" w:rsidRPr="001522B4">
        <w:rPr>
          <w:sz w:val="20"/>
          <w:szCs w:val="20"/>
          <w:lang w:val="es-ES"/>
        </w:rPr>
        <w:t xml:space="preserve">en función </w:t>
      </w:r>
      <w:r w:rsidR="00C375D0" w:rsidRPr="001522B4">
        <w:rPr>
          <w:sz w:val="20"/>
          <w:szCs w:val="20"/>
          <w:lang w:val="es-ES"/>
        </w:rPr>
        <w:t xml:space="preserve">del </w:t>
      </w:r>
      <w:r w:rsidR="009B1C44">
        <w:rPr>
          <w:sz w:val="20"/>
          <w:szCs w:val="20"/>
          <w:lang w:val="es-ES"/>
        </w:rPr>
        <w:t>género</w:t>
      </w:r>
      <w:r w:rsidR="009B1C44" w:rsidRPr="001522B4">
        <w:rPr>
          <w:sz w:val="20"/>
          <w:szCs w:val="20"/>
          <w:lang w:val="es-ES"/>
        </w:rPr>
        <w:t xml:space="preserve"> </w:t>
      </w:r>
      <w:r w:rsidRPr="001522B4">
        <w:rPr>
          <w:sz w:val="20"/>
          <w:szCs w:val="20"/>
          <w:lang w:val="es-ES"/>
        </w:rPr>
        <w:t>no constituye una violación de los derechos humanos.</w:t>
      </w:r>
    </w:p>
    <w:p w:rsidR="008712A7" w:rsidRPr="001522B4" w:rsidRDefault="008712A7" w:rsidP="00116750">
      <w:pPr>
        <w:numPr>
          <w:ilvl w:val="0"/>
          <w:numId w:val="20"/>
        </w:numPr>
        <w:ind w:left="1134" w:hanging="283"/>
        <w:rPr>
          <w:sz w:val="20"/>
          <w:szCs w:val="20"/>
          <w:lang w:val="es-ES"/>
        </w:rPr>
      </w:pPr>
      <w:r w:rsidRPr="001522B4">
        <w:rPr>
          <w:sz w:val="20"/>
          <w:szCs w:val="20"/>
          <w:lang w:val="es-ES"/>
        </w:rPr>
        <w:t xml:space="preserve">La diferenciación </w:t>
      </w:r>
      <w:r w:rsidR="005F3E0C" w:rsidRPr="001522B4">
        <w:rPr>
          <w:sz w:val="20"/>
          <w:szCs w:val="20"/>
          <w:lang w:val="es-ES"/>
        </w:rPr>
        <w:t>en función</w:t>
      </w:r>
      <w:r w:rsidRPr="001522B4">
        <w:rPr>
          <w:sz w:val="20"/>
          <w:szCs w:val="20"/>
          <w:lang w:val="es-ES"/>
        </w:rPr>
        <w:t xml:space="preserve"> </w:t>
      </w:r>
      <w:r w:rsidR="00C375D0" w:rsidRPr="001522B4">
        <w:rPr>
          <w:sz w:val="20"/>
          <w:szCs w:val="20"/>
          <w:lang w:val="es-ES"/>
        </w:rPr>
        <w:t xml:space="preserve">del </w:t>
      </w:r>
      <w:r w:rsidR="009B1C44">
        <w:rPr>
          <w:sz w:val="20"/>
          <w:szCs w:val="20"/>
          <w:lang w:val="es-ES"/>
        </w:rPr>
        <w:t>género</w:t>
      </w:r>
      <w:r w:rsidR="009B1C44" w:rsidRPr="001522B4">
        <w:rPr>
          <w:sz w:val="20"/>
          <w:szCs w:val="20"/>
          <w:lang w:val="es-ES"/>
        </w:rPr>
        <w:t xml:space="preserve"> </w:t>
      </w:r>
      <w:r w:rsidRPr="001522B4">
        <w:rPr>
          <w:sz w:val="20"/>
          <w:szCs w:val="20"/>
          <w:lang w:val="es-ES"/>
        </w:rPr>
        <w:t xml:space="preserve">en </w:t>
      </w:r>
      <w:r w:rsidR="00C375D0" w:rsidRPr="001522B4">
        <w:rPr>
          <w:sz w:val="20"/>
          <w:szCs w:val="20"/>
          <w:lang w:val="es-ES"/>
        </w:rPr>
        <w:t>la práctica de</w:t>
      </w:r>
      <w:r w:rsidRPr="001522B4">
        <w:rPr>
          <w:sz w:val="20"/>
          <w:szCs w:val="20"/>
          <w:lang w:val="es-ES"/>
        </w:rPr>
        <w:t xml:space="preserve"> elementos del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no </w:t>
      </w:r>
      <w:r w:rsidR="00C375D0" w:rsidRPr="001522B4">
        <w:rPr>
          <w:sz w:val="20"/>
          <w:szCs w:val="20"/>
          <w:lang w:val="es-ES"/>
        </w:rPr>
        <w:t xml:space="preserve">siempre </w:t>
      </w:r>
      <w:r w:rsidRPr="001522B4">
        <w:rPr>
          <w:sz w:val="20"/>
          <w:szCs w:val="20"/>
          <w:lang w:val="es-ES"/>
        </w:rPr>
        <w:t>constituye una violación de los derechos humanos.</w:t>
      </w:r>
    </w:p>
    <w:p w:rsidR="008712A7" w:rsidRPr="001522B4" w:rsidRDefault="008712A7" w:rsidP="00116750">
      <w:pPr>
        <w:numPr>
          <w:ilvl w:val="0"/>
          <w:numId w:val="20"/>
        </w:numPr>
        <w:ind w:left="1134" w:hanging="283"/>
        <w:rPr>
          <w:sz w:val="20"/>
          <w:szCs w:val="20"/>
          <w:lang w:val="es-ES"/>
        </w:rPr>
      </w:pPr>
      <w:r w:rsidRPr="001522B4">
        <w:rPr>
          <w:sz w:val="20"/>
          <w:szCs w:val="20"/>
          <w:lang w:val="es-ES"/>
        </w:rPr>
        <w:t xml:space="preserve">Sí, toda diferenciación </w:t>
      </w:r>
      <w:r w:rsidR="00C375D0" w:rsidRPr="001522B4">
        <w:rPr>
          <w:sz w:val="20"/>
          <w:szCs w:val="20"/>
          <w:lang w:val="es-ES"/>
        </w:rPr>
        <w:t xml:space="preserve">en función del </w:t>
      </w:r>
      <w:r w:rsidR="009B1C44">
        <w:rPr>
          <w:sz w:val="20"/>
          <w:szCs w:val="20"/>
          <w:lang w:val="es-ES"/>
        </w:rPr>
        <w:t>género</w:t>
      </w:r>
      <w:r w:rsidR="009B1C44" w:rsidRPr="001522B4">
        <w:rPr>
          <w:sz w:val="20"/>
          <w:szCs w:val="20"/>
          <w:lang w:val="es-ES"/>
        </w:rPr>
        <w:t xml:space="preserve"> </w:t>
      </w:r>
      <w:r w:rsidRPr="001522B4">
        <w:rPr>
          <w:sz w:val="20"/>
          <w:szCs w:val="20"/>
          <w:lang w:val="es-ES"/>
        </w:rPr>
        <w:t>constituye una violación de los derechos humanos.</w:t>
      </w:r>
    </w:p>
    <w:p w:rsidR="00394841" w:rsidRPr="001522B4" w:rsidRDefault="004C6C18" w:rsidP="00394841">
      <w:pPr>
        <w:pStyle w:val="Heading3"/>
        <w:rPr>
          <w:lang w:val="es-ES"/>
        </w:rPr>
      </w:pPr>
      <w:bookmarkStart w:id="8" w:name="_Toc238982297"/>
      <w:r w:rsidRPr="001522B4">
        <w:rPr>
          <w:lang w:val="es-ES"/>
        </w:rPr>
        <w:t>PREGUNTA</w:t>
      </w:r>
      <w:r w:rsidR="00394841" w:rsidRPr="001522B4">
        <w:rPr>
          <w:lang w:val="es-ES"/>
        </w:rPr>
        <w:t xml:space="preserve"> 6</w:t>
      </w:r>
      <w:bookmarkEnd w:id="8"/>
    </w:p>
    <w:p w:rsidR="00E87CB0" w:rsidRPr="001522B4" w:rsidRDefault="00E87CB0" w:rsidP="00E87CB0">
      <w:pPr>
        <w:ind w:left="851"/>
        <w:rPr>
          <w:sz w:val="20"/>
          <w:szCs w:val="20"/>
          <w:lang w:val="es-ES"/>
        </w:rPr>
      </w:pPr>
      <w:r w:rsidRPr="001522B4">
        <w:rPr>
          <w:sz w:val="20"/>
          <w:szCs w:val="20"/>
          <w:lang w:val="es-ES"/>
        </w:rPr>
        <w:t>¿La documentación del</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w:t>
      </w:r>
      <w:r w:rsidR="00C375D0" w:rsidRPr="001522B4">
        <w:rPr>
          <w:sz w:val="20"/>
          <w:szCs w:val="20"/>
          <w:lang w:val="es-ES"/>
        </w:rPr>
        <w:t>se puede considerar</w:t>
      </w:r>
      <w:r w:rsidRPr="001522B4">
        <w:rPr>
          <w:sz w:val="20"/>
          <w:szCs w:val="20"/>
          <w:lang w:val="es-ES"/>
        </w:rPr>
        <w:t xml:space="preserve"> siempre </w:t>
      </w:r>
      <w:r w:rsidR="00C375D0" w:rsidRPr="001522B4">
        <w:rPr>
          <w:sz w:val="20"/>
          <w:szCs w:val="20"/>
          <w:lang w:val="es-ES"/>
        </w:rPr>
        <w:t>una</w:t>
      </w:r>
      <w:r w:rsidRPr="001522B4">
        <w:rPr>
          <w:sz w:val="20"/>
          <w:szCs w:val="20"/>
          <w:lang w:val="es-ES"/>
        </w:rPr>
        <w:t xml:space="preserve"> medida de salvaguardia?</w:t>
      </w:r>
    </w:p>
    <w:p w:rsidR="00E87CB0" w:rsidRPr="001522B4" w:rsidRDefault="00E87CB0" w:rsidP="00116750">
      <w:pPr>
        <w:pStyle w:val="ListParagraph"/>
        <w:numPr>
          <w:ilvl w:val="0"/>
          <w:numId w:val="21"/>
        </w:numPr>
        <w:ind w:left="1134" w:hanging="283"/>
        <w:rPr>
          <w:sz w:val="20"/>
          <w:szCs w:val="20"/>
          <w:lang w:val="es-ES"/>
        </w:rPr>
      </w:pPr>
      <w:r w:rsidRPr="001522B4">
        <w:rPr>
          <w:sz w:val="20"/>
          <w:szCs w:val="20"/>
          <w:lang w:val="es-ES"/>
        </w:rPr>
        <w:t xml:space="preserve">Sí, </w:t>
      </w:r>
      <w:r w:rsidR="00C375D0" w:rsidRPr="001522B4">
        <w:rPr>
          <w:sz w:val="20"/>
          <w:szCs w:val="20"/>
          <w:lang w:val="es-ES"/>
        </w:rPr>
        <w:t>toda labor de</w:t>
      </w:r>
      <w:r w:rsidRPr="001522B4">
        <w:rPr>
          <w:sz w:val="20"/>
          <w:szCs w:val="20"/>
          <w:lang w:val="es-ES"/>
        </w:rPr>
        <w:t xml:space="preserve"> documentación </w:t>
      </w:r>
      <w:r w:rsidR="00C375D0" w:rsidRPr="001522B4">
        <w:rPr>
          <w:sz w:val="20"/>
          <w:szCs w:val="20"/>
          <w:lang w:val="es-ES"/>
        </w:rPr>
        <w:t>d</w:t>
      </w:r>
      <w:r w:rsidRPr="001522B4">
        <w:rPr>
          <w:sz w:val="20"/>
          <w:szCs w:val="20"/>
          <w:lang w:val="es-ES"/>
        </w:rPr>
        <w:t>el elemento contribu</w:t>
      </w:r>
      <w:r w:rsidR="00C375D0" w:rsidRPr="001522B4">
        <w:rPr>
          <w:sz w:val="20"/>
          <w:szCs w:val="20"/>
          <w:lang w:val="es-ES"/>
        </w:rPr>
        <w:t>ye</w:t>
      </w:r>
      <w:r w:rsidRPr="001522B4">
        <w:rPr>
          <w:sz w:val="20"/>
          <w:szCs w:val="20"/>
          <w:lang w:val="es-ES"/>
        </w:rPr>
        <w:t xml:space="preserve"> automáticamente a su salvaguardia.</w:t>
      </w:r>
    </w:p>
    <w:p w:rsidR="00E87CB0" w:rsidRPr="001522B4" w:rsidRDefault="00C375D0" w:rsidP="00116750">
      <w:pPr>
        <w:numPr>
          <w:ilvl w:val="0"/>
          <w:numId w:val="21"/>
        </w:numPr>
        <w:ind w:left="1134" w:hanging="283"/>
        <w:rPr>
          <w:sz w:val="20"/>
          <w:szCs w:val="20"/>
          <w:lang w:val="es-ES"/>
        </w:rPr>
      </w:pPr>
      <w:r w:rsidRPr="001522B4">
        <w:rPr>
          <w:sz w:val="20"/>
          <w:szCs w:val="20"/>
          <w:lang w:val="es-ES"/>
        </w:rPr>
        <w:t xml:space="preserve">No siempre, salvo si tiene por finalidad explícita </w:t>
      </w:r>
      <w:r w:rsidR="00E87CB0" w:rsidRPr="001522B4">
        <w:rPr>
          <w:sz w:val="20"/>
          <w:szCs w:val="20"/>
          <w:lang w:val="es-ES"/>
        </w:rPr>
        <w:t>salvaguardar</w:t>
      </w:r>
      <w:r w:rsidRPr="001522B4">
        <w:rPr>
          <w:sz w:val="20"/>
          <w:szCs w:val="20"/>
          <w:lang w:val="es-ES"/>
        </w:rPr>
        <w:t>lo</w:t>
      </w:r>
      <w:r w:rsidR="00E87CB0" w:rsidRPr="001522B4">
        <w:rPr>
          <w:sz w:val="20"/>
          <w:szCs w:val="20"/>
          <w:lang w:val="es-ES"/>
        </w:rPr>
        <w:t>.</w:t>
      </w:r>
    </w:p>
    <w:p w:rsidR="008712A7" w:rsidRPr="008B5BEB" w:rsidRDefault="00E87CB0" w:rsidP="008B5BEB">
      <w:pPr>
        <w:numPr>
          <w:ilvl w:val="0"/>
          <w:numId w:val="21"/>
        </w:numPr>
        <w:ind w:left="1134" w:hanging="283"/>
        <w:rPr>
          <w:sz w:val="20"/>
          <w:szCs w:val="20"/>
          <w:lang w:val="es-ES"/>
        </w:rPr>
      </w:pPr>
      <w:r w:rsidRPr="001522B4">
        <w:rPr>
          <w:sz w:val="20"/>
          <w:szCs w:val="20"/>
          <w:lang w:val="es-ES"/>
        </w:rPr>
        <w:t xml:space="preserve">No, la documentación siempre </w:t>
      </w:r>
      <w:r w:rsidR="00C375D0" w:rsidRPr="001522B4">
        <w:rPr>
          <w:sz w:val="20"/>
          <w:szCs w:val="20"/>
          <w:lang w:val="es-ES"/>
        </w:rPr>
        <w:t xml:space="preserve">tiene un carácter negativo </w:t>
      </w:r>
      <w:r w:rsidRPr="001522B4">
        <w:rPr>
          <w:sz w:val="20"/>
          <w:szCs w:val="20"/>
          <w:lang w:val="es-ES"/>
        </w:rPr>
        <w:t>porque le</w:t>
      </w:r>
      <w:r w:rsidR="00C375D0" w:rsidRPr="001522B4">
        <w:rPr>
          <w:sz w:val="20"/>
          <w:szCs w:val="20"/>
          <w:lang w:val="es-ES"/>
        </w:rPr>
        <w:t>s resta poder y c</w:t>
      </w:r>
      <w:r w:rsidRPr="001522B4">
        <w:rPr>
          <w:sz w:val="20"/>
          <w:szCs w:val="20"/>
          <w:lang w:val="es-ES"/>
        </w:rPr>
        <w:t>onocimiento</w:t>
      </w:r>
      <w:r w:rsidR="00D503CC" w:rsidRPr="001522B4">
        <w:rPr>
          <w:sz w:val="20"/>
          <w:szCs w:val="20"/>
          <w:lang w:val="es-ES"/>
        </w:rPr>
        <w:t xml:space="preserve">s </w:t>
      </w:r>
      <w:r w:rsidR="00C375D0" w:rsidRPr="001522B4">
        <w:rPr>
          <w:sz w:val="20"/>
          <w:szCs w:val="20"/>
          <w:lang w:val="es-ES"/>
        </w:rPr>
        <w:t>a</w:t>
      </w:r>
      <w:r w:rsidR="00D503CC" w:rsidRPr="001522B4">
        <w:rPr>
          <w:sz w:val="20"/>
          <w:szCs w:val="20"/>
          <w:lang w:val="es-ES"/>
        </w:rPr>
        <w:t xml:space="preserve"> </w:t>
      </w:r>
      <w:r w:rsidRPr="001522B4">
        <w:rPr>
          <w:sz w:val="20"/>
          <w:szCs w:val="20"/>
          <w:lang w:val="es-ES"/>
        </w:rPr>
        <w:t>las comunidades</w:t>
      </w:r>
      <w:r w:rsidR="00D503CC" w:rsidRPr="001522B4">
        <w:rPr>
          <w:sz w:val="20"/>
          <w:szCs w:val="20"/>
          <w:lang w:val="es-ES"/>
        </w:rPr>
        <w:t>, haciendo que se estanque la evolución del elemento del PCI en cuestión</w:t>
      </w:r>
      <w:r w:rsidRPr="001522B4">
        <w:rPr>
          <w:sz w:val="20"/>
          <w:szCs w:val="20"/>
          <w:lang w:val="es-ES"/>
        </w:rPr>
        <w:t>.</w:t>
      </w:r>
    </w:p>
    <w:p w:rsidR="00394841" w:rsidRPr="001522B4" w:rsidRDefault="00B0135F" w:rsidP="004936EF">
      <w:pPr>
        <w:pStyle w:val="Heading4"/>
        <w:rPr>
          <w:lang w:val="es-ES"/>
        </w:rPr>
      </w:pPr>
      <w:r w:rsidRPr="001522B4">
        <w:rPr>
          <w:lang w:val="es-ES"/>
        </w:rPr>
        <w:t>CONFECCIÓN DE INVENTARIOS</w:t>
      </w:r>
    </w:p>
    <w:p w:rsidR="00394841" w:rsidRPr="001522B4" w:rsidRDefault="004C6C18" w:rsidP="00394841">
      <w:pPr>
        <w:pStyle w:val="Heading3"/>
        <w:rPr>
          <w:lang w:val="es-ES"/>
        </w:rPr>
      </w:pPr>
      <w:bookmarkStart w:id="9" w:name="_Toc238982298"/>
      <w:r w:rsidRPr="001522B4">
        <w:rPr>
          <w:lang w:val="es-ES"/>
        </w:rPr>
        <w:t>PREGUNTA</w:t>
      </w:r>
      <w:r w:rsidR="00394841" w:rsidRPr="001522B4">
        <w:rPr>
          <w:lang w:val="es-ES"/>
        </w:rPr>
        <w:t xml:space="preserve"> 7</w:t>
      </w:r>
      <w:bookmarkEnd w:id="9"/>
    </w:p>
    <w:p w:rsidR="00B0135F" w:rsidRPr="001522B4" w:rsidRDefault="00B0135F" w:rsidP="00B0135F">
      <w:pPr>
        <w:spacing w:before="0"/>
        <w:ind w:left="851" w:right="-144"/>
        <w:rPr>
          <w:color w:val="000000"/>
          <w:sz w:val="20"/>
          <w:szCs w:val="20"/>
          <w:lang w:val="es-ES"/>
        </w:rPr>
      </w:pPr>
      <w:r w:rsidRPr="001522B4">
        <w:rPr>
          <w:color w:val="000000"/>
          <w:sz w:val="20"/>
          <w:szCs w:val="20"/>
          <w:lang w:val="es-ES"/>
        </w:rPr>
        <w:t xml:space="preserve">El país B tiene la intención de confeccionar un inventario de todo el PCI presente en su territorio. El Ministro de Cultura tiene que escoger un nombre para ese inventario. De los nombres </w:t>
      </w:r>
      <w:r w:rsidR="00D503CC" w:rsidRPr="001522B4">
        <w:rPr>
          <w:color w:val="000000"/>
          <w:sz w:val="20"/>
          <w:szCs w:val="20"/>
          <w:lang w:val="es-ES"/>
        </w:rPr>
        <w:t>mencionados</w:t>
      </w:r>
      <w:r w:rsidRPr="001522B4">
        <w:rPr>
          <w:color w:val="000000"/>
          <w:sz w:val="20"/>
          <w:szCs w:val="20"/>
          <w:lang w:val="es-ES"/>
        </w:rPr>
        <w:t xml:space="preserve"> a continuación, ¿cuál sería el </w:t>
      </w:r>
      <w:r w:rsidR="00D503CC" w:rsidRPr="001522B4">
        <w:rPr>
          <w:color w:val="000000"/>
          <w:sz w:val="20"/>
          <w:szCs w:val="20"/>
          <w:lang w:val="es-ES"/>
        </w:rPr>
        <w:t>más acorde</w:t>
      </w:r>
      <w:r w:rsidRPr="001522B4">
        <w:rPr>
          <w:color w:val="000000"/>
          <w:sz w:val="20"/>
          <w:szCs w:val="20"/>
          <w:lang w:val="es-ES"/>
        </w:rPr>
        <w:t xml:space="preserve"> con el espíritu y los principios de la Convención?</w:t>
      </w:r>
    </w:p>
    <w:p w:rsidR="00B0135F" w:rsidRPr="001522B4" w:rsidRDefault="00B0135F" w:rsidP="00116750">
      <w:pPr>
        <w:numPr>
          <w:ilvl w:val="0"/>
          <w:numId w:val="16"/>
        </w:numPr>
        <w:tabs>
          <w:tab w:val="left" w:pos="709"/>
        </w:tabs>
        <w:snapToGrid/>
        <w:spacing w:before="0"/>
        <w:ind w:left="1134" w:right="-144" w:hanging="283"/>
        <w:rPr>
          <w:color w:val="000000"/>
          <w:sz w:val="20"/>
          <w:szCs w:val="20"/>
          <w:lang w:val="es-ES"/>
        </w:rPr>
      </w:pPr>
      <w:r w:rsidRPr="001522B4">
        <w:rPr>
          <w:color w:val="000000"/>
          <w:sz w:val="20"/>
          <w:szCs w:val="20"/>
          <w:lang w:val="es-ES"/>
        </w:rPr>
        <w:t>Inventario Nacional del Patrimonio Cultural Inmaterial de B.</w:t>
      </w:r>
    </w:p>
    <w:p w:rsidR="00B0135F" w:rsidRPr="001522B4" w:rsidRDefault="00B0135F" w:rsidP="00116750">
      <w:pPr>
        <w:numPr>
          <w:ilvl w:val="0"/>
          <w:numId w:val="16"/>
        </w:numPr>
        <w:tabs>
          <w:tab w:val="left" w:pos="709"/>
        </w:tabs>
        <w:snapToGrid/>
        <w:spacing w:before="0"/>
        <w:ind w:left="1134" w:right="-144" w:hanging="283"/>
        <w:rPr>
          <w:color w:val="000000"/>
          <w:sz w:val="20"/>
          <w:szCs w:val="20"/>
          <w:lang w:val="es-ES"/>
        </w:rPr>
      </w:pPr>
      <w:r w:rsidRPr="001522B4">
        <w:rPr>
          <w:color w:val="000000"/>
          <w:sz w:val="20"/>
          <w:szCs w:val="20"/>
          <w:lang w:val="es-ES"/>
        </w:rPr>
        <w:t>Inventario del Patrimonio Cultural Inmaterial de B.</w:t>
      </w:r>
    </w:p>
    <w:p w:rsidR="00B0135F" w:rsidRPr="001522B4" w:rsidRDefault="00B0135F" w:rsidP="00116750">
      <w:pPr>
        <w:numPr>
          <w:ilvl w:val="0"/>
          <w:numId w:val="16"/>
        </w:numPr>
        <w:tabs>
          <w:tab w:val="left" w:pos="709"/>
        </w:tabs>
        <w:snapToGrid/>
        <w:spacing w:before="0"/>
        <w:ind w:left="1134" w:right="-144" w:hanging="283"/>
        <w:rPr>
          <w:sz w:val="20"/>
          <w:szCs w:val="20"/>
          <w:lang w:val="es-ES"/>
        </w:rPr>
      </w:pPr>
      <w:r w:rsidRPr="001522B4">
        <w:rPr>
          <w:color w:val="000000"/>
          <w:sz w:val="20"/>
          <w:szCs w:val="20"/>
          <w:lang w:val="es-ES"/>
        </w:rPr>
        <w:t>Inventario del Patrimonio Cultural Inmaterial en B.</w:t>
      </w:r>
    </w:p>
    <w:p w:rsidR="00394841" w:rsidRPr="001522B4" w:rsidRDefault="004C6C18" w:rsidP="00394841">
      <w:pPr>
        <w:pStyle w:val="Heading3"/>
        <w:rPr>
          <w:lang w:val="es-ES"/>
        </w:rPr>
      </w:pPr>
      <w:bookmarkStart w:id="10" w:name="_Toc238982299"/>
      <w:r w:rsidRPr="001522B4">
        <w:rPr>
          <w:lang w:val="es-ES"/>
        </w:rPr>
        <w:t>PREGUNTA</w:t>
      </w:r>
      <w:r w:rsidR="00394841" w:rsidRPr="001522B4">
        <w:rPr>
          <w:lang w:val="es-ES"/>
        </w:rPr>
        <w:t xml:space="preserve"> 8</w:t>
      </w:r>
      <w:bookmarkEnd w:id="10"/>
    </w:p>
    <w:p w:rsidR="00AE5D7C" w:rsidRPr="001522B4" w:rsidRDefault="00AE5D7C" w:rsidP="00CC77C2">
      <w:pPr>
        <w:spacing w:before="0"/>
        <w:ind w:leftChars="386" w:left="849" w:right="-142"/>
        <w:rPr>
          <w:sz w:val="20"/>
          <w:szCs w:val="20"/>
          <w:lang w:val="es-ES"/>
        </w:rPr>
      </w:pPr>
      <w:r w:rsidRPr="001522B4">
        <w:rPr>
          <w:sz w:val="20"/>
          <w:szCs w:val="20"/>
          <w:lang w:val="es-ES"/>
        </w:rPr>
        <w:t xml:space="preserve">El país C está examinando cómo podría organizar un inventario que abarque una región </w:t>
      </w:r>
      <w:r w:rsidR="00D503CC" w:rsidRPr="001522B4">
        <w:rPr>
          <w:sz w:val="20"/>
          <w:szCs w:val="20"/>
          <w:lang w:val="es-ES"/>
        </w:rPr>
        <w:t>concreta</w:t>
      </w:r>
      <w:r w:rsidRPr="001522B4">
        <w:rPr>
          <w:sz w:val="20"/>
          <w:szCs w:val="20"/>
          <w:lang w:val="es-ES"/>
        </w:rPr>
        <w:t xml:space="preserve"> de su territorio, particularmente rica en tradiciones musicales. ¿Cómo se debe </w:t>
      </w:r>
      <w:r w:rsidRPr="001522B4">
        <w:rPr>
          <w:sz w:val="20"/>
          <w:szCs w:val="20"/>
          <w:lang w:val="es-ES"/>
        </w:rPr>
        <w:lastRenderedPageBreak/>
        <w:t xml:space="preserve">abordar </w:t>
      </w:r>
      <w:r w:rsidR="00D503CC" w:rsidRPr="001522B4">
        <w:rPr>
          <w:sz w:val="20"/>
          <w:szCs w:val="20"/>
          <w:lang w:val="es-ES"/>
        </w:rPr>
        <w:t>en el inventario la cuestión de los</w:t>
      </w:r>
      <w:r w:rsidRPr="001522B4">
        <w:rPr>
          <w:sz w:val="20"/>
          <w:szCs w:val="20"/>
          <w:lang w:val="es-ES"/>
        </w:rPr>
        <w:t xml:space="preserve"> instrumentos musicales inherentes a</w:t>
      </w:r>
      <w:r w:rsidR="0007143C">
        <w:rPr>
          <w:sz w:val="20"/>
          <w:szCs w:val="20"/>
          <w:lang w:val="es-ES"/>
        </w:rPr>
        <w:t xml:space="preserve"> </w:t>
      </w:r>
      <w:r w:rsidRPr="001522B4">
        <w:rPr>
          <w:sz w:val="20"/>
          <w:szCs w:val="20"/>
          <w:lang w:val="es-ES"/>
        </w:rPr>
        <w:t>l</w:t>
      </w:r>
      <w:r w:rsidR="0007143C">
        <w:rPr>
          <w:sz w:val="20"/>
          <w:szCs w:val="20"/>
          <w:lang w:val="es-ES"/>
        </w:rPr>
        <w:t>os</w:t>
      </w:r>
      <w:r w:rsidRPr="001522B4">
        <w:rPr>
          <w:sz w:val="20"/>
          <w:szCs w:val="20"/>
          <w:lang w:val="es-ES"/>
        </w:rPr>
        <w:t xml:space="preserve"> </w:t>
      </w:r>
      <w:r w:rsidR="00D503CC" w:rsidRPr="001522B4">
        <w:rPr>
          <w:sz w:val="20"/>
          <w:szCs w:val="20"/>
          <w:lang w:val="es-ES"/>
        </w:rPr>
        <w:t>elemento</w:t>
      </w:r>
      <w:r w:rsidR="0007143C">
        <w:rPr>
          <w:sz w:val="20"/>
          <w:szCs w:val="20"/>
          <w:lang w:val="es-ES"/>
        </w:rPr>
        <w:t>s</w:t>
      </w:r>
      <w:r w:rsidR="00D503CC" w:rsidRPr="001522B4">
        <w:rPr>
          <w:sz w:val="20"/>
          <w:szCs w:val="20"/>
          <w:lang w:val="es-ES"/>
        </w:rPr>
        <w:t xml:space="preserve"> del </w:t>
      </w:r>
      <w:r w:rsidRPr="001522B4">
        <w:rPr>
          <w:sz w:val="20"/>
          <w:szCs w:val="20"/>
          <w:lang w:val="es-ES"/>
        </w:rPr>
        <w:t>PCI de que se trate?</w:t>
      </w:r>
    </w:p>
    <w:p w:rsidR="00AE5D7C" w:rsidRPr="001522B4" w:rsidRDefault="00AE5D7C" w:rsidP="00CC77C2">
      <w:pPr>
        <w:keepNext/>
        <w:keepLines/>
        <w:snapToGrid/>
        <w:spacing w:before="0"/>
        <w:ind w:leftChars="386" w:left="849" w:right="-142" w:firstLine="284"/>
        <w:rPr>
          <w:rFonts w:eastAsia="Calibri"/>
          <w:sz w:val="20"/>
          <w:szCs w:val="20"/>
          <w:lang w:val="es-ES"/>
        </w:rPr>
      </w:pPr>
      <w:r w:rsidRPr="001522B4">
        <w:rPr>
          <w:rFonts w:eastAsia="Calibri"/>
          <w:sz w:val="20"/>
          <w:szCs w:val="20"/>
          <w:lang w:val="es-ES"/>
        </w:rPr>
        <w:t>a)</w:t>
      </w:r>
      <w:r w:rsidRPr="001522B4">
        <w:rPr>
          <w:rFonts w:eastAsia="Calibri"/>
          <w:sz w:val="20"/>
          <w:szCs w:val="20"/>
          <w:lang w:val="es-ES"/>
        </w:rPr>
        <w:tab/>
        <w:t xml:space="preserve">No se debe incluir </w:t>
      </w:r>
      <w:r w:rsidR="00D503CC" w:rsidRPr="001522B4">
        <w:rPr>
          <w:rFonts w:eastAsia="Calibri"/>
          <w:sz w:val="20"/>
          <w:szCs w:val="20"/>
          <w:lang w:val="es-ES"/>
        </w:rPr>
        <w:t>información sobre los instrumentos</w:t>
      </w:r>
      <w:r w:rsidR="004D2F17" w:rsidRPr="001522B4">
        <w:rPr>
          <w:rFonts w:eastAsia="Calibri"/>
          <w:sz w:val="20"/>
          <w:szCs w:val="20"/>
          <w:lang w:val="es-ES"/>
        </w:rPr>
        <w:t xml:space="preserve"> en el inventario</w:t>
      </w:r>
      <w:r w:rsidRPr="001522B4">
        <w:rPr>
          <w:rFonts w:eastAsia="Calibri"/>
          <w:sz w:val="20"/>
          <w:szCs w:val="20"/>
          <w:lang w:val="es-ES"/>
        </w:rPr>
        <w:t xml:space="preserve">, </w:t>
      </w:r>
      <w:r w:rsidR="004D2F17" w:rsidRPr="001522B4">
        <w:rPr>
          <w:rFonts w:eastAsia="Calibri"/>
          <w:sz w:val="20"/>
          <w:szCs w:val="20"/>
          <w:lang w:val="es-ES"/>
        </w:rPr>
        <w:t xml:space="preserve">debido a que el objeto de </w:t>
      </w:r>
      <w:r w:rsidR="004D6862">
        <w:rPr>
          <w:rFonts w:eastAsia="Calibri"/>
          <w:sz w:val="20"/>
          <w:szCs w:val="20"/>
          <w:lang w:val="es-ES"/>
        </w:rPr>
        <w:t>e</w:t>
      </w:r>
      <w:r w:rsidR="004D2F17" w:rsidRPr="001522B4">
        <w:rPr>
          <w:rFonts w:eastAsia="Calibri"/>
          <w:sz w:val="20"/>
          <w:szCs w:val="20"/>
          <w:lang w:val="es-ES"/>
        </w:rPr>
        <w:t xml:space="preserve">ste es </w:t>
      </w:r>
      <w:r w:rsidRPr="001522B4">
        <w:rPr>
          <w:rFonts w:eastAsia="Calibri"/>
          <w:sz w:val="20"/>
          <w:szCs w:val="20"/>
          <w:lang w:val="es-ES"/>
        </w:rPr>
        <w:t>inventari</w:t>
      </w:r>
      <w:r w:rsidR="004D2F17" w:rsidRPr="001522B4">
        <w:rPr>
          <w:rFonts w:eastAsia="Calibri"/>
          <w:sz w:val="20"/>
          <w:szCs w:val="20"/>
          <w:lang w:val="es-ES"/>
        </w:rPr>
        <w:t>ar</w:t>
      </w:r>
      <w:r w:rsidRPr="001522B4">
        <w:rPr>
          <w:rFonts w:eastAsia="Calibri"/>
          <w:sz w:val="20"/>
          <w:szCs w:val="20"/>
          <w:lang w:val="es-ES"/>
        </w:rPr>
        <w:t xml:space="preserve"> expresiones y </w:t>
      </w:r>
      <w:r w:rsidR="00DA03A4" w:rsidRPr="001522B4">
        <w:rPr>
          <w:rFonts w:eastAsia="Calibri"/>
          <w:sz w:val="20"/>
          <w:szCs w:val="20"/>
          <w:lang w:val="es-ES"/>
        </w:rPr>
        <w:t xml:space="preserve">prácticas </w:t>
      </w:r>
      <w:r w:rsidRPr="001522B4">
        <w:rPr>
          <w:rFonts w:eastAsia="Calibri"/>
          <w:sz w:val="20"/>
          <w:szCs w:val="20"/>
          <w:lang w:val="es-ES"/>
        </w:rPr>
        <w:t>del PCI, y no objetos materiales.</w:t>
      </w:r>
    </w:p>
    <w:p w:rsidR="00AE5D7C" w:rsidRPr="001522B4" w:rsidRDefault="00AE5D7C" w:rsidP="00CC77C2">
      <w:pPr>
        <w:keepNext/>
        <w:keepLines/>
        <w:snapToGrid/>
        <w:spacing w:before="0"/>
        <w:ind w:leftChars="386" w:left="849" w:right="-142" w:firstLine="284"/>
        <w:rPr>
          <w:rFonts w:eastAsia="Calibri"/>
          <w:sz w:val="20"/>
          <w:szCs w:val="20"/>
          <w:lang w:val="es-ES"/>
        </w:rPr>
      </w:pPr>
      <w:r w:rsidRPr="001522B4">
        <w:rPr>
          <w:rFonts w:eastAsia="Calibri"/>
          <w:sz w:val="20"/>
          <w:szCs w:val="20"/>
          <w:lang w:val="es-ES"/>
        </w:rPr>
        <w:t>b)</w:t>
      </w:r>
      <w:r w:rsidRPr="001522B4">
        <w:rPr>
          <w:rFonts w:eastAsia="Calibri"/>
          <w:sz w:val="20"/>
          <w:szCs w:val="20"/>
          <w:lang w:val="es-ES"/>
        </w:rPr>
        <w:tab/>
      </w:r>
      <w:r w:rsidR="007158E0" w:rsidRPr="001522B4">
        <w:rPr>
          <w:rFonts w:eastAsia="Calibri"/>
          <w:sz w:val="20"/>
          <w:szCs w:val="20"/>
          <w:lang w:val="es-ES"/>
        </w:rPr>
        <w:t>En las fichas del inventario correspondientes a las prácticas musicales tradicionales s</w:t>
      </w:r>
      <w:r w:rsidRPr="001522B4">
        <w:rPr>
          <w:rFonts w:eastAsia="Calibri"/>
          <w:sz w:val="20"/>
          <w:szCs w:val="20"/>
          <w:lang w:val="es-ES"/>
        </w:rPr>
        <w:t xml:space="preserve">e debe incluir información sobre los instrumentos </w:t>
      </w:r>
      <w:r w:rsidR="007158E0" w:rsidRPr="001522B4">
        <w:rPr>
          <w:rFonts w:eastAsia="Calibri"/>
          <w:sz w:val="20"/>
          <w:szCs w:val="20"/>
          <w:lang w:val="es-ES"/>
        </w:rPr>
        <w:t>inherentes a las mismas</w:t>
      </w:r>
      <w:r w:rsidRPr="001522B4">
        <w:rPr>
          <w:rFonts w:eastAsia="Calibri"/>
          <w:sz w:val="20"/>
          <w:szCs w:val="20"/>
          <w:lang w:val="es-ES"/>
        </w:rPr>
        <w:t>.</w:t>
      </w:r>
    </w:p>
    <w:p w:rsidR="00AE5D7C" w:rsidRPr="001522B4" w:rsidRDefault="00AE5D7C" w:rsidP="00CC77C2">
      <w:pPr>
        <w:snapToGrid/>
        <w:spacing w:before="0"/>
        <w:ind w:leftChars="386" w:left="849" w:right="-142" w:firstLine="284"/>
        <w:rPr>
          <w:rFonts w:eastAsia="Calibri"/>
          <w:sz w:val="20"/>
          <w:szCs w:val="20"/>
          <w:lang w:val="es-ES"/>
        </w:rPr>
      </w:pPr>
      <w:r w:rsidRPr="001522B4">
        <w:rPr>
          <w:rFonts w:eastAsia="Calibri"/>
          <w:sz w:val="20"/>
          <w:szCs w:val="20"/>
          <w:lang w:val="es-ES"/>
        </w:rPr>
        <w:t>c)</w:t>
      </w:r>
      <w:r w:rsidRPr="001522B4">
        <w:rPr>
          <w:rFonts w:eastAsia="Calibri"/>
          <w:sz w:val="20"/>
          <w:szCs w:val="20"/>
          <w:lang w:val="es-ES"/>
        </w:rPr>
        <w:tab/>
        <w:t xml:space="preserve">Se debe crear una sección </w:t>
      </w:r>
      <w:r w:rsidR="004D2F17" w:rsidRPr="001522B4">
        <w:rPr>
          <w:rFonts w:eastAsia="Calibri"/>
          <w:sz w:val="20"/>
          <w:szCs w:val="20"/>
          <w:lang w:val="es-ES"/>
        </w:rPr>
        <w:t>aparte</w:t>
      </w:r>
      <w:r w:rsidRPr="001522B4">
        <w:rPr>
          <w:rFonts w:eastAsia="Calibri"/>
          <w:sz w:val="20"/>
          <w:szCs w:val="20"/>
          <w:lang w:val="es-ES"/>
        </w:rPr>
        <w:t xml:space="preserve"> en el inventario</w:t>
      </w:r>
      <w:r w:rsidR="004D2F17" w:rsidRPr="001522B4">
        <w:rPr>
          <w:rFonts w:eastAsia="Calibri"/>
          <w:sz w:val="20"/>
          <w:szCs w:val="20"/>
          <w:lang w:val="es-ES"/>
        </w:rPr>
        <w:t>, a fin de</w:t>
      </w:r>
      <w:r w:rsidRPr="001522B4">
        <w:rPr>
          <w:rFonts w:eastAsia="Calibri"/>
          <w:sz w:val="20"/>
          <w:szCs w:val="20"/>
          <w:lang w:val="es-ES"/>
        </w:rPr>
        <w:t xml:space="preserve"> incluir información sobre los objetos e instrumentos </w:t>
      </w:r>
      <w:r w:rsidR="004D2F17" w:rsidRPr="001522B4">
        <w:rPr>
          <w:rFonts w:eastAsia="Calibri"/>
          <w:sz w:val="20"/>
          <w:szCs w:val="20"/>
          <w:lang w:val="es-ES"/>
        </w:rPr>
        <w:t>vinculados</w:t>
      </w:r>
      <w:r w:rsidRPr="001522B4">
        <w:rPr>
          <w:rFonts w:eastAsia="Calibri"/>
          <w:sz w:val="20"/>
          <w:szCs w:val="20"/>
          <w:lang w:val="es-ES"/>
        </w:rPr>
        <w:t xml:space="preserve"> a los elementos del PCI inventariado</w:t>
      </w:r>
      <w:r w:rsidR="004D2F17" w:rsidRPr="001522B4">
        <w:rPr>
          <w:rFonts w:eastAsia="Calibri"/>
          <w:sz w:val="20"/>
          <w:szCs w:val="20"/>
          <w:lang w:val="es-ES"/>
        </w:rPr>
        <w:t>s</w:t>
      </w:r>
      <w:r w:rsidRPr="001522B4">
        <w:rPr>
          <w:rFonts w:eastAsia="Calibri"/>
          <w:sz w:val="20"/>
          <w:szCs w:val="20"/>
          <w:lang w:val="es-ES"/>
        </w:rPr>
        <w:t>.</w:t>
      </w:r>
    </w:p>
    <w:p w:rsidR="00394841" w:rsidRPr="001522B4" w:rsidRDefault="004C6C18" w:rsidP="00394841">
      <w:pPr>
        <w:pStyle w:val="Heading3"/>
        <w:rPr>
          <w:lang w:val="es-ES"/>
        </w:rPr>
      </w:pPr>
      <w:bookmarkStart w:id="11" w:name="_Toc238982300"/>
      <w:r w:rsidRPr="001522B4">
        <w:rPr>
          <w:lang w:val="es-ES"/>
        </w:rPr>
        <w:t>PREGUNTA</w:t>
      </w:r>
      <w:r w:rsidR="00394841" w:rsidRPr="001522B4">
        <w:rPr>
          <w:lang w:val="es-ES"/>
        </w:rPr>
        <w:t xml:space="preserve"> 9</w:t>
      </w:r>
      <w:bookmarkEnd w:id="11"/>
    </w:p>
    <w:p w:rsidR="004C6C18" w:rsidRPr="001522B4" w:rsidRDefault="004C6C18" w:rsidP="004C6C18">
      <w:pPr>
        <w:spacing w:before="0"/>
        <w:ind w:left="851" w:right="-144"/>
        <w:rPr>
          <w:sz w:val="20"/>
          <w:szCs w:val="20"/>
          <w:lang w:val="es-ES"/>
        </w:rPr>
      </w:pPr>
      <w:bookmarkStart w:id="12" w:name="_Toc238982301"/>
      <w:r w:rsidRPr="001522B4">
        <w:rPr>
          <w:sz w:val="20"/>
          <w:szCs w:val="20"/>
          <w:lang w:val="es-ES"/>
        </w:rPr>
        <w:t>El país D va a iniciar próximamente la confección de inventarios del PCI presente en su territorio. Por consiguiente, el Ministerio de Cultura ha elaborado una lista de categorías para que se usen en la confecció</w:t>
      </w:r>
      <w:r w:rsidR="0007143C">
        <w:rPr>
          <w:sz w:val="20"/>
          <w:szCs w:val="20"/>
          <w:lang w:val="es-ES"/>
        </w:rPr>
        <w:t>n de inventarios. ¿Cuáles de es</w:t>
      </w:r>
      <w:r w:rsidRPr="001522B4">
        <w:rPr>
          <w:sz w:val="20"/>
          <w:szCs w:val="20"/>
          <w:lang w:val="es-ES"/>
        </w:rPr>
        <w:t>as categorías podrían constituir un motivo de preocupación para el Comité Intergubernamental cuando examine los informes periódicos presentados por el Estado Parte?</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en desuso.</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en peligro.</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que no se ajusta a lo dispuesto en los instrumentos internacionales de derechos humanos generalmente aceptados</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de acceso limitado porque las comunidades y los grupos interesados lo consideran secreto o sagrado.</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que no se ha identificado con la participación de las comunidades interesadas.</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Prácticas del PCI que las comunidades interesadas no han deseado inventariar.</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vinculado al patrimonio material, como instrumentos musicales o lugares específicos.</w:t>
      </w:r>
    </w:p>
    <w:p w:rsidR="004C6C18" w:rsidRPr="001522B4" w:rsidRDefault="004C6C18" w:rsidP="00116750">
      <w:pPr>
        <w:numPr>
          <w:ilvl w:val="0"/>
          <w:numId w:val="14"/>
        </w:numPr>
        <w:spacing w:before="0"/>
        <w:ind w:left="1134" w:right="-144" w:hanging="283"/>
        <w:rPr>
          <w:sz w:val="20"/>
          <w:szCs w:val="20"/>
          <w:lang w:val="es-ES"/>
        </w:rPr>
      </w:pPr>
      <w:r w:rsidRPr="001522B4">
        <w:rPr>
          <w:sz w:val="20"/>
          <w:szCs w:val="20"/>
          <w:lang w:val="es-ES"/>
        </w:rPr>
        <w:t>PCI vinculado a sitios inscritos en la Lista del Patrimonio Mundial.</w:t>
      </w:r>
    </w:p>
    <w:p w:rsidR="00394841" w:rsidRPr="001522B4" w:rsidRDefault="004C6C18" w:rsidP="00394841">
      <w:pPr>
        <w:pStyle w:val="Heading3"/>
        <w:rPr>
          <w:lang w:val="es-ES"/>
        </w:rPr>
      </w:pPr>
      <w:r w:rsidRPr="001522B4">
        <w:rPr>
          <w:lang w:val="es-ES"/>
        </w:rPr>
        <w:t>PREGUNTA</w:t>
      </w:r>
      <w:r w:rsidR="00394841" w:rsidRPr="001522B4">
        <w:rPr>
          <w:lang w:val="es-ES"/>
        </w:rPr>
        <w:t xml:space="preserve"> 10</w:t>
      </w:r>
      <w:bookmarkEnd w:id="12"/>
    </w:p>
    <w:p w:rsidR="00AD4940" w:rsidRPr="001522B4" w:rsidRDefault="00AD4940" w:rsidP="00CC77C2">
      <w:pPr>
        <w:spacing w:before="0"/>
        <w:ind w:leftChars="386" w:left="849" w:rightChars="65" w:right="143" w:firstLine="1"/>
        <w:rPr>
          <w:sz w:val="20"/>
          <w:szCs w:val="20"/>
          <w:lang w:val="es-ES"/>
        </w:rPr>
      </w:pPr>
      <w:bookmarkStart w:id="13" w:name="_Toc238982302"/>
      <w:r w:rsidRPr="001522B4">
        <w:rPr>
          <w:sz w:val="20"/>
          <w:szCs w:val="20"/>
          <w:lang w:val="es-ES"/>
        </w:rPr>
        <w:t>¿Pueden los Estados Partes en la Convención adoptar sus propias definiciones de PCI para realizar inventarios locales o nacionales?</w:t>
      </w:r>
    </w:p>
    <w:p w:rsidR="007158E0" w:rsidRPr="001522B4" w:rsidRDefault="00AD4940" w:rsidP="00116750">
      <w:pPr>
        <w:pStyle w:val="ListParagraph"/>
        <w:keepNext/>
        <w:keepLines/>
        <w:numPr>
          <w:ilvl w:val="0"/>
          <w:numId w:val="25"/>
        </w:numPr>
        <w:spacing w:before="0"/>
        <w:ind w:leftChars="386" w:left="1133" w:right="142" w:hanging="284"/>
        <w:contextualSpacing w:val="0"/>
        <w:rPr>
          <w:sz w:val="20"/>
          <w:szCs w:val="20"/>
          <w:lang w:val="es-ES"/>
        </w:rPr>
      </w:pPr>
      <w:r w:rsidRPr="001522B4">
        <w:rPr>
          <w:sz w:val="20"/>
          <w:szCs w:val="20"/>
          <w:lang w:val="es-ES"/>
        </w:rPr>
        <w:t>Sí, porque se les permite elaborar inventarios propios adaptados a sus circunstancias específicas.</w:t>
      </w:r>
    </w:p>
    <w:p w:rsidR="007158E0" w:rsidRPr="001522B4" w:rsidRDefault="00AD4940" w:rsidP="00116750">
      <w:pPr>
        <w:pStyle w:val="ListParagraph"/>
        <w:keepNext/>
        <w:keepLines/>
        <w:numPr>
          <w:ilvl w:val="0"/>
          <w:numId w:val="15"/>
        </w:numPr>
        <w:spacing w:before="0"/>
        <w:ind w:leftChars="386" w:left="1133" w:right="142" w:hanging="284"/>
        <w:contextualSpacing w:val="0"/>
        <w:rPr>
          <w:sz w:val="20"/>
          <w:szCs w:val="20"/>
          <w:lang w:val="es-ES"/>
        </w:rPr>
      </w:pPr>
      <w:r w:rsidRPr="001522B4">
        <w:rPr>
          <w:sz w:val="20"/>
          <w:szCs w:val="20"/>
          <w:lang w:val="es-ES"/>
        </w:rPr>
        <w:t>No, tienen que respetar la definición de PCI que figura en la Convención.</w:t>
      </w:r>
    </w:p>
    <w:p w:rsidR="00AD4940" w:rsidRPr="001522B4" w:rsidRDefault="00AD4940" w:rsidP="00116750">
      <w:pPr>
        <w:pStyle w:val="ListParagraph"/>
        <w:keepNext/>
        <w:keepLines/>
        <w:numPr>
          <w:ilvl w:val="0"/>
          <w:numId w:val="15"/>
        </w:numPr>
        <w:spacing w:before="0"/>
        <w:ind w:leftChars="386" w:left="1133" w:rightChars="65" w:right="143" w:hanging="284"/>
        <w:contextualSpacing w:val="0"/>
        <w:rPr>
          <w:sz w:val="20"/>
          <w:szCs w:val="20"/>
          <w:lang w:val="es-ES"/>
        </w:rPr>
      </w:pPr>
      <w:r w:rsidRPr="001522B4">
        <w:rPr>
          <w:sz w:val="20"/>
          <w:szCs w:val="20"/>
          <w:lang w:val="es-ES"/>
        </w:rPr>
        <w:t>No, tienen que respetar la definición de PCI que figura en la Convención, aunque se pueden hacer excepciones si solicitan el permiso correspondiente.</w:t>
      </w:r>
    </w:p>
    <w:p w:rsidR="00DB7A52" w:rsidRPr="001522B4" w:rsidRDefault="00DB7A52">
      <w:pPr>
        <w:tabs>
          <w:tab w:val="clear" w:pos="567"/>
        </w:tabs>
        <w:snapToGrid/>
        <w:spacing w:before="0" w:after="0"/>
        <w:jc w:val="left"/>
        <w:rPr>
          <w:rFonts w:cs="Times New Roman"/>
          <w:b/>
          <w:bCs/>
          <w:caps/>
          <w:snapToGrid/>
          <w:color w:val="000000"/>
          <w:sz w:val="18"/>
          <w:szCs w:val="18"/>
          <w:lang w:val="es-ES" w:eastAsia="en-US"/>
        </w:rPr>
      </w:pPr>
      <w:r w:rsidRPr="001522B4">
        <w:rPr>
          <w:lang w:val="es-ES"/>
        </w:rPr>
        <w:br w:type="page"/>
      </w:r>
    </w:p>
    <w:p w:rsidR="00394841" w:rsidRPr="001522B4" w:rsidRDefault="004C6C18" w:rsidP="00394841">
      <w:pPr>
        <w:pStyle w:val="Heading3"/>
        <w:rPr>
          <w:lang w:val="es-ES"/>
        </w:rPr>
      </w:pPr>
      <w:r w:rsidRPr="001522B4">
        <w:rPr>
          <w:lang w:val="es-ES"/>
        </w:rPr>
        <w:lastRenderedPageBreak/>
        <w:t>PREGUNTA</w:t>
      </w:r>
      <w:r w:rsidR="00394841" w:rsidRPr="001522B4">
        <w:rPr>
          <w:lang w:val="es-ES"/>
        </w:rPr>
        <w:t xml:space="preserve"> 11</w:t>
      </w:r>
      <w:bookmarkEnd w:id="13"/>
    </w:p>
    <w:p w:rsidR="00E87CB0" w:rsidRPr="001522B4" w:rsidRDefault="00E87CB0" w:rsidP="00E87CB0">
      <w:pPr>
        <w:ind w:left="851"/>
        <w:rPr>
          <w:sz w:val="20"/>
          <w:szCs w:val="20"/>
          <w:lang w:val="es-ES"/>
        </w:rPr>
      </w:pPr>
      <w:r w:rsidRPr="001522B4">
        <w:rPr>
          <w:sz w:val="20"/>
          <w:szCs w:val="20"/>
          <w:lang w:val="es-ES"/>
        </w:rPr>
        <w:t xml:space="preserve">¿Pueden inscribirse en las Listas de la Convención elementos incluidos en inventarios locales o nacionales que no </w:t>
      </w:r>
      <w:r w:rsidR="00CC77C2" w:rsidRPr="001522B4">
        <w:rPr>
          <w:sz w:val="20"/>
          <w:szCs w:val="20"/>
          <w:lang w:val="es-ES"/>
        </w:rPr>
        <w:t>se ajusten a</w:t>
      </w:r>
      <w:r w:rsidRPr="001522B4">
        <w:rPr>
          <w:sz w:val="20"/>
          <w:szCs w:val="20"/>
          <w:lang w:val="es-ES"/>
        </w:rPr>
        <w:t xml:space="preserve"> la definición de</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w:t>
      </w:r>
      <w:r w:rsidR="00A6495E" w:rsidRPr="001522B4">
        <w:rPr>
          <w:sz w:val="20"/>
          <w:szCs w:val="20"/>
          <w:lang w:val="es-ES"/>
        </w:rPr>
        <w:t>dada en</w:t>
      </w:r>
      <w:r w:rsidRPr="001522B4">
        <w:rPr>
          <w:sz w:val="20"/>
          <w:szCs w:val="20"/>
          <w:lang w:val="es-ES"/>
        </w:rPr>
        <w:t xml:space="preserve"> la Convención?</w:t>
      </w:r>
    </w:p>
    <w:p w:rsidR="00E87CB0" w:rsidRPr="001522B4" w:rsidRDefault="00E87CB0" w:rsidP="00116750">
      <w:pPr>
        <w:pStyle w:val="ListParagraph"/>
        <w:numPr>
          <w:ilvl w:val="0"/>
          <w:numId w:val="22"/>
        </w:numPr>
        <w:ind w:left="1134" w:hanging="283"/>
        <w:rPr>
          <w:sz w:val="20"/>
          <w:szCs w:val="20"/>
          <w:lang w:val="es-ES"/>
        </w:rPr>
      </w:pPr>
      <w:r w:rsidRPr="001522B4">
        <w:rPr>
          <w:sz w:val="20"/>
          <w:szCs w:val="20"/>
          <w:lang w:val="es-ES"/>
        </w:rPr>
        <w:t xml:space="preserve">Sí, los elementos incluidos en inventarios locales o nacionales </w:t>
      </w:r>
      <w:r w:rsidR="00CC77C2" w:rsidRPr="001522B4">
        <w:rPr>
          <w:sz w:val="20"/>
          <w:szCs w:val="20"/>
          <w:lang w:val="es-ES"/>
        </w:rPr>
        <w:t xml:space="preserve">se </w:t>
      </w:r>
      <w:r w:rsidRPr="001522B4">
        <w:rPr>
          <w:sz w:val="20"/>
          <w:szCs w:val="20"/>
          <w:lang w:val="es-ES"/>
        </w:rPr>
        <w:t>pueden inscribir en las Listas de la Convención</w:t>
      </w:r>
      <w:r w:rsidR="00CC77C2" w:rsidRPr="001522B4">
        <w:rPr>
          <w:sz w:val="20"/>
          <w:szCs w:val="20"/>
          <w:lang w:val="es-ES"/>
        </w:rPr>
        <w:t>,</w:t>
      </w:r>
      <w:r w:rsidRPr="001522B4">
        <w:rPr>
          <w:sz w:val="20"/>
          <w:szCs w:val="20"/>
          <w:lang w:val="es-ES"/>
        </w:rPr>
        <w:t xml:space="preserve"> a</w:t>
      </w:r>
      <w:r w:rsidR="00CC77C2" w:rsidRPr="001522B4">
        <w:rPr>
          <w:sz w:val="20"/>
          <w:szCs w:val="20"/>
          <w:lang w:val="es-ES"/>
        </w:rPr>
        <w:t>u</w:t>
      </w:r>
      <w:r w:rsidRPr="001522B4">
        <w:rPr>
          <w:sz w:val="20"/>
          <w:szCs w:val="20"/>
          <w:lang w:val="es-ES"/>
        </w:rPr>
        <w:t xml:space="preserve">n cuando no </w:t>
      </w:r>
      <w:r w:rsidR="00CC77C2" w:rsidRPr="001522B4">
        <w:rPr>
          <w:sz w:val="20"/>
          <w:szCs w:val="20"/>
          <w:lang w:val="es-ES"/>
        </w:rPr>
        <w:t>se ajusten</w:t>
      </w:r>
      <w:r w:rsidRPr="001522B4">
        <w:rPr>
          <w:sz w:val="20"/>
          <w:szCs w:val="20"/>
          <w:lang w:val="es-ES"/>
        </w:rPr>
        <w:t xml:space="preserve"> </w:t>
      </w:r>
      <w:r w:rsidR="0007143C">
        <w:rPr>
          <w:sz w:val="20"/>
          <w:szCs w:val="20"/>
          <w:lang w:val="es-ES"/>
        </w:rPr>
        <w:t xml:space="preserve">a </w:t>
      </w:r>
      <w:r w:rsidRPr="001522B4">
        <w:rPr>
          <w:sz w:val="20"/>
          <w:szCs w:val="20"/>
          <w:lang w:val="es-ES"/>
        </w:rPr>
        <w:t>la definición de</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w:t>
      </w:r>
      <w:r w:rsidR="00A6495E" w:rsidRPr="001522B4">
        <w:rPr>
          <w:sz w:val="20"/>
          <w:szCs w:val="20"/>
          <w:lang w:val="es-ES"/>
        </w:rPr>
        <w:t>dada en la</w:t>
      </w:r>
      <w:r w:rsidRPr="001522B4">
        <w:rPr>
          <w:sz w:val="20"/>
          <w:szCs w:val="20"/>
          <w:lang w:val="es-ES"/>
        </w:rPr>
        <w:t xml:space="preserve"> Convención.</w:t>
      </w:r>
    </w:p>
    <w:p w:rsidR="00E87CB0" w:rsidRPr="001522B4" w:rsidRDefault="00E87CB0" w:rsidP="00116750">
      <w:pPr>
        <w:numPr>
          <w:ilvl w:val="0"/>
          <w:numId w:val="22"/>
        </w:numPr>
        <w:ind w:left="1134" w:hanging="283"/>
        <w:rPr>
          <w:sz w:val="20"/>
          <w:szCs w:val="20"/>
          <w:lang w:val="es-ES"/>
        </w:rPr>
      </w:pPr>
      <w:r w:rsidRPr="001522B4">
        <w:rPr>
          <w:sz w:val="20"/>
          <w:szCs w:val="20"/>
          <w:lang w:val="es-ES"/>
        </w:rPr>
        <w:t xml:space="preserve">No, los elementos incluidos en inventarios locales o nacionales que no </w:t>
      </w:r>
      <w:r w:rsidR="00CC77C2" w:rsidRPr="001522B4">
        <w:rPr>
          <w:sz w:val="20"/>
          <w:szCs w:val="20"/>
          <w:lang w:val="es-ES"/>
        </w:rPr>
        <w:t>se ajusten</w:t>
      </w:r>
      <w:r w:rsidRPr="001522B4">
        <w:rPr>
          <w:sz w:val="20"/>
          <w:szCs w:val="20"/>
          <w:lang w:val="es-ES"/>
        </w:rPr>
        <w:t xml:space="preserve"> </w:t>
      </w:r>
      <w:r w:rsidR="00A6495E" w:rsidRPr="001522B4">
        <w:rPr>
          <w:sz w:val="20"/>
          <w:szCs w:val="20"/>
          <w:lang w:val="es-ES"/>
        </w:rPr>
        <w:t xml:space="preserve">a </w:t>
      </w:r>
      <w:r w:rsidRPr="001522B4">
        <w:rPr>
          <w:sz w:val="20"/>
          <w:szCs w:val="20"/>
          <w:lang w:val="es-ES"/>
        </w:rPr>
        <w:t>la definición de</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w:t>
      </w:r>
      <w:r w:rsidR="00A6495E" w:rsidRPr="001522B4">
        <w:rPr>
          <w:sz w:val="20"/>
          <w:szCs w:val="20"/>
          <w:lang w:val="es-ES"/>
        </w:rPr>
        <w:t>dada en</w:t>
      </w:r>
      <w:r w:rsidRPr="001522B4">
        <w:rPr>
          <w:sz w:val="20"/>
          <w:szCs w:val="20"/>
          <w:lang w:val="es-ES"/>
        </w:rPr>
        <w:t xml:space="preserve"> la Convención no </w:t>
      </w:r>
      <w:r w:rsidR="00A6495E" w:rsidRPr="001522B4">
        <w:rPr>
          <w:sz w:val="20"/>
          <w:szCs w:val="20"/>
          <w:lang w:val="es-ES"/>
        </w:rPr>
        <w:t xml:space="preserve">se </w:t>
      </w:r>
      <w:r w:rsidRPr="001522B4">
        <w:rPr>
          <w:sz w:val="20"/>
          <w:szCs w:val="20"/>
          <w:lang w:val="es-ES"/>
        </w:rPr>
        <w:t xml:space="preserve">pueden inscribir en las Listas de </w:t>
      </w:r>
      <w:r w:rsidR="004D6862">
        <w:rPr>
          <w:sz w:val="20"/>
          <w:szCs w:val="20"/>
          <w:lang w:val="es-ES"/>
        </w:rPr>
        <w:t>e</w:t>
      </w:r>
      <w:r w:rsidRPr="001522B4">
        <w:rPr>
          <w:sz w:val="20"/>
          <w:szCs w:val="20"/>
          <w:lang w:val="es-ES"/>
        </w:rPr>
        <w:t>sta.</w:t>
      </w:r>
    </w:p>
    <w:p w:rsidR="00E87CB0" w:rsidRPr="001522B4" w:rsidRDefault="00E87CB0" w:rsidP="00116750">
      <w:pPr>
        <w:numPr>
          <w:ilvl w:val="0"/>
          <w:numId w:val="22"/>
        </w:numPr>
        <w:ind w:left="1134" w:hanging="283"/>
        <w:rPr>
          <w:sz w:val="20"/>
          <w:szCs w:val="20"/>
          <w:lang w:val="es-ES"/>
        </w:rPr>
      </w:pPr>
      <w:r w:rsidRPr="001522B4">
        <w:rPr>
          <w:sz w:val="20"/>
          <w:szCs w:val="20"/>
          <w:lang w:val="es-ES"/>
        </w:rPr>
        <w:t xml:space="preserve">Sí, los elementos incluidos en los inventarios locales o nacionales que no </w:t>
      </w:r>
      <w:r w:rsidR="00A6495E" w:rsidRPr="001522B4">
        <w:rPr>
          <w:sz w:val="20"/>
          <w:szCs w:val="20"/>
          <w:lang w:val="es-ES"/>
        </w:rPr>
        <w:t>se ajusten</w:t>
      </w:r>
      <w:r w:rsidRPr="001522B4">
        <w:rPr>
          <w:sz w:val="20"/>
          <w:szCs w:val="20"/>
          <w:lang w:val="es-ES"/>
        </w:rPr>
        <w:t xml:space="preserve"> </w:t>
      </w:r>
      <w:r w:rsidR="00A6495E" w:rsidRPr="001522B4">
        <w:rPr>
          <w:sz w:val="20"/>
          <w:szCs w:val="20"/>
          <w:lang w:val="es-ES"/>
        </w:rPr>
        <w:t xml:space="preserve">a </w:t>
      </w:r>
      <w:r w:rsidRPr="001522B4">
        <w:rPr>
          <w:sz w:val="20"/>
          <w:szCs w:val="20"/>
          <w:lang w:val="es-ES"/>
        </w:rPr>
        <w:t>la definición de</w:t>
      </w:r>
      <w:r w:rsidR="00D443D8" w:rsidRPr="001522B4">
        <w:rPr>
          <w:sz w:val="20"/>
          <w:szCs w:val="20"/>
          <w:lang w:val="es-ES"/>
        </w:rPr>
        <w:t xml:space="preserve"> </w:t>
      </w:r>
      <w:r w:rsidR="00DF1B19" w:rsidRPr="001522B4">
        <w:rPr>
          <w:sz w:val="20"/>
          <w:szCs w:val="20"/>
          <w:lang w:val="es-ES"/>
        </w:rPr>
        <w:t>PCI</w:t>
      </w:r>
      <w:r w:rsidRPr="001522B4">
        <w:rPr>
          <w:sz w:val="20"/>
          <w:szCs w:val="20"/>
          <w:lang w:val="es-ES"/>
        </w:rPr>
        <w:t xml:space="preserve"> </w:t>
      </w:r>
      <w:r w:rsidR="00A6495E" w:rsidRPr="001522B4">
        <w:rPr>
          <w:sz w:val="20"/>
          <w:szCs w:val="20"/>
          <w:lang w:val="es-ES"/>
        </w:rPr>
        <w:t>dada en</w:t>
      </w:r>
      <w:r w:rsidRPr="001522B4">
        <w:rPr>
          <w:sz w:val="20"/>
          <w:szCs w:val="20"/>
          <w:lang w:val="es-ES"/>
        </w:rPr>
        <w:t xml:space="preserve"> la Convención </w:t>
      </w:r>
      <w:r w:rsidR="00A6495E" w:rsidRPr="001522B4">
        <w:rPr>
          <w:sz w:val="20"/>
          <w:szCs w:val="20"/>
          <w:lang w:val="es-ES"/>
        </w:rPr>
        <w:t xml:space="preserve">se </w:t>
      </w:r>
      <w:r w:rsidRPr="001522B4">
        <w:rPr>
          <w:sz w:val="20"/>
          <w:szCs w:val="20"/>
          <w:lang w:val="es-ES"/>
        </w:rPr>
        <w:t xml:space="preserve">pueden inscribir en las Listas de </w:t>
      </w:r>
      <w:r w:rsidR="004D6862">
        <w:rPr>
          <w:sz w:val="20"/>
          <w:szCs w:val="20"/>
          <w:lang w:val="es-ES"/>
        </w:rPr>
        <w:t>e</w:t>
      </w:r>
      <w:r w:rsidR="00A6495E" w:rsidRPr="001522B4">
        <w:rPr>
          <w:sz w:val="20"/>
          <w:szCs w:val="20"/>
          <w:lang w:val="es-ES"/>
        </w:rPr>
        <w:t>sta,</w:t>
      </w:r>
      <w:r w:rsidRPr="001522B4">
        <w:rPr>
          <w:sz w:val="20"/>
          <w:szCs w:val="20"/>
          <w:lang w:val="es-ES"/>
        </w:rPr>
        <w:t xml:space="preserve"> si se obtiene un permiso especial del Comité Intergubernamental.</w:t>
      </w:r>
    </w:p>
    <w:p w:rsidR="00394841" w:rsidRPr="001522B4" w:rsidRDefault="004C6C18" w:rsidP="00394841">
      <w:pPr>
        <w:pStyle w:val="Heading3"/>
        <w:rPr>
          <w:lang w:val="es-ES"/>
        </w:rPr>
      </w:pPr>
      <w:bookmarkStart w:id="14" w:name="_Toc238982303"/>
      <w:r w:rsidRPr="001522B4">
        <w:rPr>
          <w:lang w:val="es-ES"/>
        </w:rPr>
        <w:t>PREGUNTA</w:t>
      </w:r>
      <w:r w:rsidR="00394841" w:rsidRPr="001522B4">
        <w:rPr>
          <w:lang w:val="es-ES"/>
        </w:rPr>
        <w:t xml:space="preserve"> 12</w:t>
      </w:r>
      <w:bookmarkEnd w:id="14"/>
    </w:p>
    <w:p w:rsidR="00AD4940" w:rsidRPr="001522B4" w:rsidRDefault="00AD4940" w:rsidP="00AD4940">
      <w:pPr>
        <w:keepNext/>
        <w:keepLines/>
        <w:ind w:left="1134" w:right="-144" w:hanging="283"/>
        <w:rPr>
          <w:sz w:val="20"/>
          <w:szCs w:val="20"/>
          <w:lang w:val="es-ES"/>
        </w:rPr>
      </w:pPr>
      <w:bookmarkStart w:id="15" w:name="_Toc238982304"/>
      <w:r w:rsidRPr="001522B4">
        <w:rPr>
          <w:sz w:val="20"/>
          <w:szCs w:val="20"/>
          <w:lang w:val="es-ES"/>
        </w:rPr>
        <w:t>¿</w:t>
      </w:r>
      <w:r w:rsidR="00617799">
        <w:rPr>
          <w:sz w:val="20"/>
          <w:szCs w:val="20"/>
          <w:lang w:val="es-ES"/>
        </w:rPr>
        <w:t>Cuál de estas afirmaciones es correcta</w:t>
      </w:r>
      <w:r w:rsidRPr="001522B4">
        <w:rPr>
          <w:sz w:val="20"/>
          <w:szCs w:val="20"/>
          <w:lang w:val="es-ES"/>
        </w:rPr>
        <w:t>?</w:t>
      </w:r>
    </w:p>
    <w:p w:rsidR="00AD4940" w:rsidRPr="001522B4" w:rsidRDefault="00AD4940" w:rsidP="00AD4940">
      <w:pPr>
        <w:keepNext/>
        <w:keepLines/>
        <w:ind w:left="1134" w:right="-144" w:hanging="283"/>
        <w:rPr>
          <w:sz w:val="20"/>
          <w:szCs w:val="20"/>
          <w:lang w:val="es-ES"/>
        </w:rPr>
      </w:pPr>
      <w:r w:rsidRPr="001522B4">
        <w:rPr>
          <w:sz w:val="20"/>
          <w:szCs w:val="20"/>
          <w:lang w:val="es-ES"/>
        </w:rPr>
        <w:t>a)</w:t>
      </w:r>
      <w:r w:rsidRPr="001522B4">
        <w:rPr>
          <w:sz w:val="20"/>
          <w:szCs w:val="20"/>
          <w:lang w:val="es-ES"/>
        </w:rPr>
        <w:tab/>
        <w:t xml:space="preserve">Se </w:t>
      </w:r>
      <w:r w:rsidR="00C51EA9">
        <w:rPr>
          <w:sz w:val="20"/>
          <w:szCs w:val="20"/>
          <w:lang w:val="es-ES"/>
        </w:rPr>
        <w:t>tienen que haber</w:t>
      </w:r>
      <w:r w:rsidRPr="001522B4">
        <w:rPr>
          <w:sz w:val="20"/>
          <w:szCs w:val="20"/>
          <w:lang w:val="es-ES"/>
        </w:rPr>
        <w:t xml:space="preserve"> elabora</w:t>
      </w:r>
      <w:r w:rsidR="00C51EA9">
        <w:rPr>
          <w:sz w:val="20"/>
          <w:szCs w:val="20"/>
          <w:lang w:val="es-ES"/>
        </w:rPr>
        <w:t>do</w:t>
      </w:r>
      <w:r w:rsidRPr="001522B4">
        <w:rPr>
          <w:sz w:val="20"/>
          <w:szCs w:val="20"/>
          <w:lang w:val="es-ES"/>
        </w:rPr>
        <w:t xml:space="preserve"> medidas de salvaguardia de un elemento del PCI, antes de que pueda ser inventariado.</w:t>
      </w:r>
    </w:p>
    <w:p w:rsidR="00AD4940" w:rsidRPr="001522B4" w:rsidRDefault="00AD4940" w:rsidP="00AD4940">
      <w:pPr>
        <w:keepNext/>
        <w:keepLines/>
        <w:ind w:left="1134" w:right="-144" w:hanging="283"/>
        <w:rPr>
          <w:sz w:val="20"/>
          <w:szCs w:val="20"/>
          <w:lang w:val="es-ES"/>
        </w:rPr>
      </w:pPr>
      <w:r w:rsidRPr="001522B4">
        <w:rPr>
          <w:sz w:val="20"/>
          <w:szCs w:val="20"/>
          <w:lang w:val="es-ES"/>
        </w:rPr>
        <w:t>b)</w:t>
      </w:r>
      <w:r w:rsidRPr="001522B4">
        <w:rPr>
          <w:sz w:val="20"/>
          <w:szCs w:val="20"/>
          <w:lang w:val="es-ES"/>
        </w:rPr>
        <w:tab/>
        <w:t>Se tiene que inventariar un elemento del PCI, antes de que se pueda emprender cualquier actividad para su salvaguardia.</w:t>
      </w:r>
    </w:p>
    <w:p w:rsidR="00AD4940" w:rsidRPr="001522B4" w:rsidRDefault="00AD4940" w:rsidP="00AD4940">
      <w:pPr>
        <w:keepNext/>
        <w:keepLines/>
        <w:spacing w:before="0"/>
        <w:ind w:left="1134" w:right="-144" w:hanging="283"/>
        <w:rPr>
          <w:sz w:val="20"/>
          <w:szCs w:val="20"/>
          <w:lang w:val="es-ES"/>
        </w:rPr>
      </w:pPr>
      <w:r w:rsidRPr="001522B4">
        <w:rPr>
          <w:sz w:val="20"/>
          <w:szCs w:val="20"/>
          <w:lang w:val="es-ES"/>
        </w:rPr>
        <w:t>c)</w:t>
      </w:r>
      <w:r w:rsidRPr="001522B4">
        <w:rPr>
          <w:sz w:val="20"/>
          <w:szCs w:val="20"/>
          <w:lang w:val="es-ES"/>
        </w:rPr>
        <w:tab/>
        <w:t>Se deben aplicar medidas para salvaguardar un elemento del PCI, antes de que se pueda presentar su candidatura para inscribirlo en una de las Listas de la Convención.</w:t>
      </w:r>
    </w:p>
    <w:p w:rsidR="00AD4940" w:rsidRPr="001522B4" w:rsidRDefault="00AD4940" w:rsidP="00AD4940">
      <w:pPr>
        <w:tabs>
          <w:tab w:val="left" w:pos="709"/>
        </w:tabs>
        <w:spacing w:before="0"/>
        <w:ind w:left="1134" w:right="-144" w:hanging="283"/>
        <w:rPr>
          <w:sz w:val="20"/>
          <w:szCs w:val="20"/>
          <w:lang w:val="es-ES"/>
        </w:rPr>
      </w:pPr>
      <w:r w:rsidRPr="001522B4">
        <w:rPr>
          <w:sz w:val="20"/>
          <w:szCs w:val="20"/>
          <w:lang w:val="es-ES"/>
        </w:rPr>
        <w:t>d)</w:t>
      </w:r>
      <w:r w:rsidRPr="001522B4">
        <w:rPr>
          <w:sz w:val="20"/>
          <w:szCs w:val="20"/>
          <w:lang w:val="es-ES"/>
        </w:rPr>
        <w:tab/>
        <w:t>Se tiene que inventariar un elemento del PCI, antes de que se pueda presentar su candidatura para inscribirlo en una de las Listas de la Convención.</w:t>
      </w:r>
    </w:p>
    <w:p w:rsidR="00394841" w:rsidRPr="001522B4" w:rsidRDefault="004C6C18" w:rsidP="00394841">
      <w:pPr>
        <w:pStyle w:val="Heading3"/>
        <w:rPr>
          <w:lang w:val="es-ES"/>
        </w:rPr>
      </w:pPr>
      <w:r w:rsidRPr="001522B4">
        <w:rPr>
          <w:lang w:val="es-ES"/>
        </w:rPr>
        <w:t>PREGUNTA</w:t>
      </w:r>
      <w:r w:rsidR="00394841" w:rsidRPr="001522B4">
        <w:rPr>
          <w:lang w:val="es-ES"/>
        </w:rPr>
        <w:t xml:space="preserve"> 13</w:t>
      </w:r>
      <w:bookmarkEnd w:id="15"/>
    </w:p>
    <w:p w:rsidR="00AD4940" w:rsidRPr="001522B4" w:rsidRDefault="00AD4940" w:rsidP="00AD4940">
      <w:pPr>
        <w:spacing w:before="0"/>
        <w:ind w:left="851" w:right="-144"/>
        <w:rPr>
          <w:sz w:val="20"/>
          <w:szCs w:val="20"/>
          <w:lang w:val="es-ES"/>
        </w:rPr>
      </w:pPr>
      <w:r w:rsidRPr="001522B4">
        <w:rPr>
          <w:sz w:val="20"/>
          <w:szCs w:val="20"/>
          <w:lang w:val="es-ES"/>
        </w:rPr>
        <w:t xml:space="preserve">El Ministerio de Cultura del país E quiere incluir en su inventario nacional del PCI solamente algunos de los diversos elementos de </w:t>
      </w:r>
      <w:r w:rsidR="0053773F">
        <w:rPr>
          <w:sz w:val="20"/>
          <w:szCs w:val="20"/>
          <w:lang w:val="es-ES"/>
        </w:rPr>
        <w:t>e</w:t>
      </w:r>
      <w:r w:rsidRPr="001522B4">
        <w:rPr>
          <w:sz w:val="20"/>
          <w:szCs w:val="20"/>
          <w:lang w:val="es-ES"/>
        </w:rPr>
        <w:t xml:space="preserve">ste registrados en </w:t>
      </w:r>
      <w:r w:rsidR="00AE5D7C" w:rsidRPr="001522B4">
        <w:rPr>
          <w:sz w:val="20"/>
          <w:szCs w:val="20"/>
          <w:lang w:val="es-ES"/>
        </w:rPr>
        <w:t>lo</w:t>
      </w:r>
      <w:r w:rsidRPr="001522B4">
        <w:rPr>
          <w:sz w:val="20"/>
          <w:szCs w:val="20"/>
          <w:lang w:val="es-ES"/>
        </w:rPr>
        <w:t>s inventarios provinciales. El Ministerio debe decidir qué criterios son los más adecuados para elegir los elementos del PCI que va a incluir en el inventario nacional. ¿Cuál de los siguientes criterios no estaría en consonancia con el espíritu de la Convención?</w:t>
      </w:r>
    </w:p>
    <w:p w:rsidR="00AD4940" w:rsidRPr="001522B4" w:rsidRDefault="00AD4940" w:rsidP="00AD4940">
      <w:pPr>
        <w:keepNext/>
        <w:keepLines/>
        <w:ind w:left="1134" w:right="-144" w:hanging="283"/>
        <w:rPr>
          <w:sz w:val="20"/>
          <w:szCs w:val="20"/>
          <w:lang w:val="es-ES"/>
        </w:rPr>
      </w:pPr>
      <w:r w:rsidRPr="001522B4">
        <w:rPr>
          <w:sz w:val="20"/>
          <w:szCs w:val="20"/>
          <w:lang w:val="es-ES"/>
        </w:rPr>
        <w:t>a)</w:t>
      </w:r>
      <w:r w:rsidRPr="001522B4">
        <w:rPr>
          <w:sz w:val="20"/>
          <w:szCs w:val="20"/>
          <w:lang w:val="es-ES"/>
        </w:rPr>
        <w:tab/>
        <w:t>Se deben incluir en el inventario nacional los elementos del PCI más conocidos y practicados en el país, porque son mucho más numerosas las personas que pueden identificarse con ellos.</w:t>
      </w:r>
    </w:p>
    <w:p w:rsidR="00AD4940" w:rsidRPr="001522B4" w:rsidRDefault="00AD4940" w:rsidP="00AD4940">
      <w:pPr>
        <w:keepNext/>
        <w:keepLines/>
        <w:ind w:left="1134" w:right="-144" w:hanging="283"/>
        <w:rPr>
          <w:sz w:val="20"/>
          <w:szCs w:val="20"/>
          <w:lang w:val="es-ES"/>
        </w:rPr>
      </w:pPr>
      <w:r w:rsidRPr="001522B4">
        <w:rPr>
          <w:sz w:val="20"/>
          <w:szCs w:val="20"/>
          <w:lang w:val="es-ES"/>
        </w:rPr>
        <w:t>b)</w:t>
      </w:r>
      <w:r w:rsidRPr="001522B4">
        <w:rPr>
          <w:sz w:val="20"/>
          <w:szCs w:val="20"/>
          <w:lang w:val="es-ES"/>
        </w:rPr>
        <w:tab/>
        <w:t xml:space="preserve">Se deben incluir en el inventario nacional solamente los elementos excepcionales y </w:t>
      </w:r>
      <w:r w:rsidR="00AE5D7C" w:rsidRPr="001522B4">
        <w:rPr>
          <w:sz w:val="20"/>
          <w:szCs w:val="20"/>
          <w:lang w:val="es-ES"/>
        </w:rPr>
        <w:t>de mayor valía estética</w:t>
      </w:r>
      <w:r w:rsidRPr="001522B4">
        <w:rPr>
          <w:sz w:val="20"/>
          <w:szCs w:val="20"/>
          <w:lang w:val="es-ES"/>
        </w:rPr>
        <w:t xml:space="preserve"> del PCI, porque así se fomentará el orgullo nacional.</w:t>
      </w:r>
    </w:p>
    <w:p w:rsidR="00AD4940" w:rsidRPr="001522B4" w:rsidRDefault="00AD4940" w:rsidP="00AD4940">
      <w:pPr>
        <w:keepNext/>
        <w:keepLines/>
        <w:ind w:left="1134" w:right="-144" w:hanging="283"/>
        <w:rPr>
          <w:sz w:val="20"/>
          <w:szCs w:val="20"/>
          <w:lang w:val="es-ES"/>
        </w:rPr>
      </w:pPr>
      <w:r w:rsidRPr="001522B4">
        <w:rPr>
          <w:sz w:val="20"/>
          <w:szCs w:val="20"/>
          <w:lang w:val="es-ES"/>
        </w:rPr>
        <w:t>c)</w:t>
      </w:r>
      <w:r w:rsidRPr="001522B4">
        <w:rPr>
          <w:sz w:val="20"/>
          <w:szCs w:val="20"/>
          <w:lang w:val="es-ES"/>
        </w:rPr>
        <w:tab/>
        <w:t>Se deben elegir para el inventario nacional elementos del PCI de cada provincia, a fin de garantizar que ese inventario sea representativo de todo el país.</w:t>
      </w:r>
    </w:p>
    <w:p w:rsidR="00AD4940" w:rsidRPr="001522B4" w:rsidRDefault="00AD4940" w:rsidP="00AD4940">
      <w:pPr>
        <w:keepNext/>
        <w:keepLines/>
        <w:spacing w:before="0"/>
        <w:ind w:left="1134" w:right="-144" w:hanging="283"/>
        <w:rPr>
          <w:sz w:val="20"/>
          <w:szCs w:val="20"/>
          <w:lang w:val="es-ES"/>
        </w:rPr>
      </w:pPr>
      <w:r w:rsidRPr="001522B4">
        <w:rPr>
          <w:sz w:val="20"/>
          <w:szCs w:val="20"/>
          <w:lang w:val="es-ES"/>
        </w:rPr>
        <w:t>d)</w:t>
      </w:r>
      <w:r w:rsidRPr="001522B4">
        <w:rPr>
          <w:sz w:val="20"/>
          <w:szCs w:val="20"/>
          <w:lang w:val="es-ES"/>
        </w:rPr>
        <w:tab/>
        <w:t>Se deben seleccionar para el inventario nacional elementos del PCI que no existen en otros países, a fin de mostrar la singularidad de la nación.</w:t>
      </w:r>
    </w:p>
    <w:p w:rsidR="00AD4940" w:rsidRPr="001522B4" w:rsidRDefault="00AD4940" w:rsidP="00AD4940">
      <w:pPr>
        <w:tabs>
          <w:tab w:val="left" w:pos="709"/>
        </w:tabs>
        <w:spacing w:before="0"/>
        <w:ind w:left="1134" w:right="-144" w:hanging="283"/>
        <w:rPr>
          <w:sz w:val="20"/>
          <w:szCs w:val="20"/>
          <w:lang w:val="es-ES"/>
        </w:rPr>
      </w:pPr>
      <w:r w:rsidRPr="001522B4">
        <w:rPr>
          <w:sz w:val="20"/>
          <w:szCs w:val="20"/>
          <w:lang w:val="es-ES"/>
        </w:rPr>
        <w:t>e)</w:t>
      </w:r>
      <w:r w:rsidRPr="001522B4">
        <w:rPr>
          <w:sz w:val="20"/>
          <w:szCs w:val="20"/>
          <w:lang w:val="es-ES"/>
        </w:rPr>
        <w:tab/>
        <w:t>Se deben elegir para el inventario nacional los elementos del PCI más necesitados de salvaguardia.</w:t>
      </w:r>
    </w:p>
    <w:p w:rsidR="00394841" w:rsidRPr="001522B4" w:rsidRDefault="00394841" w:rsidP="004936EF">
      <w:pPr>
        <w:pStyle w:val="Heading4"/>
        <w:rPr>
          <w:lang w:val="es-ES"/>
        </w:rPr>
      </w:pPr>
      <w:r w:rsidRPr="001522B4">
        <w:rPr>
          <w:lang w:val="es-ES"/>
        </w:rPr>
        <w:lastRenderedPageBreak/>
        <w:t>Sa</w:t>
      </w:r>
      <w:r w:rsidR="00AE5D7C" w:rsidRPr="001522B4">
        <w:rPr>
          <w:lang w:val="es-ES"/>
        </w:rPr>
        <w:t>lvaguardia</w:t>
      </w:r>
    </w:p>
    <w:p w:rsidR="00394841" w:rsidRPr="001522B4" w:rsidRDefault="004C6C18" w:rsidP="00394841">
      <w:pPr>
        <w:pStyle w:val="Heading3"/>
        <w:rPr>
          <w:lang w:val="es-ES"/>
        </w:rPr>
      </w:pPr>
      <w:bookmarkStart w:id="16" w:name="_Toc238982305"/>
      <w:r w:rsidRPr="001522B4">
        <w:rPr>
          <w:lang w:val="es-ES"/>
        </w:rPr>
        <w:t>PREGUNTA</w:t>
      </w:r>
      <w:r w:rsidR="00394841" w:rsidRPr="001522B4">
        <w:rPr>
          <w:lang w:val="es-ES"/>
        </w:rPr>
        <w:t xml:space="preserve"> 14</w:t>
      </w:r>
      <w:bookmarkEnd w:id="16"/>
    </w:p>
    <w:p w:rsidR="00E87CB0" w:rsidRPr="001522B4" w:rsidRDefault="00E87CB0" w:rsidP="00E87CB0">
      <w:pPr>
        <w:keepNext/>
        <w:ind w:left="851"/>
        <w:rPr>
          <w:sz w:val="20"/>
          <w:szCs w:val="20"/>
          <w:lang w:val="es-ES"/>
        </w:rPr>
      </w:pPr>
      <w:r w:rsidRPr="001522B4">
        <w:rPr>
          <w:sz w:val="20"/>
          <w:szCs w:val="20"/>
          <w:lang w:val="es-ES"/>
        </w:rPr>
        <w:t xml:space="preserve">¿Sería conforme </w:t>
      </w:r>
      <w:r w:rsidR="00A6495E" w:rsidRPr="001522B4">
        <w:rPr>
          <w:sz w:val="20"/>
          <w:szCs w:val="20"/>
          <w:lang w:val="es-ES"/>
        </w:rPr>
        <w:t>al</w:t>
      </w:r>
      <w:r w:rsidRPr="001522B4">
        <w:rPr>
          <w:sz w:val="20"/>
          <w:szCs w:val="20"/>
          <w:lang w:val="es-ES"/>
        </w:rPr>
        <w:t xml:space="preserve"> espíritu </w:t>
      </w:r>
      <w:r w:rsidR="00A6495E" w:rsidRPr="001522B4">
        <w:rPr>
          <w:sz w:val="20"/>
          <w:szCs w:val="20"/>
          <w:lang w:val="es-ES"/>
        </w:rPr>
        <w:t>y principios de</w:t>
      </w:r>
      <w:r w:rsidRPr="001522B4">
        <w:rPr>
          <w:sz w:val="20"/>
          <w:szCs w:val="20"/>
          <w:lang w:val="es-ES"/>
        </w:rPr>
        <w:t xml:space="preserve"> la Convención un plan de medidas de salvaguardia</w:t>
      </w:r>
      <w:r w:rsidR="00A6495E" w:rsidRPr="001522B4">
        <w:rPr>
          <w:sz w:val="20"/>
          <w:szCs w:val="20"/>
          <w:lang w:val="es-ES"/>
        </w:rPr>
        <w:t xml:space="preserve">, en el </w:t>
      </w:r>
      <w:r w:rsidRPr="001522B4">
        <w:rPr>
          <w:sz w:val="20"/>
          <w:szCs w:val="20"/>
          <w:lang w:val="es-ES"/>
        </w:rPr>
        <w:t xml:space="preserve">que </w:t>
      </w:r>
      <w:r w:rsidR="00A6495E" w:rsidRPr="001522B4">
        <w:rPr>
          <w:sz w:val="20"/>
          <w:szCs w:val="20"/>
          <w:lang w:val="es-ES"/>
        </w:rPr>
        <w:t xml:space="preserve">se </w:t>
      </w:r>
      <w:r w:rsidRPr="001522B4">
        <w:rPr>
          <w:sz w:val="20"/>
          <w:szCs w:val="20"/>
          <w:lang w:val="es-ES"/>
        </w:rPr>
        <w:t xml:space="preserve">proponga </w:t>
      </w:r>
      <w:r w:rsidR="00A6495E" w:rsidRPr="001522B4">
        <w:rPr>
          <w:sz w:val="20"/>
          <w:szCs w:val="20"/>
          <w:lang w:val="es-ES"/>
        </w:rPr>
        <w:t>la representación de</w:t>
      </w:r>
      <w:r w:rsidRPr="001522B4">
        <w:rPr>
          <w:sz w:val="20"/>
          <w:szCs w:val="20"/>
          <w:lang w:val="es-ES"/>
        </w:rPr>
        <w:t xml:space="preserve"> danzas comunitarias </w:t>
      </w:r>
      <w:r w:rsidR="00A6495E" w:rsidRPr="001522B4">
        <w:rPr>
          <w:sz w:val="20"/>
          <w:szCs w:val="20"/>
          <w:lang w:val="es-ES"/>
        </w:rPr>
        <w:t xml:space="preserve">tradicionales </w:t>
      </w:r>
      <w:r w:rsidRPr="001522B4">
        <w:rPr>
          <w:sz w:val="20"/>
          <w:szCs w:val="20"/>
          <w:lang w:val="es-ES"/>
        </w:rPr>
        <w:t xml:space="preserve">en peligro de extinción como parte del repertorio profesional de un </w:t>
      </w:r>
      <w:r w:rsidR="00A6495E" w:rsidRPr="001522B4">
        <w:rPr>
          <w:sz w:val="20"/>
          <w:szCs w:val="20"/>
          <w:lang w:val="es-ES"/>
        </w:rPr>
        <w:t>teatro nacional estatal</w:t>
      </w:r>
      <w:r w:rsidRPr="001522B4">
        <w:rPr>
          <w:sz w:val="20"/>
          <w:szCs w:val="20"/>
          <w:lang w:val="es-ES"/>
        </w:rPr>
        <w:t>?</w:t>
      </w:r>
    </w:p>
    <w:p w:rsidR="00E87CB0" w:rsidRPr="001522B4" w:rsidRDefault="00E87CB0" w:rsidP="00116750">
      <w:pPr>
        <w:pStyle w:val="ListParagraph"/>
        <w:numPr>
          <w:ilvl w:val="0"/>
          <w:numId w:val="23"/>
        </w:numPr>
        <w:ind w:left="1134" w:hanging="283"/>
        <w:rPr>
          <w:sz w:val="20"/>
          <w:szCs w:val="20"/>
          <w:lang w:val="es-ES"/>
        </w:rPr>
      </w:pPr>
      <w:r w:rsidRPr="001522B4">
        <w:rPr>
          <w:sz w:val="20"/>
          <w:szCs w:val="20"/>
          <w:lang w:val="es-ES"/>
        </w:rPr>
        <w:t>No, la Convención pro</w:t>
      </w:r>
      <w:r w:rsidR="00A6495E" w:rsidRPr="001522B4">
        <w:rPr>
          <w:sz w:val="20"/>
          <w:szCs w:val="20"/>
          <w:lang w:val="es-ES"/>
        </w:rPr>
        <w:t>pugna que</w:t>
      </w:r>
      <w:r w:rsidRPr="001522B4">
        <w:rPr>
          <w:sz w:val="20"/>
          <w:szCs w:val="20"/>
          <w:lang w:val="es-ES"/>
        </w:rPr>
        <w:t xml:space="preserve"> la salvaguardia de los elementos </w:t>
      </w:r>
      <w:r w:rsidR="00A6495E" w:rsidRPr="001522B4">
        <w:rPr>
          <w:sz w:val="20"/>
          <w:szCs w:val="20"/>
          <w:lang w:val="es-ES"/>
        </w:rPr>
        <w:t>se efectúe solamente</w:t>
      </w:r>
      <w:r w:rsidRPr="001522B4">
        <w:rPr>
          <w:sz w:val="20"/>
          <w:szCs w:val="20"/>
          <w:lang w:val="es-ES"/>
        </w:rPr>
        <w:t xml:space="preserve"> en su contexto original.</w:t>
      </w:r>
    </w:p>
    <w:p w:rsidR="00E87CB0" w:rsidRPr="001522B4" w:rsidRDefault="00E87CB0" w:rsidP="00116750">
      <w:pPr>
        <w:numPr>
          <w:ilvl w:val="0"/>
          <w:numId w:val="23"/>
        </w:numPr>
        <w:ind w:left="1134" w:hanging="283"/>
        <w:rPr>
          <w:sz w:val="20"/>
          <w:szCs w:val="20"/>
          <w:lang w:val="es-ES"/>
        </w:rPr>
      </w:pPr>
      <w:r w:rsidRPr="001522B4">
        <w:rPr>
          <w:sz w:val="20"/>
          <w:szCs w:val="20"/>
          <w:lang w:val="es-ES"/>
        </w:rPr>
        <w:t xml:space="preserve">Sí, </w:t>
      </w:r>
      <w:r w:rsidR="00A6495E" w:rsidRPr="001522B4">
        <w:rPr>
          <w:sz w:val="20"/>
          <w:szCs w:val="20"/>
          <w:lang w:val="es-ES"/>
        </w:rPr>
        <w:t>por</w:t>
      </w:r>
      <w:r w:rsidRPr="001522B4">
        <w:rPr>
          <w:sz w:val="20"/>
          <w:szCs w:val="20"/>
          <w:lang w:val="es-ES"/>
        </w:rPr>
        <w:t>que la salvaguardia del elemento p</w:t>
      </w:r>
      <w:r w:rsidR="00A6495E" w:rsidRPr="001522B4">
        <w:rPr>
          <w:sz w:val="20"/>
          <w:szCs w:val="20"/>
          <w:lang w:val="es-ES"/>
        </w:rPr>
        <w:t>uede</w:t>
      </w:r>
      <w:r w:rsidRPr="001522B4">
        <w:rPr>
          <w:sz w:val="20"/>
          <w:szCs w:val="20"/>
          <w:lang w:val="es-ES"/>
        </w:rPr>
        <w:t xml:space="preserve"> </w:t>
      </w:r>
      <w:r w:rsidR="00917A31" w:rsidRPr="001522B4">
        <w:rPr>
          <w:sz w:val="20"/>
          <w:szCs w:val="20"/>
          <w:lang w:val="es-ES"/>
        </w:rPr>
        <w:t>comprender</w:t>
      </w:r>
      <w:r w:rsidRPr="001522B4">
        <w:rPr>
          <w:sz w:val="20"/>
          <w:szCs w:val="20"/>
          <w:lang w:val="es-ES"/>
        </w:rPr>
        <w:t xml:space="preserve"> </w:t>
      </w:r>
      <w:r w:rsidR="00917A31" w:rsidRPr="001522B4">
        <w:rPr>
          <w:sz w:val="20"/>
          <w:szCs w:val="20"/>
          <w:lang w:val="es-ES"/>
        </w:rPr>
        <w:t>la</w:t>
      </w:r>
      <w:r w:rsidRPr="001522B4">
        <w:rPr>
          <w:sz w:val="20"/>
          <w:szCs w:val="20"/>
          <w:lang w:val="es-ES"/>
        </w:rPr>
        <w:t xml:space="preserve"> adaptación </w:t>
      </w:r>
      <w:r w:rsidR="00917A31" w:rsidRPr="001522B4">
        <w:rPr>
          <w:sz w:val="20"/>
          <w:szCs w:val="20"/>
          <w:lang w:val="es-ES"/>
        </w:rPr>
        <w:t xml:space="preserve">de </w:t>
      </w:r>
      <w:r w:rsidR="00E861B0">
        <w:rPr>
          <w:sz w:val="20"/>
          <w:szCs w:val="20"/>
          <w:lang w:val="es-ES"/>
        </w:rPr>
        <w:t>e</w:t>
      </w:r>
      <w:r w:rsidR="00917A31" w:rsidRPr="001522B4">
        <w:rPr>
          <w:sz w:val="20"/>
          <w:szCs w:val="20"/>
          <w:lang w:val="es-ES"/>
        </w:rPr>
        <w:t>ste a</w:t>
      </w:r>
      <w:r w:rsidRPr="001522B4">
        <w:rPr>
          <w:sz w:val="20"/>
          <w:szCs w:val="20"/>
          <w:lang w:val="es-ES"/>
        </w:rPr>
        <w:t xml:space="preserve"> </w:t>
      </w:r>
      <w:r w:rsidR="00917A31" w:rsidRPr="001522B4">
        <w:rPr>
          <w:sz w:val="20"/>
          <w:szCs w:val="20"/>
          <w:lang w:val="es-ES"/>
        </w:rPr>
        <w:t>la evolución de las circunstancias</w:t>
      </w:r>
      <w:r w:rsidRPr="001522B4">
        <w:rPr>
          <w:sz w:val="20"/>
          <w:szCs w:val="20"/>
          <w:lang w:val="es-ES"/>
        </w:rPr>
        <w:t>.</w:t>
      </w:r>
    </w:p>
    <w:p w:rsidR="00E87CB0" w:rsidRPr="001522B4" w:rsidRDefault="00E87CB0" w:rsidP="00116750">
      <w:pPr>
        <w:numPr>
          <w:ilvl w:val="0"/>
          <w:numId w:val="23"/>
        </w:numPr>
        <w:ind w:left="1134" w:hanging="283"/>
        <w:rPr>
          <w:sz w:val="20"/>
          <w:szCs w:val="20"/>
          <w:lang w:val="es-ES"/>
        </w:rPr>
      </w:pPr>
      <w:r w:rsidRPr="001522B4">
        <w:rPr>
          <w:sz w:val="20"/>
          <w:szCs w:val="20"/>
          <w:lang w:val="es-ES"/>
        </w:rPr>
        <w:t xml:space="preserve">No, </w:t>
      </w:r>
      <w:r w:rsidR="00917A31" w:rsidRPr="001522B4">
        <w:rPr>
          <w:sz w:val="20"/>
          <w:szCs w:val="20"/>
          <w:lang w:val="es-ES"/>
        </w:rPr>
        <w:t>lo que sería adecuado es</w:t>
      </w:r>
      <w:r w:rsidRPr="001522B4">
        <w:rPr>
          <w:sz w:val="20"/>
          <w:szCs w:val="20"/>
          <w:lang w:val="es-ES"/>
        </w:rPr>
        <w:t xml:space="preserve"> un plan de medidas de salvagu</w:t>
      </w:r>
      <w:r w:rsidR="00917A31" w:rsidRPr="001522B4">
        <w:rPr>
          <w:sz w:val="20"/>
          <w:szCs w:val="20"/>
          <w:lang w:val="es-ES"/>
        </w:rPr>
        <w:t xml:space="preserve">ardia que tenga como finalidad </w:t>
      </w:r>
      <w:r w:rsidRPr="001522B4">
        <w:rPr>
          <w:sz w:val="20"/>
          <w:szCs w:val="20"/>
          <w:lang w:val="es-ES"/>
        </w:rPr>
        <w:t>revitaliza</w:t>
      </w:r>
      <w:r w:rsidR="00917A31" w:rsidRPr="001522B4">
        <w:rPr>
          <w:sz w:val="20"/>
          <w:szCs w:val="20"/>
          <w:lang w:val="es-ES"/>
        </w:rPr>
        <w:t>r</w:t>
      </w:r>
      <w:r w:rsidRPr="001522B4">
        <w:rPr>
          <w:sz w:val="20"/>
          <w:szCs w:val="20"/>
          <w:lang w:val="es-ES"/>
        </w:rPr>
        <w:t xml:space="preserve"> las danzas </w:t>
      </w:r>
      <w:r w:rsidR="00917A31" w:rsidRPr="001522B4">
        <w:rPr>
          <w:sz w:val="20"/>
          <w:szCs w:val="20"/>
          <w:lang w:val="es-ES"/>
        </w:rPr>
        <w:t>en el seno</w:t>
      </w:r>
      <w:r w:rsidRPr="001522B4">
        <w:rPr>
          <w:sz w:val="20"/>
          <w:szCs w:val="20"/>
          <w:lang w:val="es-ES"/>
        </w:rPr>
        <w:t xml:space="preserve"> la</w:t>
      </w:r>
      <w:r w:rsidR="00917A31" w:rsidRPr="001522B4">
        <w:rPr>
          <w:sz w:val="20"/>
          <w:szCs w:val="20"/>
          <w:lang w:val="es-ES"/>
        </w:rPr>
        <w:t>s</w:t>
      </w:r>
      <w:r w:rsidRPr="001522B4">
        <w:rPr>
          <w:sz w:val="20"/>
          <w:szCs w:val="20"/>
          <w:lang w:val="es-ES"/>
        </w:rPr>
        <w:t xml:space="preserve"> comunidad</w:t>
      </w:r>
      <w:r w:rsidR="00917A31" w:rsidRPr="001522B4">
        <w:rPr>
          <w:sz w:val="20"/>
          <w:szCs w:val="20"/>
          <w:lang w:val="es-ES"/>
        </w:rPr>
        <w:t>es</w:t>
      </w:r>
      <w:r w:rsidRPr="001522B4">
        <w:rPr>
          <w:sz w:val="20"/>
          <w:szCs w:val="20"/>
          <w:lang w:val="es-ES"/>
        </w:rPr>
        <w:t xml:space="preserve"> y representa</w:t>
      </w:r>
      <w:r w:rsidR="00917A31" w:rsidRPr="001522B4">
        <w:rPr>
          <w:sz w:val="20"/>
          <w:szCs w:val="20"/>
          <w:lang w:val="es-ES"/>
        </w:rPr>
        <w:t>rlas</w:t>
      </w:r>
      <w:r w:rsidRPr="001522B4">
        <w:rPr>
          <w:sz w:val="20"/>
          <w:szCs w:val="20"/>
          <w:lang w:val="es-ES"/>
        </w:rPr>
        <w:t xml:space="preserve"> en escenarios teatrales</w:t>
      </w:r>
      <w:r w:rsidR="00917A31" w:rsidRPr="001522B4">
        <w:rPr>
          <w:sz w:val="20"/>
          <w:szCs w:val="20"/>
          <w:lang w:val="es-ES"/>
        </w:rPr>
        <w:t xml:space="preserve"> a la vez</w:t>
      </w:r>
      <w:r w:rsidRPr="001522B4">
        <w:rPr>
          <w:sz w:val="20"/>
          <w:szCs w:val="20"/>
          <w:lang w:val="es-ES"/>
        </w:rPr>
        <w:t>.</w:t>
      </w:r>
    </w:p>
    <w:p w:rsidR="00394841" w:rsidRPr="001522B4" w:rsidRDefault="004C6C18" w:rsidP="00394841">
      <w:pPr>
        <w:pStyle w:val="Heading3"/>
        <w:rPr>
          <w:lang w:val="es-ES"/>
        </w:rPr>
      </w:pPr>
      <w:bookmarkStart w:id="17" w:name="_Toc238982306"/>
      <w:r w:rsidRPr="001522B4">
        <w:rPr>
          <w:lang w:val="es-ES"/>
        </w:rPr>
        <w:t>PREGUNTA</w:t>
      </w:r>
      <w:r w:rsidR="00394841" w:rsidRPr="001522B4">
        <w:rPr>
          <w:lang w:val="es-ES"/>
        </w:rPr>
        <w:t xml:space="preserve"> 15</w:t>
      </w:r>
      <w:bookmarkEnd w:id="17"/>
    </w:p>
    <w:p w:rsidR="006D131E" w:rsidRPr="001522B4" w:rsidRDefault="003D4C55" w:rsidP="006D131E">
      <w:pPr>
        <w:keepNext/>
        <w:ind w:left="851"/>
        <w:rPr>
          <w:sz w:val="20"/>
          <w:szCs w:val="20"/>
          <w:lang w:val="es-ES"/>
        </w:rPr>
      </w:pPr>
      <w:r>
        <w:rPr>
          <w:sz w:val="20"/>
          <w:szCs w:val="20"/>
          <w:lang w:val="es-ES"/>
        </w:rPr>
        <w:t>U</w:t>
      </w:r>
      <w:r w:rsidR="00917A31" w:rsidRPr="001522B4">
        <w:rPr>
          <w:sz w:val="20"/>
          <w:szCs w:val="20"/>
          <w:lang w:val="es-ES"/>
        </w:rPr>
        <w:t>n</w:t>
      </w:r>
      <w:r w:rsidR="006D131E" w:rsidRPr="001522B4">
        <w:rPr>
          <w:sz w:val="20"/>
          <w:szCs w:val="20"/>
          <w:lang w:val="es-ES"/>
        </w:rPr>
        <w:t xml:space="preserve"> </w:t>
      </w:r>
      <w:r w:rsidR="00917A31" w:rsidRPr="001522B4">
        <w:rPr>
          <w:sz w:val="20"/>
          <w:szCs w:val="20"/>
          <w:lang w:val="es-ES"/>
        </w:rPr>
        <w:t>tipo</w:t>
      </w:r>
      <w:r w:rsidR="006D131E" w:rsidRPr="001522B4">
        <w:rPr>
          <w:sz w:val="20"/>
          <w:szCs w:val="20"/>
          <w:lang w:val="es-ES"/>
        </w:rPr>
        <w:t xml:space="preserve"> de danza</w:t>
      </w:r>
      <w:r>
        <w:rPr>
          <w:sz w:val="20"/>
          <w:szCs w:val="20"/>
          <w:lang w:val="es-ES"/>
        </w:rPr>
        <w:t>,</w:t>
      </w:r>
      <w:r w:rsidR="006D131E" w:rsidRPr="001522B4">
        <w:rPr>
          <w:sz w:val="20"/>
          <w:szCs w:val="20"/>
          <w:lang w:val="es-ES"/>
        </w:rPr>
        <w:t xml:space="preserve"> ampliamente </w:t>
      </w:r>
      <w:r w:rsidR="00917A31" w:rsidRPr="001522B4">
        <w:rPr>
          <w:sz w:val="20"/>
          <w:szCs w:val="20"/>
          <w:lang w:val="es-ES"/>
        </w:rPr>
        <w:t>practicada antaño en una comunidad rural y</w:t>
      </w:r>
      <w:r w:rsidR="006D131E" w:rsidRPr="001522B4">
        <w:rPr>
          <w:sz w:val="20"/>
          <w:szCs w:val="20"/>
          <w:lang w:val="es-ES"/>
        </w:rPr>
        <w:t xml:space="preserve"> bien documentada </w:t>
      </w:r>
      <w:r w:rsidR="00917A31" w:rsidRPr="001522B4">
        <w:rPr>
          <w:sz w:val="20"/>
          <w:szCs w:val="20"/>
          <w:lang w:val="es-ES"/>
        </w:rPr>
        <w:t>durante</w:t>
      </w:r>
      <w:r w:rsidR="006D131E" w:rsidRPr="001522B4">
        <w:rPr>
          <w:sz w:val="20"/>
          <w:szCs w:val="20"/>
          <w:lang w:val="es-ES"/>
        </w:rPr>
        <w:t xml:space="preserve"> el decenio de 1970</w:t>
      </w:r>
      <w:r>
        <w:rPr>
          <w:sz w:val="20"/>
          <w:szCs w:val="20"/>
          <w:lang w:val="es-ES"/>
        </w:rPr>
        <w:t xml:space="preserve">, </w:t>
      </w:r>
      <w:r w:rsidRPr="001522B4">
        <w:rPr>
          <w:sz w:val="20"/>
          <w:szCs w:val="20"/>
          <w:lang w:val="es-ES"/>
        </w:rPr>
        <w:t>ya no se representa</w:t>
      </w:r>
      <w:r w:rsidRPr="003D4C55">
        <w:rPr>
          <w:sz w:val="20"/>
          <w:szCs w:val="20"/>
          <w:lang w:val="es-ES"/>
        </w:rPr>
        <w:t xml:space="preserve"> </w:t>
      </w:r>
      <w:r>
        <w:rPr>
          <w:sz w:val="20"/>
          <w:szCs w:val="20"/>
          <w:lang w:val="es-ES"/>
        </w:rPr>
        <w:t>d</w:t>
      </w:r>
      <w:r w:rsidRPr="001522B4">
        <w:rPr>
          <w:sz w:val="20"/>
          <w:szCs w:val="20"/>
          <w:lang w:val="es-ES"/>
        </w:rPr>
        <w:t>esde el decenio de 1980</w:t>
      </w:r>
      <w:r w:rsidR="006D131E" w:rsidRPr="001522B4">
        <w:rPr>
          <w:sz w:val="20"/>
          <w:szCs w:val="20"/>
          <w:lang w:val="es-ES"/>
        </w:rPr>
        <w:t>. ¿Cuál de las medidas enumera</w:t>
      </w:r>
      <w:r w:rsidR="00917A31" w:rsidRPr="001522B4">
        <w:rPr>
          <w:sz w:val="20"/>
          <w:szCs w:val="20"/>
          <w:lang w:val="es-ES"/>
        </w:rPr>
        <w:t>das</w:t>
      </w:r>
      <w:r w:rsidR="006D131E" w:rsidRPr="001522B4">
        <w:rPr>
          <w:sz w:val="20"/>
          <w:szCs w:val="20"/>
          <w:lang w:val="es-ES"/>
        </w:rPr>
        <w:t xml:space="preserve"> a continuación </w:t>
      </w:r>
      <w:r w:rsidR="00917A31" w:rsidRPr="001522B4">
        <w:rPr>
          <w:sz w:val="20"/>
          <w:szCs w:val="20"/>
          <w:lang w:val="es-ES"/>
        </w:rPr>
        <w:t xml:space="preserve">se </w:t>
      </w:r>
      <w:r w:rsidR="006D131E" w:rsidRPr="001522B4">
        <w:rPr>
          <w:sz w:val="20"/>
          <w:szCs w:val="20"/>
          <w:lang w:val="es-ES"/>
        </w:rPr>
        <w:t xml:space="preserve">puede </w:t>
      </w:r>
      <w:r w:rsidR="00917A31" w:rsidRPr="001522B4">
        <w:rPr>
          <w:sz w:val="20"/>
          <w:szCs w:val="20"/>
          <w:lang w:val="es-ES"/>
        </w:rPr>
        <w:t>considerar</w:t>
      </w:r>
      <w:r w:rsidR="006D131E" w:rsidRPr="001522B4">
        <w:rPr>
          <w:sz w:val="20"/>
          <w:szCs w:val="20"/>
          <w:lang w:val="es-ES"/>
        </w:rPr>
        <w:t xml:space="preserve"> “revitalizadora” </w:t>
      </w:r>
      <w:r w:rsidR="00917A31" w:rsidRPr="001522B4">
        <w:rPr>
          <w:sz w:val="20"/>
          <w:szCs w:val="20"/>
          <w:lang w:val="es-ES"/>
        </w:rPr>
        <w:t>de la práctica</w:t>
      </w:r>
      <w:r w:rsidR="00DB7A52" w:rsidRPr="001522B4">
        <w:rPr>
          <w:sz w:val="20"/>
          <w:szCs w:val="20"/>
          <w:lang w:val="es-ES"/>
        </w:rPr>
        <w:t xml:space="preserve"> </w:t>
      </w:r>
      <w:r w:rsidR="006D131E" w:rsidRPr="001522B4">
        <w:rPr>
          <w:sz w:val="20"/>
          <w:szCs w:val="20"/>
          <w:lang w:val="es-ES"/>
        </w:rPr>
        <w:t xml:space="preserve">de </w:t>
      </w:r>
      <w:r w:rsidR="00917A31" w:rsidRPr="001522B4">
        <w:rPr>
          <w:sz w:val="20"/>
          <w:szCs w:val="20"/>
          <w:lang w:val="es-ES"/>
        </w:rPr>
        <w:t>la</w:t>
      </w:r>
      <w:r w:rsidR="006D131E" w:rsidRPr="001522B4">
        <w:rPr>
          <w:sz w:val="20"/>
          <w:szCs w:val="20"/>
          <w:lang w:val="es-ES"/>
        </w:rPr>
        <w:t xml:space="preserve"> danza</w:t>
      </w:r>
      <w:r w:rsidR="00917A31" w:rsidRPr="001522B4">
        <w:rPr>
          <w:sz w:val="20"/>
          <w:szCs w:val="20"/>
          <w:lang w:val="es-ES"/>
        </w:rPr>
        <w:t xml:space="preserve"> en cuestión</w:t>
      </w:r>
      <w:r w:rsidR="006D131E" w:rsidRPr="001522B4">
        <w:rPr>
          <w:sz w:val="20"/>
          <w:szCs w:val="20"/>
          <w:lang w:val="es-ES"/>
        </w:rPr>
        <w:t>?</w:t>
      </w:r>
    </w:p>
    <w:p w:rsidR="006D131E" w:rsidRPr="001522B4" w:rsidRDefault="00917A31" w:rsidP="00116750">
      <w:pPr>
        <w:pStyle w:val="ListParagraph"/>
        <w:numPr>
          <w:ilvl w:val="0"/>
          <w:numId w:val="24"/>
        </w:numPr>
        <w:ind w:left="1134" w:hanging="283"/>
        <w:rPr>
          <w:sz w:val="20"/>
          <w:szCs w:val="20"/>
          <w:lang w:val="es-ES"/>
        </w:rPr>
      </w:pPr>
      <w:r w:rsidRPr="001522B4">
        <w:rPr>
          <w:sz w:val="20"/>
          <w:szCs w:val="20"/>
          <w:lang w:val="es-ES"/>
        </w:rPr>
        <w:t>Reconstit</w:t>
      </w:r>
      <w:r w:rsidR="006D131E" w:rsidRPr="001522B4">
        <w:rPr>
          <w:sz w:val="20"/>
          <w:szCs w:val="20"/>
          <w:lang w:val="es-ES"/>
        </w:rPr>
        <w:t>uir la danza en un centro de investigación</w:t>
      </w:r>
      <w:r w:rsidRPr="001522B4">
        <w:rPr>
          <w:sz w:val="20"/>
          <w:szCs w:val="20"/>
          <w:lang w:val="es-ES"/>
        </w:rPr>
        <w:t>, recurriendo</w:t>
      </w:r>
      <w:r w:rsidR="006D131E" w:rsidRPr="001522B4">
        <w:rPr>
          <w:sz w:val="20"/>
          <w:szCs w:val="20"/>
          <w:lang w:val="es-ES"/>
        </w:rPr>
        <w:t xml:space="preserve"> a </w:t>
      </w:r>
      <w:r w:rsidRPr="001522B4">
        <w:rPr>
          <w:sz w:val="20"/>
          <w:szCs w:val="20"/>
          <w:lang w:val="es-ES"/>
        </w:rPr>
        <w:t xml:space="preserve">filmaciones realizadas en </w:t>
      </w:r>
      <w:r w:rsidR="000F45A0">
        <w:rPr>
          <w:sz w:val="20"/>
          <w:szCs w:val="20"/>
          <w:lang w:val="es-ES"/>
        </w:rPr>
        <w:t>el decenio de 193</w:t>
      </w:r>
      <w:r w:rsidR="006D131E" w:rsidRPr="001522B4">
        <w:rPr>
          <w:sz w:val="20"/>
          <w:szCs w:val="20"/>
          <w:lang w:val="es-ES"/>
        </w:rPr>
        <w:t>0 y reintroducir</w:t>
      </w:r>
      <w:r w:rsidR="00985C46" w:rsidRPr="001522B4">
        <w:rPr>
          <w:sz w:val="20"/>
          <w:szCs w:val="20"/>
          <w:lang w:val="es-ES"/>
        </w:rPr>
        <w:t xml:space="preserve"> su práctica</w:t>
      </w:r>
      <w:r w:rsidR="006D131E" w:rsidRPr="001522B4">
        <w:rPr>
          <w:sz w:val="20"/>
          <w:szCs w:val="20"/>
          <w:lang w:val="es-ES"/>
        </w:rPr>
        <w:t xml:space="preserve"> en la comunidad </w:t>
      </w:r>
      <w:r w:rsidR="00985C46" w:rsidRPr="001522B4">
        <w:rPr>
          <w:sz w:val="20"/>
          <w:szCs w:val="20"/>
          <w:lang w:val="es-ES"/>
        </w:rPr>
        <w:t>interesada</w:t>
      </w:r>
      <w:r w:rsidR="006D131E" w:rsidRPr="001522B4">
        <w:rPr>
          <w:sz w:val="20"/>
          <w:szCs w:val="20"/>
          <w:lang w:val="es-ES"/>
        </w:rPr>
        <w:t>.</w:t>
      </w:r>
    </w:p>
    <w:p w:rsidR="00985C46" w:rsidRPr="001522B4" w:rsidRDefault="006D131E" w:rsidP="00116750">
      <w:pPr>
        <w:numPr>
          <w:ilvl w:val="0"/>
          <w:numId w:val="24"/>
        </w:numPr>
        <w:ind w:left="1134" w:hanging="283"/>
        <w:rPr>
          <w:sz w:val="20"/>
          <w:szCs w:val="20"/>
          <w:lang w:val="es-ES"/>
        </w:rPr>
      </w:pPr>
      <w:r w:rsidRPr="001522B4">
        <w:rPr>
          <w:sz w:val="20"/>
          <w:szCs w:val="20"/>
          <w:lang w:val="es-ES"/>
        </w:rPr>
        <w:t xml:space="preserve">Capacitar a los miembros de la comunidad interesada </w:t>
      </w:r>
      <w:r w:rsidR="00985C46" w:rsidRPr="001522B4">
        <w:rPr>
          <w:sz w:val="20"/>
          <w:szCs w:val="20"/>
          <w:lang w:val="es-ES"/>
        </w:rPr>
        <w:t>para practicar la</w:t>
      </w:r>
      <w:r w:rsidRPr="001522B4">
        <w:rPr>
          <w:sz w:val="20"/>
          <w:szCs w:val="20"/>
          <w:lang w:val="es-ES"/>
        </w:rPr>
        <w:t xml:space="preserve"> danza</w:t>
      </w:r>
      <w:r w:rsidR="00985C46" w:rsidRPr="001522B4">
        <w:rPr>
          <w:sz w:val="20"/>
          <w:szCs w:val="20"/>
          <w:lang w:val="es-ES"/>
        </w:rPr>
        <w:t>, recurriendo a</w:t>
      </w:r>
      <w:r w:rsidRPr="001522B4">
        <w:rPr>
          <w:sz w:val="20"/>
          <w:szCs w:val="20"/>
          <w:lang w:val="es-ES"/>
        </w:rPr>
        <w:t xml:space="preserve"> las </w:t>
      </w:r>
      <w:r w:rsidR="00985C46" w:rsidRPr="001522B4">
        <w:rPr>
          <w:sz w:val="20"/>
          <w:szCs w:val="20"/>
          <w:lang w:val="es-ES"/>
        </w:rPr>
        <w:t>filmaciones</w:t>
      </w:r>
      <w:r w:rsidRPr="001522B4">
        <w:rPr>
          <w:sz w:val="20"/>
          <w:szCs w:val="20"/>
          <w:lang w:val="es-ES"/>
        </w:rPr>
        <w:t xml:space="preserve"> y </w:t>
      </w:r>
      <w:r w:rsidR="00985C46" w:rsidRPr="001522B4">
        <w:rPr>
          <w:sz w:val="20"/>
          <w:szCs w:val="20"/>
          <w:lang w:val="es-ES"/>
        </w:rPr>
        <w:t xml:space="preserve">al concurso </w:t>
      </w:r>
      <w:r w:rsidRPr="001522B4">
        <w:rPr>
          <w:sz w:val="20"/>
          <w:szCs w:val="20"/>
          <w:lang w:val="es-ES"/>
        </w:rPr>
        <w:t xml:space="preserve">de </w:t>
      </w:r>
      <w:r w:rsidR="00985C46" w:rsidRPr="001522B4">
        <w:rPr>
          <w:sz w:val="20"/>
          <w:szCs w:val="20"/>
          <w:lang w:val="es-ES"/>
        </w:rPr>
        <w:t xml:space="preserve">los </w:t>
      </w:r>
      <w:r w:rsidRPr="001522B4">
        <w:rPr>
          <w:sz w:val="20"/>
          <w:szCs w:val="20"/>
          <w:lang w:val="es-ES"/>
        </w:rPr>
        <w:t xml:space="preserve">miembros </w:t>
      </w:r>
      <w:r w:rsidR="00985C46" w:rsidRPr="001522B4">
        <w:rPr>
          <w:sz w:val="20"/>
          <w:szCs w:val="20"/>
          <w:lang w:val="es-ES"/>
        </w:rPr>
        <w:t xml:space="preserve">de </w:t>
      </w:r>
      <w:r w:rsidRPr="001522B4">
        <w:rPr>
          <w:sz w:val="20"/>
          <w:szCs w:val="20"/>
          <w:lang w:val="es-ES"/>
        </w:rPr>
        <w:t xml:space="preserve">más </w:t>
      </w:r>
      <w:r w:rsidR="00985C46" w:rsidRPr="001522B4">
        <w:rPr>
          <w:sz w:val="20"/>
          <w:szCs w:val="20"/>
          <w:lang w:val="es-ES"/>
        </w:rPr>
        <w:t>edad</w:t>
      </w:r>
      <w:r w:rsidRPr="001522B4">
        <w:rPr>
          <w:sz w:val="20"/>
          <w:szCs w:val="20"/>
          <w:lang w:val="es-ES"/>
        </w:rPr>
        <w:t xml:space="preserve"> de la comunidad que recuerd</w:t>
      </w:r>
      <w:r w:rsidR="00985C46" w:rsidRPr="001522B4">
        <w:rPr>
          <w:sz w:val="20"/>
          <w:szCs w:val="20"/>
          <w:lang w:val="es-ES"/>
        </w:rPr>
        <w:t>a</w:t>
      </w:r>
      <w:r w:rsidRPr="001522B4">
        <w:rPr>
          <w:sz w:val="20"/>
          <w:szCs w:val="20"/>
          <w:lang w:val="es-ES"/>
        </w:rPr>
        <w:t xml:space="preserve">n bien su </w:t>
      </w:r>
      <w:r w:rsidR="00985C46" w:rsidRPr="001522B4">
        <w:rPr>
          <w:sz w:val="20"/>
          <w:szCs w:val="20"/>
          <w:lang w:val="es-ES"/>
        </w:rPr>
        <w:t>modo de ejecución</w:t>
      </w:r>
      <w:r w:rsidRPr="001522B4">
        <w:rPr>
          <w:sz w:val="20"/>
          <w:szCs w:val="20"/>
          <w:lang w:val="es-ES"/>
        </w:rPr>
        <w:t>.</w:t>
      </w:r>
    </w:p>
    <w:p w:rsidR="00E34384" w:rsidRPr="00E34384" w:rsidRDefault="006D131E" w:rsidP="00E34384">
      <w:pPr>
        <w:numPr>
          <w:ilvl w:val="0"/>
          <w:numId w:val="24"/>
        </w:numPr>
        <w:ind w:left="1134" w:hanging="283"/>
        <w:rPr>
          <w:sz w:val="20"/>
          <w:szCs w:val="20"/>
          <w:lang w:val="es-ES"/>
        </w:rPr>
      </w:pPr>
      <w:r w:rsidRPr="001522B4">
        <w:rPr>
          <w:sz w:val="20"/>
          <w:szCs w:val="20"/>
          <w:lang w:val="es-ES"/>
        </w:rPr>
        <w:t>Capacitar a miembros de una asociación folclórica en la capital del país para que represente</w:t>
      </w:r>
      <w:r w:rsidR="00985C46" w:rsidRPr="001522B4">
        <w:rPr>
          <w:sz w:val="20"/>
          <w:szCs w:val="20"/>
          <w:lang w:val="es-ES"/>
        </w:rPr>
        <w:t>n</w:t>
      </w:r>
      <w:r w:rsidRPr="001522B4">
        <w:rPr>
          <w:sz w:val="20"/>
          <w:szCs w:val="20"/>
          <w:lang w:val="es-ES"/>
        </w:rPr>
        <w:t xml:space="preserve"> la danza</w:t>
      </w:r>
      <w:r w:rsidR="00985C46" w:rsidRPr="001522B4">
        <w:rPr>
          <w:sz w:val="20"/>
          <w:szCs w:val="20"/>
          <w:lang w:val="es-ES"/>
        </w:rPr>
        <w:t>, recurriendo a filmaciones realizadas en el decenio de</w:t>
      </w:r>
      <w:r w:rsidR="000F45A0">
        <w:rPr>
          <w:sz w:val="20"/>
          <w:szCs w:val="20"/>
          <w:lang w:val="es-ES"/>
        </w:rPr>
        <w:t xml:space="preserve"> 197</w:t>
      </w:r>
      <w:r w:rsidRPr="001522B4">
        <w:rPr>
          <w:sz w:val="20"/>
          <w:szCs w:val="20"/>
          <w:lang w:val="es-ES"/>
        </w:rPr>
        <w:t xml:space="preserve">0 y </w:t>
      </w:r>
      <w:r w:rsidR="00985C46" w:rsidRPr="001522B4">
        <w:rPr>
          <w:sz w:val="20"/>
          <w:szCs w:val="20"/>
          <w:lang w:val="es-ES"/>
        </w:rPr>
        <w:t>pidiendo asesoramiento a</w:t>
      </w:r>
      <w:r w:rsidRPr="001522B4">
        <w:rPr>
          <w:sz w:val="20"/>
          <w:szCs w:val="20"/>
          <w:lang w:val="es-ES"/>
        </w:rPr>
        <w:t xml:space="preserve"> los miembros de la comunidad que </w:t>
      </w:r>
      <w:r w:rsidR="00985C46" w:rsidRPr="001522B4">
        <w:rPr>
          <w:sz w:val="20"/>
          <w:szCs w:val="20"/>
          <w:lang w:val="es-ES"/>
        </w:rPr>
        <w:t>todavía</w:t>
      </w:r>
      <w:r w:rsidRPr="001522B4">
        <w:rPr>
          <w:sz w:val="20"/>
          <w:szCs w:val="20"/>
          <w:lang w:val="es-ES"/>
        </w:rPr>
        <w:t xml:space="preserve"> la recuerdan bien.</w:t>
      </w:r>
    </w:p>
    <w:p w:rsidR="00E34384" w:rsidRPr="00E34384" w:rsidRDefault="00E34384" w:rsidP="00394841">
      <w:pPr>
        <w:pStyle w:val="Heading3"/>
        <w:rPr>
          <w:sz w:val="20"/>
          <w:szCs w:val="20"/>
          <w:lang w:val="es-ES"/>
        </w:rPr>
      </w:pPr>
      <w:bookmarkStart w:id="18" w:name="_Toc238982307"/>
      <w:r w:rsidRPr="00E34384">
        <w:rPr>
          <w:sz w:val="20"/>
          <w:szCs w:val="20"/>
          <w:lang w:val="es-ES"/>
        </w:rPr>
        <w:t>CANDIDATURAS</w:t>
      </w:r>
    </w:p>
    <w:p w:rsidR="00394841" w:rsidRPr="001522B4" w:rsidRDefault="004C6C18" w:rsidP="00394841">
      <w:pPr>
        <w:pStyle w:val="Heading3"/>
        <w:rPr>
          <w:lang w:val="es-ES"/>
        </w:rPr>
      </w:pPr>
      <w:r w:rsidRPr="001522B4">
        <w:rPr>
          <w:lang w:val="es-ES"/>
        </w:rPr>
        <w:t>PREGUNTA</w:t>
      </w:r>
      <w:r w:rsidR="00394841" w:rsidRPr="001522B4">
        <w:rPr>
          <w:lang w:val="es-ES"/>
        </w:rPr>
        <w:t xml:space="preserve"> 16</w:t>
      </w:r>
      <w:bookmarkEnd w:id="18"/>
    </w:p>
    <w:p w:rsidR="00E012FB" w:rsidRPr="001522B4" w:rsidRDefault="00E012FB" w:rsidP="00E012FB">
      <w:pPr>
        <w:ind w:left="851"/>
        <w:rPr>
          <w:sz w:val="20"/>
          <w:szCs w:val="20"/>
          <w:lang w:val="es-ES"/>
        </w:rPr>
      </w:pPr>
      <w:r w:rsidRPr="001522B4">
        <w:rPr>
          <w:sz w:val="20"/>
          <w:szCs w:val="20"/>
          <w:lang w:val="es-ES"/>
        </w:rPr>
        <w:t xml:space="preserve">Los Estados Partes presentan candidaturas de elementos del PCI para su inscripción en las Listas de la Convención. En el proceso de preparación de una candidatura pueden haber participado muchas partes interesadas, ¿pero cuál de ellas está habilitada para iniciar ese proceso? </w:t>
      </w:r>
    </w:p>
    <w:p w:rsidR="00E012FB" w:rsidRPr="001522B4" w:rsidRDefault="00E012FB" w:rsidP="00E012FB">
      <w:pPr>
        <w:tabs>
          <w:tab w:val="left" w:pos="709"/>
        </w:tabs>
        <w:ind w:left="1134" w:right="423" w:hanging="283"/>
        <w:rPr>
          <w:sz w:val="20"/>
          <w:szCs w:val="20"/>
          <w:lang w:val="es-ES"/>
        </w:rPr>
      </w:pPr>
      <w:r w:rsidRPr="001522B4">
        <w:rPr>
          <w:sz w:val="20"/>
          <w:szCs w:val="20"/>
          <w:lang w:val="es-ES"/>
        </w:rPr>
        <w:t xml:space="preserve">a) Cualquier grupo u organismo puede iniciar el proceso de preparación de una candidatura, siempre y cuando las comunidades, grupos e individuos interesados den su </w:t>
      </w:r>
      <w:r w:rsidR="00E861B0">
        <w:rPr>
          <w:sz w:val="20"/>
          <w:szCs w:val="20"/>
          <w:lang w:val="es-ES"/>
        </w:rPr>
        <w:t>consentimiento</w:t>
      </w:r>
      <w:r w:rsidR="00E861B0" w:rsidRPr="001522B4">
        <w:rPr>
          <w:sz w:val="20"/>
          <w:szCs w:val="20"/>
          <w:lang w:val="es-ES"/>
        </w:rPr>
        <w:t xml:space="preserve"> </w:t>
      </w:r>
      <w:r w:rsidRPr="001522B4">
        <w:rPr>
          <w:sz w:val="20"/>
          <w:szCs w:val="20"/>
          <w:lang w:val="es-ES"/>
        </w:rPr>
        <w:t>y participen en dicho proceso.</w:t>
      </w:r>
    </w:p>
    <w:p w:rsidR="00E012FB" w:rsidRPr="001522B4" w:rsidRDefault="003D4C55" w:rsidP="00E012FB">
      <w:pPr>
        <w:tabs>
          <w:tab w:val="left" w:pos="709"/>
        </w:tabs>
        <w:ind w:left="1134" w:right="423" w:hanging="283"/>
        <w:rPr>
          <w:sz w:val="20"/>
          <w:szCs w:val="20"/>
          <w:lang w:val="es-ES"/>
        </w:rPr>
      </w:pPr>
      <w:r>
        <w:rPr>
          <w:sz w:val="20"/>
          <w:szCs w:val="20"/>
          <w:lang w:val="es-ES"/>
        </w:rPr>
        <w:t>b)</w:t>
      </w:r>
      <w:r>
        <w:rPr>
          <w:sz w:val="20"/>
          <w:szCs w:val="20"/>
          <w:lang w:val="es-ES"/>
        </w:rPr>
        <w:tab/>
      </w:r>
      <w:r w:rsidR="00E012FB" w:rsidRPr="001522B4">
        <w:rPr>
          <w:sz w:val="20"/>
          <w:szCs w:val="20"/>
          <w:lang w:val="es-ES"/>
        </w:rPr>
        <w:t>El proceso de preparación de una candidatura tienen que iniciarlo las comunidades o sus representantes porque son la única parte interesada cuyo consentimiento previo e informado es necesario obtener.</w:t>
      </w:r>
    </w:p>
    <w:p w:rsidR="00E012FB" w:rsidRPr="001522B4" w:rsidRDefault="00E012FB" w:rsidP="00E012FB">
      <w:pPr>
        <w:tabs>
          <w:tab w:val="left" w:pos="709"/>
        </w:tabs>
        <w:ind w:left="1134" w:right="423" w:hanging="283"/>
        <w:rPr>
          <w:sz w:val="20"/>
          <w:szCs w:val="20"/>
          <w:lang w:val="es-ES"/>
        </w:rPr>
      </w:pPr>
      <w:r w:rsidRPr="001522B4">
        <w:rPr>
          <w:sz w:val="20"/>
          <w:szCs w:val="20"/>
          <w:lang w:val="es-ES"/>
        </w:rPr>
        <w:t xml:space="preserve">c) Son los investigadores o institutos especializados quienes tienen que iniciar el proceso de preparación de la candidatura, porque son los que mejor conocen el elemento del PCI que se va a presentar para </w:t>
      </w:r>
      <w:r w:rsidR="003D4C55">
        <w:rPr>
          <w:sz w:val="20"/>
          <w:szCs w:val="20"/>
          <w:lang w:val="es-ES"/>
        </w:rPr>
        <w:t>su</w:t>
      </w:r>
      <w:r w:rsidRPr="001522B4">
        <w:rPr>
          <w:sz w:val="20"/>
          <w:szCs w:val="20"/>
          <w:lang w:val="es-ES"/>
        </w:rPr>
        <w:t xml:space="preserve"> inscripción en la Lista de la Convención que corresponda.</w:t>
      </w:r>
    </w:p>
    <w:p w:rsidR="00DB7A52" w:rsidRPr="001522B4" w:rsidRDefault="00DB7A52">
      <w:pPr>
        <w:tabs>
          <w:tab w:val="clear" w:pos="567"/>
        </w:tabs>
        <w:snapToGrid/>
        <w:spacing w:before="0" w:after="0"/>
        <w:jc w:val="left"/>
        <w:rPr>
          <w:rFonts w:cs="Times New Roman"/>
          <w:b/>
          <w:bCs/>
          <w:caps/>
          <w:snapToGrid/>
          <w:color w:val="000000"/>
          <w:sz w:val="18"/>
          <w:szCs w:val="18"/>
          <w:lang w:val="es-ES" w:eastAsia="en-US"/>
        </w:rPr>
      </w:pPr>
      <w:bookmarkStart w:id="19" w:name="_Toc238982308"/>
      <w:r w:rsidRPr="001522B4">
        <w:rPr>
          <w:lang w:val="es-ES"/>
        </w:rPr>
        <w:br w:type="page"/>
      </w:r>
    </w:p>
    <w:p w:rsidR="00394841" w:rsidRPr="001522B4" w:rsidRDefault="004C6C18" w:rsidP="00394841">
      <w:pPr>
        <w:pStyle w:val="Heading3"/>
        <w:rPr>
          <w:lang w:val="es-ES"/>
        </w:rPr>
      </w:pPr>
      <w:r w:rsidRPr="001522B4">
        <w:rPr>
          <w:lang w:val="es-ES"/>
        </w:rPr>
        <w:lastRenderedPageBreak/>
        <w:t>PREGUNTA</w:t>
      </w:r>
      <w:r w:rsidR="00394841" w:rsidRPr="001522B4">
        <w:rPr>
          <w:lang w:val="es-ES"/>
        </w:rPr>
        <w:t xml:space="preserve"> 17</w:t>
      </w:r>
      <w:bookmarkEnd w:id="19"/>
    </w:p>
    <w:p w:rsidR="00E012FB" w:rsidRPr="001522B4" w:rsidRDefault="00E012FB" w:rsidP="003D4C55">
      <w:pPr>
        <w:ind w:left="851"/>
        <w:rPr>
          <w:sz w:val="20"/>
          <w:szCs w:val="20"/>
          <w:lang w:val="es-ES"/>
        </w:rPr>
      </w:pPr>
      <w:r w:rsidRPr="001522B4">
        <w:rPr>
          <w:sz w:val="20"/>
          <w:szCs w:val="20"/>
          <w:lang w:val="es-ES"/>
        </w:rPr>
        <w:t>Los países que no son Estados Partes en la Convención ¿pueden presentar candidaturas de elementos del PCI para que sean inscritos en las Listas de la Convención?</w:t>
      </w:r>
    </w:p>
    <w:p w:rsidR="00E012FB" w:rsidRPr="001522B4" w:rsidRDefault="00E012FB" w:rsidP="00E012FB">
      <w:pPr>
        <w:tabs>
          <w:tab w:val="clear" w:pos="567"/>
          <w:tab w:val="left" w:pos="709"/>
        </w:tabs>
        <w:ind w:left="1134" w:right="423" w:hanging="283"/>
        <w:rPr>
          <w:sz w:val="20"/>
          <w:szCs w:val="20"/>
          <w:lang w:val="es-ES"/>
        </w:rPr>
      </w:pPr>
      <w:r w:rsidRPr="001522B4">
        <w:rPr>
          <w:sz w:val="20"/>
          <w:szCs w:val="20"/>
          <w:lang w:val="es-ES"/>
        </w:rPr>
        <w:t>a) Sí</w:t>
      </w:r>
      <w:r w:rsidR="003D4C55">
        <w:rPr>
          <w:sz w:val="20"/>
          <w:szCs w:val="20"/>
          <w:lang w:val="es-ES"/>
        </w:rPr>
        <w:t>,</w:t>
      </w:r>
      <w:r w:rsidRPr="001522B4">
        <w:rPr>
          <w:sz w:val="20"/>
          <w:szCs w:val="20"/>
          <w:lang w:val="es-ES"/>
        </w:rPr>
        <w:t xml:space="preserve"> pueden presentar candidaturas, pero solamente cuando el elemento en cuestión necesite la adopción de medidas de salvaguardia con extremada urgencia.</w:t>
      </w:r>
    </w:p>
    <w:p w:rsidR="00E012FB" w:rsidRPr="001522B4" w:rsidRDefault="00E012FB" w:rsidP="00E012FB">
      <w:pPr>
        <w:tabs>
          <w:tab w:val="clear" w:pos="567"/>
          <w:tab w:val="left" w:pos="709"/>
        </w:tabs>
        <w:ind w:left="1134" w:right="423" w:hanging="283"/>
        <w:rPr>
          <w:sz w:val="20"/>
          <w:szCs w:val="20"/>
          <w:lang w:val="es-ES"/>
        </w:rPr>
      </w:pPr>
      <w:r w:rsidRPr="001522B4">
        <w:rPr>
          <w:sz w:val="20"/>
          <w:szCs w:val="20"/>
          <w:lang w:val="es-ES"/>
        </w:rPr>
        <w:t>b) No</w:t>
      </w:r>
      <w:r w:rsidR="003D4C55">
        <w:rPr>
          <w:sz w:val="20"/>
          <w:szCs w:val="20"/>
          <w:lang w:val="es-ES"/>
        </w:rPr>
        <w:t>, no</w:t>
      </w:r>
      <w:r w:rsidRPr="001522B4">
        <w:rPr>
          <w:sz w:val="20"/>
          <w:szCs w:val="20"/>
          <w:lang w:val="es-ES"/>
        </w:rPr>
        <w:t xml:space="preserve"> pueden presentar candidaturas hasta que no lleguen a ser Estados Partes en la Convención.</w:t>
      </w:r>
    </w:p>
    <w:p w:rsidR="00E012FB" w:rsidRPr="001522B4" w:rsidRDefault="00E012FB" w:rsidP="00E012FB">
      <w:pPr>
        <w:tabs>
          <w:tab w:val="clear" w:pos="567"/>
          <w:tab w:val="left" w:pos="709"/>
        </w:tabs>
        <w:ind w:left="1134" w:right="423" w:hanging="283"/>
        <w:rPr>
          <w:sz w:val="20"/>
          <w:szCs w:val="20"/>
          <w:lang w:val="es-ES"/>
        </w:rPr>
      </w:pPr>
      <w:r w:rsidRPr="001522B4">
        <w:rPr>
          <w:sz w:val="20"/>
          <w:szCs w:val="20"/>
          <w:lang w:val="es-ES"/>
        </w:rPr>
        <w:t>c) Sí</w:t>
      </w:r>
      <w:r w:rsidR="003D4C55">
        <w:rPr>
          <w:sz w:val="20"/>
          <w:szCs w:val="20"/>
          <w:lang w:val="es-ES"/>
        </w:rPr>
        <w:t>,</w:t>
      </w:r>
      <w:r w:rsidRPr="001522B4">
        <w:rPr>
          <w:sz w:val="20"/>
          <w:szCs w:val="20"/>
          <w:lang w:val="es-ES"/>
        </w:rPr>
        <w:t xml:space="preserve"> pueden presentar candidaturas, pero solamente en caso de que se trate de una candidatura multinacional presentada con otro(s) Estado(s) que ya es(son) Parte(s) en la Convención.</w:t>
      </w:r>
    </w:p>
    <w:p w:rsidR="00394841" w:rsidRPr="001522B4" w:rsidRDefault="004C6C18" w:rsidP="00394841">
      <w:pPr>
        <w:pStyle w:val="Heading3"/>
        <w:rPr>
          <w:lang w:val="es-ES"/>
        </w:rPr>
      </w:pPr>
      <w:bookmarkStart w:id="20" w:name="_Toc238982309"/>
      <w:r w:rsidRPr="001522B4">
        <w:rPr>
          <w:lang w:val="es-ES"/>
        </w:rPr>
        <w:t>PREGUNTA</w:t>
      </w:r>
      <w:r w:rsidR="00394841" w:rsidRPr="001522B4">
        <w:rPr>
          <w:lang w:val="es-ES"/>
        </w:rPr>
        <w:t xml:space="preserve"> 18</w:t>
      </w:r>
      <w:bookmarkEnd w:id="20"/>
    </w:p>
    <w:p w:rsidR="00CF797B" w:rsidRPr="001522B4" w:rsidRDefault="00CF797B" w:rsidP="00CF797B">
      <w:pPr>
        <w:ind w:left="851"/>
        <w:rPr>
          <w:sz w:val="20"/>
          <w:szCs w:val="20"/>
          <w:lang w:val="es-ES"/>
        </w:rPr>
      </w:pPr>
      <w:r w:rsidRPr="001522B4">
        <w:rPr>
          <w:sz w:val="20"/>
          <w:szCs w:val="20"/>
          <w:lang w:val="es-ES"/>
        </w:rPr>
        <w:t>¿Se pueden inscribir los idiomas en las Listas de la Convención?</w:t>
      </w:r>
    </w:p>
    <w:p w:rsidR="00CF797B" w:rsidRPr="001522B4" w:rsidRDefault="00CF797B" w:rsidP="00CF797B">
      <w:pPr>
        <w:tabs>
          <w:tab w:val="clear" w:pos="567"/>
          <w:tab w:val="left" w:pos="709"/>
        </w:tabs>
        <w:ind w:left="1134" w:right="423" w:hanging="283"/>
        <w:rPr>
          <w:sz w:val="20"/>
          <w:szCs w:val="20"/>
          <w:lang w:val="es-ES"/>
        </w:rPr>
      </w:pPr>
      <w:r w:rsidRPr="001522B4">
        <w:rPr>
          <w:sz w:val="20"/>
          <w:szCs w:val="20"/>
          <w:lang w:val="es-ES"/>
        </w:rPr>
        <w:t>a) Sí, los idiomas se pueden inscribir en las Listas de la Convención porque son un elemento intrínseco del PCI.</w:t>
      </w:r>
    </w:p>
    <w:p w:rsidR="00CF797B" w:rsidRPr="001522B4" w:rsidRDefault="00CF797B" w:rsidP="00CF797B">
      <w:pPr>
        <w:tabs>
          <w:tab w:val="clear" w:pos="567"/>
          <w:tab w:val="left" w:pos="709"/>
        </w:tabs>
        <w:ind w:left="1134" w:right="423" w:hanging="283"/>
        <w:rPr>
          <w:sz w:val="20"/>
          <w:szCs w:val="20"/>
          <w:lang w:val="es-ES"/>
        </w:rPr>
      </w:pPr>
      <w:r w:rsidRPr="001522B4">
        <w:rPr>
          <w:sz w:val="20"/>
          <w:szCs w:val="20"/>
          <w:lang w:val="es-ES"/>
        </w:rPr>
        <w:t>b) No, los idiomas no se pueden proponer en las candidaturas a la inscripción en las Listas de la Convención porque no figuran entre los ámbitos establecidos del PCI.</w:t>
      </w:r>
    </w:p>
    <w:p w:rsidR="00CF797B" w:rsidRPr="001522B4" w:rsidRDefault="00CF797B" w:rsidP="00CF797B">
      <w:pPr>
        <w:tabs>
          <w:tab w:val="clear" w:pos="567"/>
          <w:tab w:val="left" w:pos="709"/>
        </w:tabs>
        <w:ind w:left="1134" w:right="423" w:hanging="283"/>
        <w:rPr>
          <w:sz w:val="20"/>
          <w:szCs w:val="20"/>
          <w:lang w:val="es-ES"/>
        </w:rPr>
      </w:pPr>
      <w:r w:rsidRPr="001522B4">
        <w:rPr>
          <w:sz w:val="20"/>
          <w:szCs w:val="20"/>
          <w:lang w:val="es-ES"/>
        </w:rPr>
        <w:t xml:space="preserve">c) No, los idiomas no se pueden inscribir como tales en las Listas de la Convención, porque </w:t>
      </w:r>
      <w:r w:rsidR="00F36BC4">
        <w:rPr>
          <w:sz w:val="20"/>
          <w:szCs w:val="20"/>
          <w:lang w:val="es-ES"/>
        </w:rPr>
        <w:t>e</w:t>
      </w:r>
      <w:r w:rsidRPr="001522B4">
        <w:rPr>
          <w:sz w:val="20"/>
          <w:szCs w:val="20"/>
          <w:lang w:val="es-ES"/>
        </w:rPr>
        <w:t>sta indica que s</w:t>
      </w:r>
      <w:r w:rsidR="00F36BC4">
        <w:rPr>
          <w:sz w:val="20"/>
          <w:szCs w:val="20"/>
          <w:lang w:val="es-ES"/>
        </w:rPr>
        <w:t>o</w:t>
      </w:r>
      <w:r w:rsidRPr="001522B4">
        <w:rPr>
          <w:sz w:val="20"/>
          <w:szCs w:val="20"/>
          <w:lang w:val="es-ES"/>
        </w:rPr>
        <w:t>lo pueden formar parte de una inscripción en la medida en que se consideren vehículos del PCI.</w:t>
      </w:r>
    </w:p>
    <w:p w:rsidR="00394841" w:rsidRPr="001522B4" w:rsidRDefault="004C6C18" w:rsidP="00394841">
      <w:pPr>
        <w:pStyle w:val="Heading3"/>
        <w:rPr>
          <w:lang w:val="es-ES"/>
        </w:rPr>
      </w:pPr>
      <w:bookmarkStart w:id="21" w:name="_Toc238982310"/>
      <w:r w:rsidRPr="001522B4">
        <w:rPr>
          <w:lang w:val="es-ES"/>
        </w:rPr>
        <w:t>PREGUNTA</w:t>
      </w:r>
      <w:r w:rsidR="00394841" w:rsidRPr="001522B4">
        <w:rPr>
          <w:lang w:val="es-ES"/>
        </w:rPr>
        <w:t xml:space="preserve"> 19</w:t>
      </w:r>
      <w:bookmarkEnd w:id="21"/>
    </w:p>
    <w:p w:rsidR="00CF797B" w:rsidRPr="001522B4" w:rsidRDefault="00CF797B" w:rsidP="00CF797B">
      <w:pPr>
        <w:ind w:left="851"/>
        <w:rPr>
          <w:sz w:val="20"/>
          <w:szCs w:val="20"/>
          <w:lang w:val="es-ES"/>
        </w:rPr>
      </w:pPr>
      <w:r w:rsidRPr="001522B4">
        <w:rPr>
          <w:sz w:val="20"/>
          <w:szCs w:val="20"/>
          <w:lang w:val="es-ES"/>
        </w:rPr>
        <w:t xml:space="preserve">Cuando hay varios Estados Partes en la Convención que comparten un elemento del PCI en común, ¿pueden presentar conjuntamente la candidatura de </w:t>
      </w:r>
      <w:r w:rsidR="00F36BC4">
        <w:rPr>
          <w:sz w:val="20"/>
          <w:szCs w:val="20"/>
          <w:lang w:val="es-ES"/>
        </w:rPr>
        <w:t>e</w:t>
      </w:r>
      <w:r w:rsidRPr="001522B4">
        <w:rPr>
          <w:sz w:val="20"/>
          <w:szCs w:val="20"/>
          <w:lang w:val="es-ES"/>
        </w:rPr>
        <w:t>ste, en vez de presentar cada uno por separado su propia candidatura?</w:t>
      </w:r>
    </w:p>
    <w:p w:rsidR="00CF797B" w:rsidRPr="001522B4" w:rsidRDefault="00CF797B" w:rsidP="00CF797B">
      <w:pPr>
        <w:tabs>
          <w:tab w:val="clear" w:pos="567"/>
          <w:tab w:val="left" w:pos="709"/>
        </w:tabs>
        <w:ind w:left="1134" w:right="423" w:hanging="283"/>
        <w:rPr>
          <w:sz w:val="20"/>
          <w:szCs w:val="20"/>
          <w:lang w:val="es-ES"/>
        </w:rPr>
      </w:pPr>
      <w:r w:rsidRPr="001522B4">
        <w:rPr>
          <w:sz w:val="20"/>
          <w:szCs w:val="20"/>
          <w:lang w:val="es-ES"/>
        </w:rPr>
        <w:t>a) Sí, pueden presentar en común una candidatura, ya que en la Convención y en las DO se incita a los Estados a presentar candidaturas multinacionales para un mismo elemento transfronterizo del PCI.</w:t>
      </w:r>
    </w:p>
    <w:p w:rsidR="00CF797B" w:rsidRPr="001522B4" w:rsidRDefault="00CF797B" w:rsidP="00CF797B">
      <w:pPr>
        <w:tabs>
          <w:tab w:val="clear" w:pos="567"/>
          <w:tab w:val="left" w:pos="709"/>
        </w:tabs>
        <w:ind w:left="1134" w:right="423" w:hanging="283"/>
        <w:rPr>
          <w:sz w:val="20"/>
          <w:szCs w:val="20"/>
          <w:lang w:val="es-ES"/>
        </w:rPr>
      </w:pPr>
      <w:r w:rsidRPr="001522B4">
        <w:rPr>
          <w:sz w:val="20"/>
          <w:szCs w:val="20"/>
          <w:lang w:val="es-ES"/>
        </w:rPr>
        <w:t>b) No, no pueden presentar en común una candidatura, porque si un mismo elemento está presente en dos Estados diferentes lo que se debe hacer es encontrar un medio para diferenciarlo a fin de presentar dos candidaturas distintas.</w:t>
      </w:r>
    </w:p>
    <w:p w:rsidR="00CF797B" w:rsidRPr="001522B4" w:rsidRDefault="00CF797B" w:rsidP="00CF797B">
      <w:pPr>
        <w:tabs>
          <w:tab w:val="clear" w:pos="567"/>
          <w:tab w:val="left" w:pos="709"/>
        </w:tabs>
        <w:ind w:left="1134" w:right="423" w:hanging="283"/>
        <w:rPr>
          <w:sz w:val="20"/>
          <w:szCs w:val="20"/>
          <w:lang w:val="es-ES"/>
        </w:rPr>
      </w:pPr>
      <w:r w:rsidRPr="001522B4">
        <w:rPr>
          <w:sz w:val="20"/>
          <w:szCs w:val="20"/>
          <w:lang w:val="es-ES"/>
        </w:rPr>
        <w:t>c) No, no pueden presentar en común una candidatura, porque s</w:t>
      </w:r>
      <w:r w:rsidR="00F36BC4">
        <w:rPr>
          <w:sz w:val="20"/>
          <w:szCs w:val="20"/>
          <w:lang w:val="es-ES"/>
        </w:rPr>
        <w:t>o</w:t>
      </w:r>
      <w:r w:rsidRPr="001522B4">
        <w:rPr>
          <w:sz w:val="20"/>
          <w:szCs w:val="20"/>
          <w:lang w:val="es-ES"/>
        </w:rPr>
        <w:t>lo está habilitado para presentarla el Estado Parte en el que sea más antigua la práctica ininterrumpida del elemento del PCI en cuestión.</w:t>
      </w:r>
    </w:p>
    <w:p w:rsidR="00394841" w:rsidRPr="001522B4" w:rsidRDefault="004C6C18" w:rsidP="00394841">
      <w:pPr>
        <w:pStyle w:val="Heading3"/>
        <w:rPr>
          <w:lang w:val="es-ES"/>
        </w:rPr>
      </w:pPr>
      <w:bookmarkStart w:id="22" w:name="_Toc238982311"/>
      <w:r w:rsidRPr="001522B4">
        <w:rPr>
          <w:lang w:val="es-ES"/>
        </w:rPr>
        <w:t>PREGUNTA</w:t>
      </w:r>
      <w:r w:rsidR="00394841" w:rsidRPr="001522B4">
        <w:rPr>
          <w:lang w:val="es-ES"/>
        </w:rPr>
        <w:t xml:space="preserve"> 20</w:t>
      </w:r>
      <w:bookmarkEnd w:id="22"/>
    </w:p>
    <w:p w:rsidR="005A1CB9" w:rsidRPr="001522B4" w:rsidRDefault="005A1CB9" w:rsidP="005A1CB9">
      <w:pPr>
        <w:ind w:left="851"/>
        <w:rPr>
          <w:sz w:val="20"/>
          <w:szCs w:val="20"/>
          <w:lang w:val="es-ES"/>
        </w:rPr>
      </w:pPr>
      <w:bookmarkStart w:id="23" w:name="_Toc238982312"/>
      <w:r w:rsidRPr="001522B4">
        <w:rPr>
          <w:sz w:val="20"/>
          <w:szCs w:val="20"/>
          <w:lang w:val="es-ES"/>
        </w:rPr>
        <w:t>¿Se puede inscribir el PCI de comunidades de inmigrantes en las Listas de la Convención?</w:t>
      </w:r>
    </w:p>
    <w:p w:rsidR="005A1CB9" w:rsidRPr="001522B4" w:rsidRDefault="005A1CB9" w:rsidP="005A1CB9">
      <w:pPr>
        <w:tabs>
          <w:tab w:val="clear" w:pos="567"/>
          <w:tab w:val="left" w:pos="709"/>
        </w:tabs>
        <w:ind w:left="1134" w:right="423" w:hanging="283"/>
        <w:rPr>
          <w:sz w:val="20"/>
          <w:szCs w:val="20"/>
          <w:lang w:val="es-ES"/>
        </w:rPr>
      </w:pPr>
      <w:r w:rsidRPr="001522B4">
        <w:rPr>
          <w:sz w:val="20"/>
          <w:szCs w:val="20"/>
          <w:lang w:val="es-ES"/>
        </w:rPr>
        <w:t>a) Sí, se pueden inscribir en las Listas de la Convención elementos del PCI de las comunidades de inmigrantes presentes en un Estado determinado, siempre y cuando esos elementos se ajusten a los criterios establecidos en las DO.</w:t>
      </w:r>
    </w:p>
    <w:p w:rsidR="005A1CB9" w:rsidRPr="001522B4" w:rsidRDefault="005A1CB9" w:rsidP="005A1CB9">
      <w:pPr>
        <w:tabs>
          <w:tab w:val="clear" w:pos="567"/>
          <w:tab w:val="left" w:pos="709"/>
        </w:tabs>
        <w:ind w:left="1134" w:right="423" w:hanging="283"/>
        <w:rPr>
          <w:sz w:val="20"/>
          <w:szCs w:val="20"/>
          <w:lang w:val="es-ES"/>
        </w:rPr>
      </w:pPr>
      <w:r w:rsidRPr="001522B4">
        <w:rPr>
          <w:sz w:val="20"/>
          <w:szCs w:val="20"/>
          <w:lang w:val="es-ES"/>
        </w:rPr>
        <w:t>b) Sí, se pueden inscribir en las Listas de la Convención elementos del PCI de comunidades de inmigrantes, pero solamente si se solicita un permiso especial a los países de origen de esas comunidades.</w:t>
      </w:r>
    </w:p>
    <w:p w:rsidR="005A1CB9" w:rsidRPr="001522B4" w:rsidRDefault="005A1CB9" w:rsidP="005A1CB9">
      <w:pPr>
        <w:tabs>
          <w:tab w:val="clear" w:pos="567"/>
          <w:tab w:val="left" w:pos="709"/>
        </w:tabs>
        <w:ind w:left="1134" w:right="423" w:hanging="283"/>
        <w:rPr>
          <w:sz w:val="20"/>
          <w:szCs w:val="20"/>
          <w:lang w:val="es-ES"/>
        </w:rPr>
      </w:pPr>
      <w:r w:rsidRPr="001522B4">
        <w:rPr>
          <w:sz w:val="20"/>
          <w:szCs w:val="20"/>
          <w:lang w:val="es-ES"/>
        </w:rPr>
        <w:lastRenderedPageBreak/>
        <w:t>c) No, solamente se pueden inscribir en las Listas de la Convención los elementos que sean autóctonos de los Estados Partes y que revistan importancia para su identidad nacional o la de los grupos mayoritarios presentes en sus territorios.</w:t>
      </w:r>
    </w:p>
    <w:p w:rsidR="00394841" w:rsidRPr="001522B4" w:rsidRDefault="004C6C18" w:rsidP="00394841">
      <w:pPr>
        <w:pStyle w:val="Heading3"/>
        <w:rPr>
          <w:lang w:val="es-ES"/>
        </w:rPr>
      </w:pPr>
      <w:r w:rsidRPr="001522B4">
        <w:rPr>
          <w:lang w:val="es-ES"/>
        </w:rPr>
        <w:t>PREGUNTA</w:t>
      </w:r>
      <w:r w:rsidR="00394841" w:rsidRPr="001522B4">
        <w:rPr>
          <w:lang w:val="es-ES"/>
        </w:rPr>
        <w:t xml:space="preserve"> 21</w:t>
      </w:r>
      <w:bookmarkEnd w:id="23"/>
    </w:p>
    <w:p w:rsidR="005A1CB9" w:rsidRPr="001522B4" w:rsidRDefault="005A1CB9" w:rsidP="005A1CB9">
      <w:pPr>
        <w:ind w:left="851"/>
        <w:rPr>
          <w:sz w:val="20"/>
          <w:szCs w:val="20"/>
          <w:lang w:val="es-ES"/>
        </w:rPr>
      </w:pPr>
      <w:bookmarkStart w:id="24" w:name="_Toc238982313"/>
      <w:r w:rsidRPr="001522B4">
        <w:rPr>
          <w:sz w:val="20"/>
          <w:szCs w:val="20"/>
          <w:lang w:val="es-ES"/>
        </w:rPr>
        <w:t>¿La inscripción en las Listas de la Convención puede ser un medio para establecer un derecho de propiedad intelectual (DPI) sobre un elemento del PCI, en beneficio de las comunidades o grupos que lo practican?</w:t>
      </w:r>
    </w:p>
    <w:p w:rsidR="005A1CB9" w:rsidRPr="001522B4" w:rsidRDefault="005A1CB9" w:rsidP="005A1CB9">
      <w:pPr>
        <w:tabs>
          <w:tab w:val="clear" w:pos="567"/>
          <w:tab w:val="left" w:pos="709"/>
        </w:tabs>
        <w:ind w:left="1134" w:right="423" w:hanging="283"/>
        <w:rPr>
          <w:sz w:val="20"/>
          <w:szCs w:val="20"/>
          <w:lang w:val="es-ES"/>
        </w:rPr>
      </w:pPr>
      <w:r w:rsidRPr="001522B4">
        <w:rPr>
          <w:sz w:val="20"/>
          <w:szCs w:val="20"/>
          <w:lang w:val="es-ES"/>
        </w:rPr>
        <w:t>a) No, la inscripción de un elemento del PCI en una de las Listas de la Convención no puede constituir un medio para conferir un DPI sobre ese elemento.</w:t>
      </w:r>
    </w:p>
    <w:p w:rsidR="005A1CB9" w:rsidRPr="001522B4" w:rsidRDefault="005A1CB9" w:rsidP="005A1CB9">
      <w:pPr>
        <w:tabs>
          <w:tab w:val="clear" w:pos="567"/>
          <w:tab w:val="left" w:pos="709"/>
        </w:tabs>
        <w:ind w:left="1134" w:right="423" w:hanging="283"/>
        <w:rPr>
          <w:sz w:val="20"/>
          <w:szCs w:val="20"/>
          <w:lang w:val="es-ES"/>
        </w:rPr>
      </w:pPr>
      <w:r w:rsidRPr="001522B4">
        <w:rPr>
          <w:sz w:val="20"/>
          <w:szCs w:val="20"/>
          <w:lang w:val="es-ES"/>
        </w:rPr>
        <w:t>b) Sí, la inscripción en una de las Listas de la Convención confiere a las comunidades y grupos interesados el derecho automático a demandar por daños y perjuicios a toda persona ajena a ellos que practique su elemento del PCI.</w:t>
      </w:r>
    </w:p>
    <w:p w:rsidR="005A1CB9" w:rsidRPr="001522B4" w:rsidRDefault="005A1CB9" w:rsidP="005A1CB9">
      <w:pPr>
        <w:tabs>
          <w:tab w:val="clear" w:pos="567"/>
          <w:tab w:val="left" w:pos="709"/>
        </w:tabs>
        <w:ind w:left="1134" w:right="423" w:hanging="283"/>
        <w:rPr>
          <w:sz w:val="20"/>
          <w:szCs w:val="20"/>
          <w:lang w:val="es-ES"/>
        </w:rPr>
      </w:pPr>
      <w:r w:rsidRPr="001522B4">
        <w:rPr>
          <w:sz w:val="20"/>
          <w:szCs w:val="20"/>
          <w:lang w:val="es-ES"/>
        </w:rPr>
        <w:t>c) Sí, la inscripción en una de las Listas de la Convención confiere a las comunidades y grupos interesados un DPI sobre su elemento del PCI.</w:t>
      </w:r>
    </w:p>
    <w:p w:rsidR="00394841" w:rsidRPr="001522B4" w:rsidRDefault="004C6C18" w:rsidP="00394841">
      <w:pPr>
        <w:pStyle w:val="Heading3"/>
        <w:rPr>
          <w:lang w:val="es-ES"/>
        </w:rPr>
      </w:pPr>
      <w:r w:rsidRPr="001522B4">
        <w:rPr>
          <w:lang w:val="es-ES"/>
        </w:rPr>
        <w:t>PREGUNTA</w:t>
      </w:r>
      <w:r w:rsidR="00394841" w:rsidRPr="001522B4">
        <w:rPr>
          <w:lang w:val="es-ES"/>
        </w:rPr>
        <w:t xml:space="preserve"> 22</w:t>
      </w:r>
      <w:bookmarkEnd w:id="24"/>
    </w:p>
    <w:p w:rsidR="00C56119" w:rsidRPr="001522B4" w:rsidRDefault="00C56119" w:rsidP="00C56119">
      <w:pPr>
        <w:ind w:left="851"/>
        <w:rPr>
          <w:sz w:val="20"/>
          <w:szCs w:val="20"/>
          <w:lang w:val="es-ES"/>
        </w:rPr>
      </w:pPr>
      <w:r w:rsidRPr="001522B4">
        <w:rPr>
          <w:sz w:val="20"/>
          <w:szCs w:val="20"/>
          <w:lang w:val="es-ES"/>
        </w:rPr>
        <w:t xml:space="preserve">Antes de que se aprobara la Convención, </w:t>
      </w:r>
      <w:r w:rsidR="00261E2B">
        <w:rPr>
          <w:sz w:val="20"/>
          <w:szCs w:val="20"/>
          <w:lang w:val="es-ES"/>
        </w:rPr>
        <w:t xml:space="preserve">90 </w:t>
      </w:r>
      <w:r w:rsidRPr="001522B4">
        <w:rPr>
          <w:sz w:val="20"/>
          <w:szCs w:val="20"/>
          <w:lang w:val="es-ES"/>
        </w:rPr>
        <w:t>elementos del PCI habían sido ya proclamados por la UNESCO “Obras maestras del Patrimonio Oral e Inmaterial de la Humanidad”. ¿Qué ha sucedido con esos elementos después de la entrada en vigor de la Convención?</w:t>
      </w:r>
    </w:p>
    <w:p w:rsidR="00C56119" w:rsidRPr="001522B4" w:rsidRDefault="00C56119" w:rsidP="00C56119">
      <w:pPr>
        <w:snapToGrid/>
        <w:spacing w:before="0" w:after="200" w:line="276" w:lineRule="auto"/>
        <w:ind w:left="1134" w:right="423" w:hanging="283"/>
        <w:contextualSpacing/>
        <w:rPr>
          <w:rFonts w:eastAsia="Calibri"/>
          <w:snapToGrid/>
          <w:sz w:val="20"/>
          <w:szCs w:val="20"/>
          <w:lang w:val="es-ES" w:eastAsia="en-US"/>
        </w:rPr>
      </w:pPr>
      <w:r w:rsidRPr="001522B4">
        <w:rPr>
          <w:rFonts w:eastAsia="Calibri"/>
          <w:snapToGrid/>
          <w:sz w:val="20"/>
          <w:szCs w:val="20"/>
          <w:lang w:val="es-ES" w:eastAsia="en-US"/>
        </w:rPr>
        <w:t xml:space="preserve">a) La Lista de </w:t>
      </w:r>
      <w:r w:rsidRPr="001522B4">
        <w:rPr>
          <w:sz w:val="20"/>
          <w:szCs w:val="20"/>
          <w:lang w:val="es-ES"/>
        </w:rPr>
        <w:t>Obras Maestras del Patrimonio Oral e Inmaterial de la Humanidad</w:t>
      </w:r>
      <w:r w:rsidRPr="001522B4">
        <w:rPr>
          <w:rFonts w:eastAsia="Calibri"/>
          <w:snapToGrid/>
          <w:sz w:val="20"/>
          <w:szCs w:val="20"/>
          <w:lang w:val="es-ES" w:eastAsia="en-US"/>
        </w:rPr>
        <w:t xml:space="preserve"> no se vio afectada por la entrada en vigor de la Convención y la UNESCO se sigue dedicando a su promoción. </w:t>
      </w:r>
    </w:p>
    <w:p w:rsidR="00C56119" w:rsidRPr="001522B4" w:rsidRDefault="00C56119" w:rsidP="00C56119">
      <w:pPr>
        <w:snapToGrid/>
        <w:spacing w:before="0" w:after="200" w:line="276" w:lineRule="auto"/>
        <w:ind w:left="1134" w:right="423" w:hanging="283"/>
        <w:contextualSpacing/>
        <w:rPr>
          <w:rFonts w:eastAsia="Calibri"/>
          <w:snapToGrid/>
          <w:sz w:val="20"/>
          <w:szCs w:val="20"/>
          <w:lang w:val="es-ES" w:eastAsia="en-US"/>
        </w:rPr>
      </w:pPr>
      <w:r w:rsidRPr="001522B4">
        <w:rPr>
          <w:rFonts w:eastAsia="Calibri"/>
          <w:snapToGrid/>
          <w:sz w:val="20"/>
          <w:szCs w:val="20"/>
          <w:lang w:val="es-ES" w:eastAsia="en-US"/>
        </w:rPr>
        <w:t xml:space="preserve">b) Las Obras Maestras </w:t>
      </w:r>
      <w:r w:rsidRPr="001522B4">
        <w:rPr>
          <w:sz w:val="20"/>
          <w:szCs w:val="20"/>
          <w:lang w:val="es-ES"/>
        </w:rPr>
        <w:t>del Patrimonio Oral e Inmaterial de la Humanidad</w:t>
      </w:r>
      <w:r w:rsidRPr="001522B4">
        <w:rPr>
          <w:rFonts w:eastAsia="Calibri"/>
          <w:snapToGrid/>
          <w:sz w:val="20"/>
          <w:szCs w:val="20"/>
          <w:lang w:val="es-ES" w:eastAsia="en-US"/>
        </w:rPr>
        <w:t xml:space="preserve"> se inscribieron en una Lista aparte de la Convención en 2008 y se siguen denominando todavía “Obras Maestras”.</w:t>
      </w:r>
    </w:p>
    <w:p w:rsidR="003D245B" w:rsidRPr="001522B4" w:rsidRDefault="00C56119" w:rsidP="00C56119">
      <w:pPr>
        <w:ind w:left="1134" w:right="423" w:hanging="283"/>
        <w:rPr>
          <w:snapToGrid/>
          <w:sz w:val="20"/>
          <w:szCs w:val="20"/>
          <w:lang w:val="es-ES" w:eastAsia="en-US"/>
        </w:rPr>
      </w:pPr>
      <w:r w:rsidRPr="001522B4">
        <w:rPr>
          <w:snapToGrid/>
          <w:sz w:val="20"/>
          <w:szCs w:val="20"/>
          <w:lang w:val="es-ES" w:eastAsia="en-US"/>
        </w:rPr>
        <w:t xml:space="preserve">c) Los elementos proclamados Obras Maestras </w:t>
      </w:r>
      <w:r w:rsidRPr="001522B4">
        <w:rPr>
          <w:sz w:val="20"/>
          <w:szCs w:val="20"/>
          <w:lang w:val="es-ES"/>
        </w:rPr>
        <w:t xml:space="preserve">del Patrimonio Oral e Inmaterial de la Humanidad se incorporaron a una de las </w:t>
      </w:r>
      <w:r w:rsidRPr="001522B4">
        <w:rPr>
          <w:snapToGrid/>
          <w:sz w:val="20"/>
          <w:szCs w:val="20"/>
          <w:lang w:val="es-ES" w:eastAsia="en-US"/>
        </w:rPr>
        <w:t>Listas de la Convención en 2008 y no se les sigue denominando “Obras</w:t>
      </w:r>
      <w:bookmarkStart w:id="25" w:name="_GoBack"/>
      <w:bookmarkEnd w:id="25"/>
      <w:r w:rsidRPr="001522B4">
        <w:rPr>
          <w:snapToGrid/>
          <w:sz w:val="20"/>
          <w:szCs w:val="20"/>
          <w:lang w:val="es-ES" w:eastAsia="en-US"/>
        </w:rPr>
        <w:t xml:space="preserve"> Maestras”.</w:t>
      </w:r>
    </w:p>
    <w:sectPr w:rsidR="003D245B" w:rsidRPr="001522B4" w:rsidSect="009B3A94">
      <w:headerReference w:type="even" r:id="rId10"/>
      <w:headerReference w:type="default" r:id="rId11"/>
      <w:footerReference w:type="even" r:id="rId12"/>
      <w:footerReference w:type="default" r:id="rId13"/>
      <w:headerReference w:type="first" r:id="rId14"/>
      <w:footerReference w:type="first" r:id="rId15"/>
      <w:footnotePr>
        <w:numStart w:val="2"/>
      </w:footnotePr>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24" w:rsidRDefault="00BE7524" w:rsidP="000A699C">
      <w:pPr>
        <w:spacing w:before="0" w:after="0"/>
      </w:pPr>
      <w:r>
        <w:separator/>
      </w:r>
    </w:p>
  </w:endnote>
  <w:endnote w:type="continuationSeparator" w:id="0">
    <w:p w:rsidR="00BE7524" w:rsidRDefault="00BE7524"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altName w:val="Tempus Sans ITC"/>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5" w:rsidRDefault="0006262B" w:rsidP="004936EF">
    <w:pPr>
      <w:pStyle w:val="Footer"/>
    </w:pPr>
    <w:r w:rsidRPr="006021AD">
      <w:rPr>
        <w:noProof/>
        <w:sz w:val="22"/>
        <w:lang w:eastAsia="ja-JP"/>
      </w:rPr>
      <w:drawing>
        <wp:anchor distT="0" distB="0" distL="114300" distR="114300" simplePos="0" relativeHeight="251661312" behindDoc="0" locked="0" layoutInCell="1" allowOverlap="1" wp14:anchorId="5ED6BAB0" wp14:editId="6EC4E71F">
          <wp:simplePos x="0" y="0"/>
          <wp:positionH relativeFrom="column">
            <wp:posOffset>2533650</wp:posOffset>
          </wp:positionH>
          <wp:positionV relativeFrom="paragraph">
            <wp:posOffset>8890</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16FEC">
      <w:rPr>
        <w:noProof/>
        <w:lang w:val="fr-FR" w:eastAsia="ja-JP"/>
      </w:rPr>
      <w:drawing>
        <wp:anchor distT="0" distB="0" distL="114300" distR="114300" simplePos="0" relativeHeight="251654144" behindDoc="0" locked="0" layoutInCell="1" allowOverlap="1" wp14:anchorId="7148620C" wp14:editId="00E6497E">
          <wp:simplePos x="0" y="0"/>
          <wp:positionH relativeFrom="column">
            <wp:posOffset>-3810</wp:posOffset>
          </wp:positionH>
          <wp:positionV relativeFrom="paragraph">
            <wp:posOffset>-226149</wp:posOffset>
          </wp:positionV>
          <wp:extent cx="827477"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77" cy="600075"/>
                  </a:xfrm>
                  <a:prstGeom prst="rect">
                    <a:avLst/>
                  </a:prstGeom>
                </pic:spPr>
              </pic:pic>
            </a:graphicData>
          </a:graphic>
          <wp14:sizeRelH relativeFrom="page">
            <wp14:pctWidth>0</wp14:pctWidth>
          </wp14:sizeRelH>
          <wp14:sizeRelV relativeFrom="page">
            <wp14:pctHeight>0</wp14:pctHeight>
          </wp14:sizeRelV>
        </wp:anchor>
      </w:drawing>
    </w:r>
    <w:r w:rsidR="00044005">
      <w:tab/>
    </w:r>
    <w:r w:rsidR="00044005">
      <w:tab/>
      <w:t>U01</w:t>
    </w:r>
    <w:r w:rsidR="003D245B">
      <w:t>4</w:t>
    </w:r>
    <w:r w:rsidR="00FD7F11">
      <w:t>-v1.</w:t>
    </w:r>
    <w:r w:rsidR="004D6862">
      <w:t>2</w:t>
    </w:r>
    <w:r w:rsidR="00044005">
      <w:t>-HO-E</w:t>
    </w:r>
    <w:r w:rsidR="003A139B">
      <w:t>S</w:t>
    </w:r>
    <w:r w:rsidR="00044005" w:rsidDel="00F22FFD">
      <w:rPr>
        <w:rStyle w:val="PageNumber"/>
      </w:rPr>
      <w:t xml:space="preserve"> </w:t>
    </w:r>
  </w:p>
  <w:p w:rsidR="00044005" w:rsidRDefault="00044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5" w:rsidRPr="007D60D5" w:rsidRDefault="0006262B">
    <w:pPr>
      <w:pStyle w:val="Footer"/>
    </w:pPr>
    <w:r w:rsidRPr="006021AD">
      <w:rPr>
        <w:noProof/>
        <w:sz w:val="22"/>
        <w:lang w:eastAsia="ja-JP"/>
      </w:rPr>
      <w:drawing>
        <wp:anchor distT="0" distB="0" distL="114300" distR="114300" simplePos="0" relativeHeight="251662336" behindDoc="0" locked="0" layoutInCell="1" allowOverlap="1" wp14:anchorId="5ED6BAB0" wp14:editId="6EC4E71F">
          <wp:simplePos x="0" y="0"/>
          <wp:positionH relativeFrom="column">
            <wp:posOffset>2533650</wp:posOffset>
          </wp:positionH>
          <wp:positionV relativeFrom="paragraph">
            <wp:posOffset>8890</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16FEC">
      <w:rPr>
        <w:noProof/>
        <w:lang w:val="fr-FR" w:eastAsia="ja-JP"/>
      </w:rPr>
      <w:drawing>
        <wp:anchor distT="0" distB="0" distL="114300" distR="114300" simplePos="0" relativeHeight="251780096" behindDoc="0" locked="0" layoutInCell="1" allowOverlap="1" wp14:anchorId="3AF49AF8" wp14:editId="54E9E393">
          <wp:simplePos x="0" y="0"/>
          <wp:positionH relativeFrom="column">
            <wp:posOffset>4947920</wp:posOffset>
          </wp:positionH>
          <wp:positionV relativeFrom="paragraph">
            <wp:posOffset>-359499</wp:posOffset>
          </wp:positionV>
          <wp:extent cx="827405" cy="600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044005">
      <w:t>U01</w:t>
    </w:r>
    <w:r w:rsidR="00643E31">
      <w:t>4</w:t>
    </w:r>
    <w:r w:rsidR="00FD7F11">
      <w:t>-v1.</w:t>
    </w:r>
    <w:r w:rsidR="004D6862">
      <w:t>2</w:t>
    </w:r>
    <w:r w:rsidR="00044005">
      <w:t>-HO-E</w:t>
    </w:r>
    <w:r w:rsidR="00DB7A52">
      <w:t>S</w:t>
    </w:r>
    <w:r w:rsidR="00044005">
      <w:tab/>
    </w:r>
    <w:r w:rsidR="0004400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5" w:rsidRPr="003D245B" w:rsidRDefault="0006262B" w:rsidP="003D245B">
    <w:pPr>
      <w:pStyle w:val="Footer"/>
    </w:pPr>
    <w:r w:rsidRPr="006021AD">
      <w:rPr>
        <w:noProof/>
        <w:sz w:val="22"/>
        <w:lang w:eastAsia="ja-JP"/>
      </w:rPr>
      <w:drawing>
        <wp:anchor distT="0" distB="0" distL="114300" distR="114300" simplePos="0" relativeHeight="251658240" behindDoc="0" locked="0" layoutInCell="1" allowOverlap="1" wp14:anchorId="5ED6BAB0" wp14:editId="6EC4E71F">
          <wp:simplePos x="0" y="0"/>
          <wp:positionH relativeFrom="column">
            <wp:posOffset>2533650</wp:posOffset>
          </wp:positionH>
          <wp:positionV relativeFrom="paragraph">
            <wp:posOffset>8890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16FEC">
      <w:rPr>
        <w:noProof/>
        <w:lang w:val="fr-FR" w:eastAsia="ja-JP"/>
      </w:rPr>
      <w:drawing>
        <wp:anchor distT="0" distB="0" distL="114300" distR="114300" simplePos="0" relativeHeight="251776000" behindDoc="0" locked="0" layoutInCell="1" allowOverlap="1" wp14:anchorId="377E627B" wp14:editId="0694E945">
          <wp:simplePos x="0" y="0"/>
          <wp:positionH relativeFrom="column">
            <wp:posOffset>4947920</wp:posOffset>
          </wp:positionH>
          <wp:positionV relativeFrom="paragraph">
            <wp:posOffset>-340449</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FD7F11">
      <w:t>U014-v1.</w:t>
    </w:r>
    <w:r w:rsidR="00CE4536">
      <w:t>2</w:t>
    </w:r>
    <w:r w:rsidR="00643E31">
      <w:t>-HO-E</w:t>
    </w:r>
    <w:r w:rsidR="003A139B">
      <w:t>S</w:t>
    </w:r>
    <w:r w:rsidR="00643E31">
      <w:tab/>
    </w:r>
    <w:r w:rsidR="00643E31">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24" w:rsidRDefault="00BE7524" w:rsidP="000A699C">
      <w:pPr>
        <w:spacing w:before="0" w:after="0"/>
      </w:pPr>
      <w:r>
        <w:separator/>
      </w:r>
    </w:p>
  </w:footnote>
  <w:footnote w:type="continuationSeparator" w:id="0">
    <w:p w:rsidR="00BE7524" w:rsidRDefault="00BE7524" w:rsidP="000A69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5" w:rsidRDefault="008A5D31">
    <w:pPr>
      <w:pStyle w:val="Header"/>
    </w:pPr>
    <w:r>
      <w:rPr>
        <w:rStyle w:val="PageNumber"/>
      </w:rPr>
      <w:fldChar w:fldCharType="begin"/>
    </w:r>
    <w:r w:rsidR="00044005">
      <w:rPr>
        <w:rStyle w:val="PageNumber"/>
      </w:rPr>
      <w:instrText xml:space="preserve"> PAGE </w:instrText>
    </w:r>
    <w:r>
      <w:rPr>
        <w:rStyle w:val="PageNumber"/>
      </w:rPr>
      <w:fldChar w:fldCharType="separate"/>
    </w:r>
    <w:r w:rsidR="0006262B">
      <w:rPr>
        <w:rStyle w:val="PageNumber"/>
        <w:noProof/>
      </w:rPr>
      <w:t>6</w:t>
    </w:r>
    <w:r>
      <w:rPr>
        <w:rStyle w:val="PageNumber"/>
      </w:rPr>
      <w:fldChar w:fldCharType="end"/>
    </w:r>
    <w:r w:rsidR="00044005">
      <w:rPr>
        <w:rStyle w:val="PageNumber"/>
      </w:rPr>
      <w:tab/>
    </w:r>
    <w:r w:rsidR="00643E31" w:rsidRPr="00DB7A52">
      <w:rPr>
        <w:rStyle w:val="PageNumber"/>
      </w:rPr>
      <w:t>Uni</w:t>
    </w:r>
    <w:r w:rsidR="003A139B" w:rsidRPr="00DB7A52">
      <w:rPr>
        <w:rStyle w:val="PageNumber"/>
      </w:rPr>
      <w:t>dad</w:t>
    </w:r>
    <w:r w:rsidR="00643E31" w:rsidRPr="00DB7A52">
      <w:rPr>
        <w:rStyle w:val="PageNumber"/>
      </w:rPr>
      <w:t xml:space="preserve"> 14: </w:t>
    </w:r>
    <w:r w:rsidR="003A139B" w:rsidRPr="00DB7A52">
      <w:rPr>
        <w:rStyle w:val="PageNumber"/>
      </w:rPr>
      <w:t>Sesión de conclusiones</w:t>
    </w:r>
    <w:r w:rsidR="00044005">
      <w:tab/>
    </w:r>
    <w:r w:rsidR="003A139B">
      <w:t>Follleto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5" w:rsidRPr="004A4AD6" w:rsidRDefault="00DB7A52" w:rsidP="00D25BBB">
    <w:pPr>
      <w:pStyle w:val="Header"/>
    </w:pPr>
    <w:r>
      <w:t>Folleto</w:t>
    </w:r>
    <w:r w:rsidR="00044005">
      <w:tab/>
    </w:r>
    <w:r w:rsidR="001138DB" w:rsidRPr="00DB7A52">
      <w:rPr>
        <w:rStyle w:val="PageNumber"/>
      </w:rPr>
      <w:t>Uni</w:t>
    </w:r>
    <w:r w:rsidR="003A139B" w:rsidRPr="00DB7A52">
      <w:rPr>
        <w:rStyle w:val="PageNumber"/>
      </w:rPr>
      <w:t>dad</w:t>
    </w:r>
    <w:r w:rsidR="001138DB" w:rsidRPr="00DB7A52">
      <w:rPr>
        <w:rStyle w:val="PageNumber"/>
      </w:rPr>
      <w:t xml:space="preserve"> 14: </w:t>
    </w:r>
    <w:r w:rsidR="003A139B" w:rsidRPr="00DB7A52">
      <w:rPr>
        <w:rStyle w:val="PageNumber"/>
      </w:rPr>
      <w:t>Sesión de conclusiones</w:t>
    </w:r>
    <w:r w:rsidR="001138DB" w:rsidDel="006831F2">
      <w:rPr>
        <w:rStyle w:val="PageNumber"/>
      </w:rPr>
      <w:t xml:space="preserve"> </w:t>
    </w:r>
    <w:r w:rsidR="00044005">
      <w:tab/>
    </w:r>
    <w:r w:rsidR="008A5D31">
      <w:rPr>
        <w:rStyle w:val="PageNumber"/>
      </w:rPr>
      <w:fldChar w:fldCharType="begin"/>
    </w:r>
    <w:r w:rsidR="00044005">
      <w:rPr>
        <w:rStyle w:val="PageNumber"/>
      </w:rPr>
      <w:instrText xml:space="preserve"> PAGE </w:instrText>
    </w:r>
    <w:r w:rsidR="008A5D31">
      <w:rPr>
        <w:rStyle w:val="PageNumber"/>
      </w:rPr>
      <w:fldChar w:fldCharType="separate"/>
    </w:r>
    <w:r w:rsidR="0006262B">
      <w:rPr>
        <w:rStyle w:val="PageNumber"/>
        <w:noProof/>
      </w:rPr>
      <w:t>7</w:t>
    </w:r>
    <w:r w:rsidR="008A5D31">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5" w:rsidRPr="003D245B" w:rsidRDefault="003D245B">
    <w:pPr>
      <w:pStyle w:val="Header"/>
    </w:pPr>
    <w:r>
      <w:tab/>
    </w:r>
    <w:r w:rsidR="003A139B">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5256AD"/>
    <w:multiLevelType w:val="hybridMultilevel"/>
    <w:tmpl w:val="DA629C82"/>
    <w:lvl w:ilvl="0" w:tplc="AAFC0BEE">
      <w:start w:val="1"/>
      <w:numFmt w:val="lowerLetter"/>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B67044"/>
    <w:multiLevelType w:val="hybridMultilevel"/>
    <w:tmpl w:val="AF4C68EA"/>
    <w:lvl w:ilvl="0" w:tplc="5926A0D0">
      <w:start w:val="1"/>
      <w:numFmt w:val="lowerLetter"/>
      <w:lvlText w:val="%1)"/>
      <w:lvlJc w:val="left"/>
      <w:pPr>
        <w:ind w:left="927" w:hanging="360"/>
      </w:pPr>
      <w:rPr>
        <w:rFonts w:ascii="Arial" w:eastAsia="SimSun" w:hAnsi="Arial" w:cs="Arial"/>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23EA0782"/>
    <w:multiLevelType w:val="hybridMultilevel"/>
    <w:tmpl w:val="FC9A46D2"/>
    <w:lvl w:ilvl="0" w:tplc="3B929A68">
      <w:start w:val="1"/>
      <w:numFmt w:val="low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7" w15:restartNumberingAfterBreak="0">
    <w:nsid w:val="246C0F31"/>
    <w:multiLevelType w:val="hybridMultilevel"/>
    <w:tmpl w:val="514087CA"/>
    <w:lvl w:ilvl="0" w:tplc="B4664DBE">
      <w:start w:val="1"/>
      <w:numFmt w:val="lowerLetter"/>
      <w:lvlText w:val="%1)"/>
      <w:lvlJc w:val="left"/>
      <w:pPr>
        <w:ind w:left="502" w:hanging="360"/>
      </w:pPr>
      <w:rPr>
        <w:rFonts w:ascii="Arial" w:eastAsia="SimSun"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280E4FFA"/>
    <w:multiLevelType w:val="hybridMultilevel"/>
    <w:tmpl w:val="F7B8F66A"/>
    <w:lvl w:ilvl="0" w:tplc="79D20C66">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30FA2FB9"/>
    <w:multiLevelType w:val="hybridMultilevel"/>
    <w:tmpl w:val="A34627E8"/>
    <w:lvl w:ilvl="0" w:tplc="52D65882">
      <w:start w:val="1"/>
      <w:numFmt w:val="lowerLetter"/>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201FE1"/>
    <w:multiLevelType w:val="hybridMultilevel"/>
    <w:tmpl w:val="7D524E0C"/>
    <w:lvl w:ilvl="0" w:tplc="14BCB15A">
      <w:start w:val="1"/>
      <w:numFmt w:val="low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2"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3" w15:restartNumberingAfterBreak="0">
    <w:nsid w:val="3E8A6391"/>
    <w:multiLevelType w:val="hybridMultilevel"/>
    <w:tmpl w:val="C30C402C"/>
    <w:lvl w:ilvl="0" w:tplc="46B644A2">
      <w:start w:val="1"/>
      <w:numFmt w:val="lowerLetter"/>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E21AD2"/>
    <w:multiLevelType w:val="hybridMultilevel"/>
    <w:tmpl w:val="C610D6BA"/>
    <w:lvl w:ilvl="0" w:tplc="D2C0AF04">
      <w:start w:val="2"/>
      <w:numFmt w:val="lowerLetter"/>
      <w:lvlText w:val="%1)"/>
      <w:lvlJc w:val="left"/>
      <w:pPr>
        <w:ind w:left="7306" w:hanging="360"/>
      </w:pPr>
      <w:rPr>
        <w:rFonts w:hint="default"/>
      </w:rPr>
    </w:lvl>
    <w:lvl w:ilvl="1" w:tplc="040C0019" w:tentative="1">
      <w:start w:val="1"/>
      <w:numFmt w:val="lowerLetter"/>
      <w:lvlText w:val="%2."/>
      <w:lvlJc w:val="left"/>
      <w:pPr>
        <w:ind w:left="8026" w:hanging="360"/>
      </w:pPr>
    </w:lvl>
    <w:lvl w:ilvl="2" w:tplc="040C001B" w:tentative="1">
      <w:start w:val="1"/>
      <w:numFmt w:val="lowerRoman"/>
      <w:lvlText w:val="%3."/>
      <w:lvlJc w:val="right"/>
      <w:pPr>
        <w:ind w:left="8746" w:hanging="180"/>
      </w:pPr>
    </w:lvl>
    <w:lvl w:ilvl="3" w:tplc="040C000F" w:tentative="1">
      <w:start w:val="1"/>
      <w:numFmt w:val="decimal"/>
      <w:lvlText w:val="%4."/>
      <w:lvlJc w:val="left"/>
      <w:pPr>
        <w:ind w:left="9466" w:hanging="360"/>
      </w:pPr>
    </w:lvl>
    <w:lvl w:ilvl="4" w:tplc="040C0019" w:tentative="1">
      <w:start w:val="1"/>
      <w:numFmt w:val="lowerLetter"/>
      <w:lvlText w:val="%5."/>
      <w:lvlJc w:val="left"/>
      <w:pPr>
        <w:ind w:left="10186" w:hanging="360"/>
      </w:pPr>
    </w:lvl>
    <w:lvl w:ilvl="5" w:tplc="040C001B" w:tentative="1">
      <w:start w:val="1"/>
      <w:numFmt w:val="lowerRoman"/>
      <w:lvlText w:val="%6."/>
      <w:lvlJc w:val="right"/>
      <w:pPr>
        <w:ind w:left="10906" w:hanging="180"/>
      </w:pPr>
    </w:lvl>
    <w:lvl w:ilvl="6" w:tplc="040C000F" w:tentative="1">
      <w:start w:val="1"/>
      <w:numFmt w:val="decimal"/>
      <w:lvlText w:val="%7."/>
      <w:lvlJc w:val="left"/>
      <w:pPr>
        <w:ind w:left="11626" w:hanging="360"/>
      </w:pPr>
    </w:lvl>
    <w:lvl w:ilvl="7" w:tplc="040C0019" w:tentative="1">
      <w:start w:val="1"/>
      <w:numFmt w:val="lowerLetter"/>
      <w:lvlText w:val="%8."/>
      <w:lvlJc w:val="left"/>
      <w:pPr>
        <w:ind w:left="12346" w:hanging="360"/>
      </w:pPr>
    </w:lvl>
    <w:lvl w:ilvl="8" w:tplc="040C001B" w:tentative="1">
      <w:start w:val="1"/>
      <w:numFmt w:val="lowerRoman"/>
      <w:lvlText w:val="%9."/>
      <w:lvlJc w:val="right"/>
      <w:pPr>
        <w:ind w:left="13066" w:hanging="180"/>
      </w:pPr>
    </w:lvl>
  </w:abstractNum>
  <w:abstractNum w:abstractNumId="15"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19" w15:restartNumberingAfterBreak="0">
    <w:nsid w:val="666C08C1"/>
    <w:multiLevelType w:val="hybridMultilevel"/>
    <w:tmpl w:val="6A1C4D0C"/>
    <w:lvl w:ilvl="0" w:tplc="4C1C3746">
      <w:start w:val="1"/>
      <w:numFmt w:val="lowerLetter"/>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24" w15:restartNumberingAfterBreak="0">
    <w:nsid w:val="7DF72FF5"/>
    <w:multiLevelType w:val="hybridMultilevel"/>
    <w:tmpl w:val="8C9A7B64"/>
    <w:lvl w:ilvl="0" w:tplc="11F2BA16">
      <w:start w:val="1"/>
      <w:numFmt w:val="lowerLetter"/>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7A4389"/>
    <w:multiLevelType w:val="hybridMultilevel"/>
    <w:tmpl w:val="6C7A0598"/>
    <w:lvl w:ilvl="0" w:tplc="1B48E0DE">
      <w:start w:val="1"/>
      <w:numFmt w:val="lowerLetter"/>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3"/>
  </w:num>
  <w:num w:numId="3">
    <w:abstractNumId w:val="3"/>
  </w:num>
  <w:num w:numId="4">
    <w:abstractNumId w:val="18"/>
  </w:num>
  <w:num w:numId="5">
    <w:abstractNumId w:val="12"/>
  </w:num>
  <w:num w:numId="6">
    <w:abstractNumId w:val="15"/>
  </w:num>
  <w:num w:numId="7">
    <w:abstractNumId w:val="21"/>
  </w:num>
  <w:num w:numId="8">
    <w:abstractNumId w:val="16"/>
  </w:num>
  <w:num w:numId="9">
    <w:abstractNumId w:val="22"/>
  </w:num>
  <w:num w:numId="10">
    <w:abstractNumId w:val="20"/>
  </w:num>
  <w:num w:numId="11">
    <w:abstractNumId w:val="10"/>
  </w:num>
  <w:num w:numId="12">
    <w:abstractNumId w:val="2"/>
  </w:num>
  <w:num w:numId="13">
    <w:abstractNumId w:val="0"/>
  </w:num>
  <w:num w:numId="14">
    <w:abstractNumId w:val="6"/>
  </w:num>
  <w:num w:numId="15">
    <w:abstractNumId w:val="14"/>
  </w:num>
  <w:num w:numId="16">
    <w:abstractNumId w:val="11"/>
  </w:num>
  <w:num w:numId="17">
    <w:abstractNumId w:val="4"/>
  </w:num>
  <w:num w:numId="18">
    <w:abstractNumId w:val="5"/>
  </w:num>
  <w:num w:numId="19">
    <w:abstractNumId w:val="24"/>
  </w:num>
  <w:num w:numId="20">
    <w:abstractNumId w:val="13"/>
  </w:num>
  <w:num w:numId="21">
    <w:abstractNumId w:val="9"/>
  </w:num>
  <w:num w:numId="22">
    <w:abstractNumId w:val="25"/>
  </w:num>
  <w:num w:numId="23">
    <w:abstractNumId w:val="19"/>
  </w:num>
  <w:num w:numId="24">
    <w:abstractNumId w:val="7"/>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340"/>
  <w:hyphenationZone w:val="425"/>
  <w:evenAndOddHeaders/>
  <w:drawingGridHorizontalSpacing w:val="110"/>
  <w:displayHorizontalDrawingGridEvery w:val="2"/>
  <w:characterSpacingControl w:val="doNotCompress"/>
  <w:hdrShapeDefaults>
    <o:shapedefaults v:ext="edit" spidmax="6145"/>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262B"/>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43C"/>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5A0"/>
    <w:rsid w:val="000F4732"/>
    <w:rsid w:val="000F4CAD"/>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8DB"/>
    <w:rsid w:val="00113BF5"/>
    <w:rsid w:val="00113EFD"/>
    <w:rsid w:val="00113F4F"/>
    <w:rsid w:val="00114835"/>
    <w:rsid w:val="00114C3C"/>
    <w:rsid w:val="00115A9A"/>
    <w:rsid w:val="001165B3"/>
    <w:rsid w:val="00116750"/>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2B4"/>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2D98"/>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2B"/>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23E"/>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6E9E"/>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6FEC"/>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4"/>
    <w:rsid w:val="0032499A"/>
    <w:rsid w:val="003249C3"/>
    <w:rsid w:val="0032539B"/>
    <w:rsid w:val="003256E5"/>
    <w:rsid w:val="003257ED"/>
    <w:rsid w:val="003259E5"/>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39B"/>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45B"/>
    <w:rsid w:val="003D2632"/>
    <w:rsid w:val="003D2680"/>
    <w:rsid w:val="003D29A0"/>
    <w:rsid w:val="003D2C58"/>
    <w:rsid w:val="003D3180"/>
    <w:rsid w:val="003D3214"/>
    <w:rsid w:val="003D33C9"/>
    <w:rsid w:val="003D3446"/>
    <w:rsid w:val="003D3879"/>
    <w:rsid w:val="003D4154"/>
    <w:rsid w:val="003D4A32"/>
    <w:rsid w:val="003D4B10"/>
    <w:rsid w:val="003D4BFB"/>
    <w:rsid w:val="003D4C55"/>
    <w:rsid w:val="003D50C7"/>
    <w:rsid w:val="003D5459"/>
    <w:rsid w:val="003D5783"/>
    <w:rsid w:val="003D595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026"/>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5C5E"/>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1F5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6C18"/>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17"/>
    <w:rsid w:val="004D2FD3"/>
    <w:rsid w:val="004D34EC"/>
    <w:rsid w:val="004D3614"/>
    <w:rsid w:val="004D3759"/>
    <w:rsid w:val="004D45CF"/>
    <w:rsid w:val="004D45F1"/>
    <w:rsid w:val="004D5404"/>
    <w:rsid w:val="004D5C1A"/>
    <w:rsid w:val="004D5D8C"/>
    <w:rsid w:val="004D6305"/>
    <w:rsid w:val="004D6464"/>
    <w:rsid w:val="004D6862"/>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0A7"/>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A1"/>
    <w:rsid w:val="005375FD"/>
    <w:rsid w:val="0053773F"/>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4FE6"/>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CB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68A"/>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3E0C"/>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799"/>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3E31"/>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31E"/>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295D"/>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144"/>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8E0"/>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49F5"/>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71E9"/>
    <w:rsid w:val="007D7566"/>
    <w:rsid w:val="007D7A40"/>
    <w:rsid w:val="007D7A77"/>
    <w:rsid w:val="007D7F0C"/>
    <w:rsid w:val="007E00AA"/>
    <w:rsid w:val="007E0BBE"/>
    <w:rsid w:val="007E0C78"/>
    <w:rsid w:val="007E11AF"/>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2A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4E1F"/>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31"/>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BEB"/>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BC4"/>
    <w:rsid w:val="008C4DF2"/>
    <w:rsid w:val="008C4F88"/>
    <w:rsid w:val="008C5235"/>
    <w:rsid w:val="008C5865"/>
    <w:rsid w:val="008C595C"/>
    <w:rsid w:val="008C5BAD"/>
    <w:rsid w:val="008C63CD"/>
    <w:rsid w:val="008C65A8"/>
    <w:rsid w:val="008C6CFE"/>
    <w:rsid w:val="008C6F60"/>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AA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995"/>
    <w:rsid w:val="00913A9B"/>
    <w:rsid w:val="00913AE9"/>
    <w:rsid w:val="00913BA9"/>
    <w:rsid w:val="00913C02"/>
    <w:rsid w:val="009145BD"/>
    <w:rsid w:val="009149B9"/>
    <w:rsid w:val="00914E2F"/>
    <w:rsid w:val="00915092"/>
    <w:rsid w:val="009152BE"/>
    <w:rsid w:val="0091558F"/>
    <w:rsid w:val="00915CD4"/>
    <w:rsid w:val="009164CF"/>
    <w:rsid w:val="009169FE"/>
    <w:rsid w:val="00916B9C"/>
    <w:rsid w:val="00916EA9"/>
    <w:rsid w:val="00917054"/>
    <w:rsid w:val="009172C7"/>
    <w:rsid w:val="00917A31"/>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A84"/>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3DBD"/>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5C46"/>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1CB9"/>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C4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3F8"/>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70"/>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495E"/>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AAB"/>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84B"/>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940"/>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D7C"/>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66C"/>
    <w:rsid w:val="00AF47AE"/>
    <w:rsid w:val="00AF4AE4"/>
    <w:rsid w:val="00AF4E10"/>
    <w:rsid w:val="00AF5EDF"/>
    <w:rsid w:val="00AF685C"/>
    <w:rsid w:val="00AF7034"/>
    <w:rsid w:val="00AF7431"/>
    <w:rsid w:val="00B00480"/>
    <w:rsid w:val="00B00698"/>
    <w:rsid w:val="00B00B7C"/>
    <w:rsid w:val="00B00DA7"/>
    <w:rsid w:val="00B0135F"/>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3B"/>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0D"/>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524"/>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5D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1EA9"/>
    <w:rsid w:val="00C52124"/>
    <w:rsid w:val="00C52783"/>
    <w:rsid w:val="00C52F2A"/>
    <w:rsid w:val="00C533D9"/>
    <w:rsid w:val="00C53840"/>
    <w:rsid w:val="00C549BB"/>
    <w:rsid w:val="00C5561D"/>
    <w:rsid w:val="00C55DDE"/>
    <w:rsid w:val="00C55F6C"/>
    <w:rsid w:val="00C56119"/>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504"/>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413B"/>
    <w:rsid w:val="00C7421C"/>
    <w:rsid w:val="00C74278"/>
    <w:rsid w:val="00C742EB"/>
    <w:rsid w:val="00C74679"/>
    <w:rsid w:val="00C74EBD"/>
    <w:rsid w:val="00C75194"/>
    <w:rsid w:val="00C756DD"/>
    <w:rsid w:val="00C75A6D"/>
    <w:rsid w:val="00C75AE2"/>
    <w:rsid w:val="00C760AB"/>
    <w:rsid w:val="00C76159"/>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2F53"/>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0976"/>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088"/>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7C2"/>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536"/>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7B"/>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40"/>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3D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3CC"/>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4BE"/>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3A4"/>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A52"/>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CA6"/>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B19"/>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2FB"/>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384"/>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1B0"/>
    <w:rsid w:val="00E867AA"/>
    <w:rsid w:val="00E86F2B"/>
    <w:rsid w:val="00E86F98"/>
    <w:rsid w:val="00E8747D"/>
    <w:rsid w:val="00E876AD"/>
    <w:rsid w:val="00E8778D"/>
    <w:rsid w:val="00E87C91"/>
    <w:rsid w:val="00E87CB0"/>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54A"/>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BC4"/>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251"/>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D7F11"/>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9A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2"/>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5"/>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2"/>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3"/>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72"/>
    <w:rsid w:val="00AD4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F974-38E6-49AF-87BC-BAC2986F4DDE}">
  <ds:schemaRefs>
    <ds:schemaRef ds:uri="http://schemas.openxmlformats.org/officeDocument/2006/bibliography"/>
  </ds:schemaRefs>
</ds:datastoreItem>
</file>

<file path=customXml/itemProps2.xml><?xml version="1.0" encoding="utf-8"?>
<ds:datastoreItem xmlns:ds="http://schemas.openxmlformats.org/officeDocument/2006/customXml" ds:itemID="{1F0E5BE8-2DA5-415E-A0AD-D01EF2CC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13156</Characters>
  <Application>Microsoft Office Word</Application>
  <DocSecurity>0</DocSecurity>
  <Lines>109</Lines>
  <Paragraphs>31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15516</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2017-11-30T15:19:00Z</dcterms:created>
  <dcterms:modified xsi:type="dcterms:W3CDTF">2018-03-22T15:39:00Z</dcterms:modified>
</cp:coreProperties>
</file>