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81" w:rsidRPr="00C13746" w:rsidRDefault="0043665E" w:rsidP="00C13746">
      <w:pPr>
        <w:pStyle w:val="Chapitre"/>
        <w:keepLines w:val="0"/>
        <w:widowControl w:val="0"/>
        <w:pBdr>
          <w:bottom w:val="single" w:sz="4" w:space="14" w:color="3366FF"/>
        </w:pBdr>
        <w:tabs>
          <w:tab w:val="clear" w:pos="567"/>
        </w:tabs>
        <w:contextualSpacing/>
        <w:outlineLvl w:val="1"/>
        <w:rPr>
          <w:rFonts w:ascii="Arial" w:eastAsia="Calibri" w:hAnsi="Arial"/>
          <w:noProof w:val="0"/>
          <w:kern w:val="0"/>
          <w:lang w:val="fr-FR"/>
        </w:rPr>
      </w:pPr>
      <w:bookmarkStart w:id="0" w:name="_Toc282266478"/>
      <w:bookmarkStart w:id="1" w:name="_GoBack"/>
      <w:bookmarkEnd w:id="1"/>
      <w:r w:rsidRPr="00C13746">
        <w:rPr>
          <w:rFonts w:ascii="Arial" w:eastAsia="Calibri" w:hAnsi="Arial"/>
          <w:noProof w:val="0"/>
          <w:kern w:val="0"/>
          <w:lang w:val="fr-FR"/>
        </w:rPr>
        <w:t xml:space="preserve">Unité </w:t>
      </w:r>
      <w:r w:rsidR="00E948A2" w:rsidRPr="00C13746">
        <w:rPr>
          <w:rFonts w:ascii="Arial" w:eastAsia="Calibri" w:hAnsi="Arial"/>
          <w:noProof w:val="0"/>
          <w:kern w:val="0"/>
          <w:lang w:val="fr-FR"/>
        </w:rPr>
        <w:t>19</w:t>
      </w:r>
    </w:p>
    <w:bookmarkEnd w:id="0"/>
    <w:p w:rsidR="00C17481" w:rsidRPr="00C13746" w:rsidRDefault="007254B2" w:rsidP="00C13746">
      <w:pPr>
        <w:pStyle w:val="Titcoul"/>
        <w:rPr>
          <w:lang w:val="fr-FR"/>
        </w:rPr>
      </w:pPr>
      <w:r>
        <w:t>Imprimé</w:t>
      </w:r>
      <w:r>
        <w:rPr>
          <w:rFonts w:hint="eastAsia"/>
        </w:rPr>
        <w:t> </w:t>
      </w:r>
      <w:r w:rsidR="009B4E97" w:rsidRPr="007254B2">
        <w:t>:</w:t>
      </w:r>
      <w:r w:rsidR="00C13746" w:rsidRPr="00C13746">
        <w:rPr>
          <w:lang w:val="fr-FR"/>
        </w:rPr>
        <w:br/>
      </w:r>
      <w:r w:rsidR="0043665E" w:rsidRPr="007254B2">
        <w:rPr>
          <w:rFonts w:ascii="Arial Gras" w:hAnsi="Arial Gras"/>
          <w:caps/>
        </w:rPr>
        <w:t>Cadre type pour organiser l’information sur les éléments du PCI</w:t>
      </w:r>
    </w:p>
    <w:p w:rsidR="0043665E" w:rsidRPr="00C17481" w:rsidRDefault="0043665E" w:rsidP="007D66AD">
      <w:pPr>
        <w:pStyle w:val="Texte1"/>
        <w:ind w:left="850"/>
      </w:pPr>
      <w:r w:rsidRPr="00C17481">
        <w:t>La Convention du patrimoine immatériel (article 12) impose à chaque État partie de dresser un ou plusieurs inventaires du PCI présent sur son territoire de façon adaptée à sa situation, ce qui lui laisse une marge de manœuvre considérable. Toutefois, la Convention et les Directives opérationnelles (DO) précisent que les inventaires doivent :</w:t>
      </w:r>
    </w:p>
    <w:p w:rsidR="0043665E" w:rsidRPr="007254B2" w:rsidRDefault="0043665E" w:rsidP="007254B2">
      <w:pPr>
        <w:pStyle w:val="Enutiret"/>
        <w:numPr>
          <w:ilvl w:val="0"/>
          <w:numId w:val="23"/>
        </w:numPr>
        <w:ind w:left="1135"/>
        <w:rPr>
          <w:rFonts w:ascii="Arial" w:hAnsi="Arial" w:cs="Arial"/>
          <w:lang w:val="en-GB"/>
        </w:rPr>
      </w:pPr>
      <w:r w:rsidRPr="007254B2">
        <w:rPr>
          <w:rFonts w:ascii="Arial" w:hAnsi="Arial" w:cs="Arial"/>
          <w:lang w:val="en-GB"/>
        </w:rPr>
        <w:t>seulement présenter des éléments définis et identifiés avec la participation des communautés, des groupes et des ONG pertinentes ;</w:t>
      </w:r>
    </w:p>
    <w:p w:rsidR="0043665E" w:rsidRPr="007254B2" w:rsidRDefault="0043665E" w:rsidP="007254B2">
      <w:pPr>
        <w:pStyle w:val="Enutiret"/>
        <w:numPr>
          <w:ilvl w:val="0"/>
          <w:numId w:val="23"/>
        </w:numPr>
        <w:ind w:left="1135"/>
        <w:rPr>
          <w:rFonts w:ascii="Arial" w:hAnsi="Arial" w:cs="Arial"/>
          <w:lang w:val="en-GB"/>
        </w:rPr>
      </w:pPr>
      <w:r w:rsidRPr="007254B2">
        <w:rPr>
          <w:rFonts w:ascii="Arial" w:hAnsi="Arial" w:cs="Arial"/>
          <w:lang w:val="en-GB"/>
        </w:rPr>
        <w:t>être préparés avec la plus large participation possible des communautés, des groupes et des individus intéressés (DO 80) ;</w:t>
      </w:r>
    </w:p>
    <w:p w:rsidR="0043665E" w:rsidRPr="007254B2" w:rsidRDefault="0043665E" w:rsidP="007254B2">
      <w:pPr>
        <w:pStyle w:val="Enutiret"/>
        <w:numPr>
          <w:ilvl w:val="0"/>
          <w:numId w:val="23"/>
        </w:numPr>
        <w:ind w:left="1135"/>
        <w:rPr>
          <w:rFonts w:ascii="Arial" w:hAnsi="Arial" w:cs="Arial"/>
          <w:lang w:val="en-GB"/>
        </w:rPr>
      </w:pPr>
      <w:r w:rsidRPr="007254B2">
        <w:rPr>
          <w:rFonts w:ascii="Arial" w:hAnsi="Arial" w:cs="Arial"/>
          <w:lang w:val="en-GB"/>
        </w:rPr>
        <w:t>être conçus de manière à pouvoir contribuer à la sauvegarde ;</w:t>
      </w:r>
    </w:p>
    <w:p w:rsidR="0043665E" w:rsidRPr="007254B2" w:rsidRDefault="0043665E" w:rsidP="007254B2">
      <w:pPr>
        <w:pStyle w:val="Enutiret"/>
        <w:numPr>
          <w:ilvl w:val="0"/>
          <w:numId w:val="23"/>
        </w:numPr>
        <w:ind w:left="1135"/>
        <w:rPr>
          <w:rFonts w:ascii="Arial" w:hAnsi="Arial" w:cs="Arial"/>
          <w:lang w:val="en-GB"/>
        </w:rPr>
      </w:pPr>
      <w:r w:rsidRPr="007254B2">
        <w:rPr>
          <w:rFonts w:ascii="Arial" w:hAnsi="Arial" w:cs="Arial"/>
          <w:lang w:val="en-GB"/>
        </w:rPr>
        <w:t>s’ouvrir au PCI présent sur le territoire de l’État partie concerné ;</w:t>
      </w:r>
    </w:p>
    <w:p w:rsidR="0043665E" w:rsidRPr="007254B2" w:rsidRDefault="0043665E" w:rsidP="007254B2">
      <w:pPr>
        <w:pStyle w:val="Enutiret"/>
        <w:numPr>
          <w:ilvl w:val="0"/>
          <w:numId w:val="23"/>
        </w:numPr>
        <w:ind w:left="1135"/>
        <w:rPr>
          <w:rFonts w:ascii="Arial" w:hAnsi="Arial" w:cs="Arial"/>
          <w:lang w:val="en-GB"/>
        </w:rPr>
      </w:pPr>
      <w:r w:rsidRPr="007254B2">
        <w:rPr>
          <w:rFonts w:ascii="Arial" w:hAnsi="Arial" w:cs="Arial"/>
          <w:lang w:val="en-GB"/>
        </w:rPr>
        <w:t>être régulièrement mis à jour et donc conçus de manière à faciliter cette tâche ;</w:t>
      </w:r>
    </w:p>
    <w:p w:rsidR="0043665E" w:rsidRPr="007254B2" w:rsidRDefault="0043665E" w:rsidP="007254B2">
      <w:pPr>
        <w:pStyle w:val="Enutiret"/>
        <w:numPr>
          <w:ilvl w:val="0"/>
          <w:numId w:val="23"/>
        </w:numPr>
        <w:ind w:left="1135"/>
        <w:rPr>
          <w:rFonts w:ascii="Arial" w:hAnsi="Arial" w:cs="Arial"/>
          <w:lang w:val="en-GB"/>
        </w:rPr>
      </w:pPr>
      <w:r w:rsidRPr="007254B2">
        <w:rPr>
          <w:rFonts w:ascii="Arial" w:hAnsi="Arial" w:cs="Arial"/>
          <w:lang w:val="en-GB"/>
        </w:rPr>
        <w:t>ne pas violer les pratiques coutumières régissant l’accès au PCI ni aucun des lieux, des personnes et des matériels qui y sont associés ;</w:t>
      </w:r>
    </w:p>
    <w:p w:rsidR="0043665E" w:rsidRPr="007254B2" w:rsidRDefault="0043665E" w:rsidP="007254B2">
      <w:pPr>
        <w:pStyle w:val="Enutiret"/>
        <w:numPr>
          <w:ilvl w:val="0"/>
          <w:numId w:val="23"/>
        </w:numPr>
        <w:ind w:left="1135"/>
        <w:rPr>
          <w:rFonts w:ascii="Arial" w:hAnsi="Arial" w:cs="Arial"/>
          <w:lang w:val="en-GB"/>
        </w:rPr>
      </w:pPr>
      <w:r w:rsidRPr="007254B2">
        <w:rPr>
          <w:rFonts w:ascii="Arial" w:hAnsi="Arial" w:cs="Arial"/>
          <w:lang w:val="en-GB"/>
        </w:rPr>
        <w:t>ne pas donner d’informations sur un élément sans le consentement de la communauté, du groupe ou de l’individu concerné.</w:t>
      </w:r>
    </w:p>
    <w:p w:rsidR="0043665E" w:rsidRPr="00A31579" w:rsidRDefault="0043665E" w:rsidP="007D66AD">
      <w:pPr>
        <w:pStyle w:val="Texte1"/>
        <w:ind w:left="850"/>
      </w:pPr>
      <w:r>
        <w:t>L’inventaire</w:t>
      </w:r>
      <w:r w:rsidRPr="00A31579">
        <w:t xml:space="preserve"> </w:t>
      </w:r>
      <w:r>
        <w:t>est</w:t>
      </w:r>
      <w:r w:rsidRPr="00A31579">
        <w:t xml:space="preserve"> </w:t>
      </w:r>
      <w:r>
        <w:t>une</w:t>
      </w:r>
      <w:r w:rsidRPr="00A31579">
        <w:t xml:space="preserve"> </w:t>
      </w:r>
      <w:r>
        <w:t xml:space="preserve">étape </w:t>
      </w:r>
      <w:r w:rsidRPr="00A31579">
        <w:t>important</w:t>
      </w:r>
      <w:r>
        <w:t>e</w:t>
      </w:r>
      <w:r w:rsidRPr="00A31579">
        <w:t xml:space="preserve"> </w:t>
      </w:r>
      <w:r>
        <w:t>vers la</w:t>
      </w:r>
      <w:r w:rsidRPr="00A31579">
        <w:t xml:space="preserve"> </w:t>
      </w:r>
      <w:r>
        <w:t>sauvegarde</w:t>
      </w:r>
      <w:r w:rsidRPr="00A31579">
        <w:t xml:space="preserve"> </w:t>
      </w:r>
      <w:r>
        <w:t>et,</w:t>
      </w:r>
      <w:r w:rsidRPr="00A31579">
        <w:t xml:space="preserve"> </w:t>
      </w:r>
      <w:r>
        <w:t>parfois</w:t>
      </w:r>
      <w:r w:rsidRPr="00A31579">
        <w:t xml:space="preserve">, </w:t>
      </w:r>
      <w:r>
        <w:t>vers la candidature sur</w:t>
      </w:r>
      <w:r w:rsidRPr="00A31579">
        <w:t xml:space="preserve"> </w:t>
      </w:r>
      <w:r>
        <w:t>les</w:t>
      </w:r>
      <w:r w:rsidRPr="00A31579">
        <w:t xml:space="preserve"> </w:t>
      </w:r>
      <w:r>
        <w:t>Listes</w:t>
      </w:r>
      <w:r w:rsidRPr="00A31579">
        <w:t xml:space="preserve"> </w:t>
      </w:r>
      <w:r>
        <w:t>de</w:t>
      </w:r>
      <w:r w:rsidRPr="00A31579">
        <w:t xml:space="preserve"> </w:t>
      </w:r>
      <w:r>
        <w:t>la</w:t>
      </w:r>
      <w:r w:rsidRPr="00A31579">
        <w:t xml:space="preserve"> Convention, </w:t>
      </w:r>
      <w:r>
        <w:t>car seuls peuvent être proposés les</w:t>
      </w:r>
      <w:r w:rsidRPr="00A31579">
        <w:t xml:space="preserve"> </w:t>
      </w:r>
      <w:r>
        <w:t>éléments du PCI</w:t>
      </w:r>
      <w:r w:rsidRPr="00A31579">
        <w:t xml:space="preserve"> </w:t>
      </w:r>
      <w:r>
        <w:t>classés à l’inventaire</w:t>
      </w:r>
      <w:r w:rsidRPr="00A31579">
        <w:t xml:space="preserve"> </w:t>
      </w:r>
      <w:r>
        <w:t>de</w:t>
      </w:r>
      <w:r w:rsidRPr="00A31579">
        <w:t xml:space="preserve"> </w:t>
      </w:r>
      <w:r>
        <w:t>l’État partie</w:t>
      </w:r>
      <w:r w:rsidRPr="00A31579">
        <w:t xml:space="preserve"> </w:t>
      </w:r>
      <w:r>
        <w:t>concerné</w:t>
      </w:r>
      <w:r w:rsidRPr="00A31579">
        <w:t xml:space="preserve">. </w:t>
      </w:r>
      <w:r>
        <w:t>Les inventaires</w:t>
      </w:r>
      <w:r w:rsidRPr="00A31579">
        <w:t xml:space="preserve"> dr</w:t>
      </w:r>
      <w:r>
        <w:t>essés par</w:t>
      </w:r>
      <w:r w:rsidRPr="00A31579">
        <w:t xml:space="preserve"> </w:t>
      </w:r>
      <w:r>
        <w:t>les États parties</w:t>
      </w:r>
      <w:r w:rsidRPr="00A31579">
        <w:t xml:space="preserve"> </w:t>
      </w:r>
      <w:r>
        <w:t>ne sont pas tenus d’</w:t>
      </w:r>
      <w:r w:rsidRPr="00A31579">
        <w:t>employ</w:t>
      </w:r>
      <w:r>
        <w:t>er</w:t>
      </w:r>
      <w:r w:rsidRPr="00A31579">
        <w:t xml:space="preserve"> </w:t>
      </w:r>
      <w:r>
        <w:t>la</w:t>
      </w:r>
      <w:r w:rsidRPr="00A31579">
        <w:t xml:space="preserve"> </w:t>
      </w:r>
      <w:r>
        <w:t>même</w:t>
      </w:r>
      <w:r w:rsidRPr="00A31579">
        <w:t xml:space="preserve"> </w:t>
      </w:r>
      <w:r>
        <w:t>définition</w:t>
      </w:r>
      <w:r w:rsidRPr="00A31579">
        <w:t xml:space="preserve"> </w:t>
      </w:r>
      <w:r>
        <w:t>du</w:t>
      </w:r>
      <w:r w:rsidRPr="00A31579">
        <w:t xml:space="preserve"> </w:t>
      </w:r>
      <w:r>
        <w:t>PCI</w:t>
      </w:r>
      <w:r w:rsidRPr="00A31579">
        <w:t xml:space="preserve"> </w:t>
      </w:r>
      <w:r>
        <w:t>que</w:t>
      </w:r>
      <w:r w:rsidRPr="00A31579">
        <w:t xml:space="preserve"> </w:t>
      </w:r>
      <w:r>
        <w:t>la</w:t>
      </w:r>
      <w:r w:rsidRPr="00A31579">
        <w:t xml:space="preserve"> Convention. </w:t>
      </w:r>
      <w:r>
        <w:t>Cependant</w:t>
      </w:r>
      <w:r w:rsidRPr="00A31579">
        <w:t xml:space="preserve">, </w:t>
      </w:r>
      <w:r>
        <w:t>tout</w:t>
      </w:r>
      <w:r w:rsidRPr="00A31579">
        <w:t xml:space="preserve"> </w:t>
      </w:r>
      <w:r>
        <w:t>élément</w:t>
      </w:r>
      <w:r w:rsidRPr="00A31579">
        <w:t xml:space="preserve"> </w:t>
      </w:r>
      <w:r>
        <w:t>dont la candidature est proposée sur</w:t>
      </w:r>
      <w:r w:rsidRPr="00A31579">
        <w:t xml:space="preserve"> </w:t>
      </w:r>
      <w:r>
        <w:t>une</w:t>
      </w:r>
      <w:r w:rsidRPr="00A31579">
        <w:t xml:space="preserve"> </w:t>
      </w:r>
      <w:r>
        <w:t>des Listes de</w:t>
      </w:r>
      <w:r w:rsidRPr="00A31579">
        <w:t xml:space="preserve"> </w:t>
      </w:r>
      <w:r>
        <w:t>la</w:t>
      </w:r>
      <w:r w:rsidRPr="00A31579">
        <w:t xml:space="preserve"> Convention </w:t>
      </w:r>
      <w:r>
        <w:t>doit être conforme à</w:t>
      </w:r>
      <w:r w:rsidRPr="00A31579">
        <w:t xml:space="preserve"> </w:t>
      </w:r>
      <w:r>
        <w:t>cette</w:t>
      </w:r>
      <w:r w:rsidRPr="00A31579">
        <w:t xml:space="preserve"> </w:t>
      </w:r>
      <w:r>
        <w:t>définition</w:t>
      </w:r>
      <w:r w:rsidRPr="00A31579">
        <w:t xml:space="preserve"> </w:t>
      </w:r>
      <w:r>
        <w:t>et</w:t>
      </w:r>
      <w:r w:rsidRPr="00A31579">
        <w:t xml:space="preserve"> </w:t>
      </w:r>
      <w:r>
        <w:t>aux</w:t>
      </w:r>
      <w:r w:rsidRPr="00A31579">
        <w:t xml:space="preserve"> </w:t>
      </w:r>
      <w:r>
        <w:t>autres</w:t>
      </w:r>
      <w:r w:rsidRPr="00A31579">
        <w:t xml:space="preserve"> </w:t>
      </w:r>
      <w:r>
        <w:t>critères d’</w:t>
      </w:r>
      <w:r w:rsidRPr="00A31579">
        <w:t xml:space="preserve">inscription </w:t>
      </w:r>
      <w:r>
        <w:t>énoncés dans</w:t>
      </w:r>
      <w:r w:rsidRPr="00A31579">
        <w:t xml:space="preserve"> </w:t>
      </w:r>
      <w:r>
        <w:t>les</w:t>
      </w:r>
      <w:r w:rsidRPr="00A31579">
        <w:t xml:space="preserve"> </w:t>
      </w:r>
      <w:r>
        <w:t>Directives opérationnelles</w:t>
      </w:r>
      <w:r w:rsidRPr="00A31579">
        <w:t xml:space="preserve"> </w:t>
      </w:r>
      <w:r>
        <w:t>de</w:t>
      </w:r>
      <w:r w:rsidRPr="00A31579">
        <w:t xml:space="preserve"> </w:t>
      </w:r>
      <w:r>
        <w:t>la</w:t>
      </w:r>
      <w:r w:rsidRPr="00A31579">
        <w:t xml:space="preserve"> Convention (D</w:t>
      </w:r>
      <w:r>
        <w:t>O</w:t>
      </w:r>
      <w:r w:rsidRPr="00A31579">
        <w:t> 1</w:t>
      </w:r>
      <w:r>
        <w:t>-</w:t>
      </w:r>
      <w:r w:rsidRPr="00A31579">
        <w:t>2).</w:t>
      </w:r>
    </w:p>
    <w:p w:rsidR="0043665E" w:rsidRPr="00A31579" w:rsidRDefault="0043665E" w:rsidP="007D66AD">
      <w:pPr>
        <w:pStyle w:val="Texte1"/>
        <w:ind w:left="850"/>
      </w:pPr>
      <w:r>
        <w:t>L’inventaire</w:t>
      </w:r>
      <w:r w:rsidRPr="00A31579">
        <w:t xml:space="preserve"> </w:t>
      </w:r>
      <w:r>
        <w:t>est</w:t>
      </w:r>
      <w:r w:rsidRPr="00A31579">
        <w:t xml:space="preserve"> </w:t>
      </w:r>
      <w:r>
        <w:t>un</w:t>
      </w:r>
      <w:r w:rsidRPr="00A31579">
        <w:t xml:space="preserve"> </w:t>
      </w:r>
      <w:r>
        <w:t>processus permanent dans la plupart des États</w:t>
      </w:r>
      <w:r w:rsidRPr="00A31579">
        <w:t xml:space="preserve"> </w:t>
      </w:r>
      <w:r>
        <w:t>en raison du grand</w:t>
      </w:r>
      <w:r w:rsidRPr="00A31579">
        <w:t xml:space="preserve"> </w:t>
      </w:r>
      <w:r>
        <w:t>nombre</w:t>
      </w:r>
      <w:r w:rsidRPr="00A31579">
        <w:t xml:space="preserve"> </w:t>
      </w:r>
      <w:r>
        <w:t>d’éléments du PCI</w:t>
      </w:r>
      <w:r w:rsidRPr="00A31579">
        <w:t xml:space="preserve"> </w:t>
      </w:r>
      <w:r>
        <w:t>à recenser dans</w:t>
      </w:r>
      <w:r w:rsidRPr="00A31579">
        <w:t xml:space="preserve"> </w:t>
      </w:r>
      <w:r>
        <w:t>toutes les</w:t>
      </w:r>
      <w:r w:rsidRPr="00A31579">
        <w:t xml:space="preserve"> </w:t>
      </w:r>
      <w:r>
        <w:t>région</w:t>
      </w:r>
      <w:r w:rsidRPr="00A31579">
        <w:t xml:space="preserve">s </w:t>
      </w:r>
      <w:r>
        <w:t>du monde</w:t>
      </w:r>
      <w:r w:rsidRPr="00A31579">
        <w:t xml:space="preserve"> </w:t>
      </w:r>
      <w:r>
        <w:t>et</w:t>
      </w:r>
      <w:r w:rsidRPr="00A31579">
        <w:t xml:space="preserve"> </w:t>
      </w:r>
      <w:r>
        <w:t>de la</w:t>
      </w:r>
      <w:r w:rsidRPr="00A31579">
        <w:t xml:space="preserve"> n</w:t>
      </w:r>
      <w:r>
        <w:t>é</w:t>
      </w:r>
      <w:r w:rsidRPr="00A31579">
        <w:t>cessit</w:t>
      </w:r>
      <w:r>
        <w:t>é</w:t>
      </w:r>
      <w:r w:rsidRPr="00A31579">
        <w:t xml:space="preserve"> </w:t>
      </w:r>
      <w:r>
        <w:t>d’une tenue à jour régulière des</w:t>
      </w:r>
      <w:r w:rsidRPr="00A31579">
        <w:t xml:space="preserve"> </w:t>
      </w:r>
      <w:r>
        <w:t>inventaires</w:t>
      </w:r>
      <w:r w:rsidRPr="00A31579">
        <w:t>.</w:t>
      </w:r>
    </w:p>
    <w:p w:rsidR="0043665E" w:rsidRPr="00A31579" w:rsidRDefault="0043665E" w:rsidP="007D66AD">
      <w:pPr>
        <w:pStyle w:val="Texte1"/>
        <w:ind w:left="850"/>
      </w:pPr>
      <w:r>
        <w:t>L’inventaire</w:t>
      </w:r>
      <w:r w:rsidRPr="00A31579">
        <w:t xml:space="preserve"> </w:t>
      </w:r>
      <w:r>
        <w:t>ne consiste pas</w:t>
      </w:r>
      <w:r w:rsidRPr="00A31579">
        <w:t xml:space="preserve"> </w:t>
      </w:r>
      <w:r>
        <w:t>à dresser une simple liste d’éléments du</w:t>
      </w:r>
      <w:r w:rsidRPr="00A31579">
        <w:t xml:space="preserve"> </w:t>
      </w:r>
      <w:r>
        <w:t>patrimoine immatériel</w:t>
      </w:r>
      <w:r w:rsidRPr="00A31579">
        <w:t xml:space="preserve">, </w:t>
      </w:r>
      <w:r>
        <w:t>même si</w:t>
      </w:r>
      <w:r w:rsidRPr="00A31579">
        <w:t xml:space="preserve"> </w:t>
      </w:r>
      <w:r>
        <w:t>les renseignements qu’il donne sont assez</w:t>
      </w:r>
      <w:r w:rsidRPr="00A31579">
        <w:t xml:space="preserve"> limit</w:t>
      </w:r>
      <w:r>
        <w:t>és</w:t>
      </w:r>
      <w:r w:rsidRPr="00A31579">
        <w:t xml:space="preserve">. </w:t>
      </w:r>
      <w:r>
        <w:t>C’est</w:t>
      </w:r>
      <w:r w:rsidRPr="00A31579">
        <w:t xml:space="preserve"> </w:t>
      </w:r>
      <w:r>
        <w:t>une</w:t>
      </w:r>
      <w:r w:rsidRPr="00A31579">
        <w:t xml:space="preserve"> </w:t>
      </w:r>
      <w:r>
        <w:t>opération qui fait prendre conscience</w:t>
      </w:r>
      <w:r w:rsidRPr="00A31579">
        <w:t xml:space="preserve"> </w:t>
      </w:r>
      <w:r>
        <w:t>et</w:t>
      </w:r>
      <w:r w:rsidRPr="00A31579">
        <w:t xml:space="preserve"> identifie </w:t>
      </w:r>
      <w:r>
        <w:t>des élément</w:t>
      </w:r>
      <w:r w:rsidRPr="00A31579">
        <w:t xml:space="preserve">s </w:t>
      </w:r>
      <w:r>
        <w:t>dont la</w:t>
      </w:r>
      <w:r w:rsidRPr="00A31579">
        <w:t xml:space="preserve"> </w:t>
      </w:r>
      <w:r>
        <w:t>viabilité est altérée et qui peut aboutir à la</w:t>
      </w:r>
      <w:r w:rsidRPr="00A31579">
        <w:t xml:space="preserve"> </w:t>
      </w:r>
      <w:r>
        <w:t>sauvegarde</w:t>
      </w:r>
      <w:r w:rsidRPr="00A31579">
        <w:t xml:space="preserve">. </w:t>
      </w:r>
      <w:r>
        <w:t>L’inventaire permet aussi</w:t>
      </w:r>
      <w:r w:rsidRPr="00A31579">
        <w:t xml:space="preserve"> </w:t>
      </w:r>
      <w:r>
        <w:t>d’établir</w:t>
      </w:r>
      <w:r w:rsidRPr="00A31579">
        <w:t xml:space="preserve"> </w:t>
      </w:r>
      <w:r>
        <w:t>des relations</w:t>
      </w:r>
      <w:r w:rsidRPr="00A31579">
        <w:t xml:space="preserve"> </w:t>
      </w:r>
      <w:r>
        <w:t>entre</w:t>
      </w:r>
      <w:r w:rsidRPr="00A31579">
        <w:t xml:space="preserve"> </w:t>
      </w:r>
      <w:r>
        <w:t>des</w:t>
      </w:r>
      <w:r w:rsidRPr="00A31579">
        <w:t xml:space="preserve"> </w:t>
      </w:r>
      <w:r>
        <w:t>intervenant</w:t>
      </w:r>
      <w:r w:rsidRPr="00A31579">
        <w:t xml:space="preserve">s </w:t>
      </w:r>
      <w:r>
        <w:t>qui</w:t>
      </w:r>
      <w:r w:rsidRPr="00A31579">
        <w:t xml:space="preserve"> </w:t>
      </w:r>
      <w:r>
        <w:t>déploieront ultérieurement des efforts de sauvegarde</w:t>
      </w:r>
      <w:r w:rsidRPr="00A31579">
        <w:t xml:space="preserve">. </w:t>
      </w:r>
      <w:r>
        <w:t>Il contribue à renforcer</w:t>
      </w:r>
      <w:r w:rsidRPr="00A31579">
        <w:t xml:space="preserve"> </w:t>
      </w:r>
      <w:r>
        <w:t>le</w:t>
      </w:r>
      <w:r w:rsidRPr="00A31579">
        <w:t xml:space="preserve"> sen</w:t>
      </w:r>
      <w:r>
        <w:t>timent</w:t>
      </w:r>
      <w:r w:rsidRPr="00A31579">
        <w:t xml:space="preserve"> </w:t>
      </w:r>
      <w:r>
        <w:t>d’identité</w:t>
      </w:r>
      <w:r w:rsidRPr="00A31579">
        <w:t xml:space="preserve"> </w:t>
      </w:r>
      <w:r>
        <w:t>et</w:t>
      </w:r>
      <w:r w:rsidRPr="00A31579">
        <w:t xml:space="preserve"> </w:t>
      </w:r>
      <w:r>
        <w:t xml:space="preserve">de </w:t>
      </w:r>
      <w:r w:rsidRPr="00A31579">
        <w:t>continuit</w:t>
      </w:r>
      <w:r>
        <w:t>é</w:t>
      </w:r>
      <w:r w:rsidRPr="00A31579">
        <w:t xml:space="preserve"> </w:t>
      </w:r>
      <w:r>
        <w:t>des</w:t>
      </w:r>
      <w:r w:rsidRPr="00A31579">
        <w:t xml:space="preserve"> </w:t>
      </w:r>
      <w:r>
        <w:t>communautés</w:t>
      </w:r>
      <w:r w:rsidRPr="00A31579">
        <w:t xml:space="preserve"> </w:t>
      </w:r>
      <w:r>
        <w:t>visées</w:t>
      </w:r>
      <w:r w:rsidRPr="00A31579">
        <w:t xml:space="preserve"> </w:t>
      </w:r>
      <w:r>
        <w:t>et à mieux faire prendre conscience du PCI</w:t>
      </w:r>
      <w:r w:rsidRPr="00A31579">
        <w:t xml:space="preserve"> </w:t>
      </w:r>
      <w:r>
        <w:t>à l’intérieur comme à l’extérieur de</w:t>
      </w:r>
      <w:r w:rsidRPr="00A31579">
        <w:t xml:space="preserve"> </w:t>
      </w:r>
      <w:r>
        <w:t>ces</w:t>
      </w:r>
      <w:r w:rsidRPr="00A31579">
        <w:t xml:space="preserve"> </w:t>
      </w:r>
      <w:r>
        <w:t>communautés</w:t>
      </w:r>
      <w:r w:rsidRPr="00A31579">
        <w:t>.</w:t>
      </w:r>
    </w:p>
    <w:p w:rsidR="00C92ED6" w:rsidRDefault="0043665E" w:rsidP="00C92ED6">
      <w:pPr>
        <w:pStyle w:val="Heading4"/>
        <w:jc w:val="center"/>
      </w:pPr>
      <w:r w:rsidRPr="00A31579">
        <w:lastRenderedPageBreak/>
        <w:t>Cadre type pour organiser l’info</w:t>
      </w:r>
      <w:r w:rsidR="007254B2">
        <w:t>rmation sur des éléments du PCI</w:t>
      </w:r>
      <w:r w:rsidRPr="00A31579">
        <w:rPr>
          <w:vertAlign w:val="superscript"/>
        </w:rPr>
        <w:footnoteReference w:id="1"/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C92ED6" w:rsidRPr="00C1374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C92ED6" w:rsidRPr="007254B2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7254B2">
              <w:rPr>
                <w:rFonts w:ascii="Arial Bold" w:hAnsi="Arial Bold"/>
                <w:b/>
                <w:caps/>
                <w:snapToGrid w:val="0"/>
                <w:lang w:val="en-US"/>
              </w:rPr>
              <w:t>Identification de l’élément du PCI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Titre bref et informatif de l’élément du PCI ‒ avec indication du (des) domaine(s) du PCI concerné(s)</w:t>
            </w:r>
          </w:p>
        </w:tc>
      </w:tr>
      <w:tr w:rsidR="00C92ED6" w:rsidRPr="00C92ED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Communauté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 xml:space="preserve">(s) </w:t>
            </w: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concernée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>(s)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</w:p>
        </w:tc>
      </w:tr>
      <w:tr w:rsidR="00C92ED6" w:rsidRPr="00C13746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192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2.6.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</w:tc>
      </w:tr>
      <w:tr w:rsidR="00C92ED6" w:rsidRPr="00C13746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</w:tc>
      </w:tr>
      <w:tr w:rsidR="00C92ED6" w:rsidRPr="00C13746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</w:tc>
      </w:tr>
      <w:tr w:rsidR="00C92ED6" w:rsidRPr="00C92ED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Data restrictions and permissions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Personne(s) ressource(s) : nom et statut ou affiliation</w:t>
            </w:r>
          </w:p>
        </w:tc>
      </w:tr>
      <w:tr w:rsidR="00C92ED6" w:rsidRPr="00C13746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C92ED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Littérature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 xml:space="preserve"> (le </w:t>
            </w: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cas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échéant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>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Matériel audiovisuel, enregistrements, etc. conservés dans des archives, musées et collections privées (le cas échéant)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Matériel documentaire et objets conservés dans des archives, musées et collections privées (le cas échéant)</w:t>
            </w:r>
          </w:p>
        </w:tc>
      </w:tr>
      <w:tr w:rsidR="00C92ED6" w:rsidRPr="00C92ED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la personne(s) ayant compilé l’entrée de l’inventaire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</w:tc>
      </w:tr>
      <w:tr w:rsidR="00C92ED6" w:rsidRPr="00C1374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</w:tc>
      </w:tr>
    </w:tbl>
    <w:p w:rsidR="0043665E" w:rsidRPr="00A31579" w:rsidRDefault="0043665E" w:rsidP="007D66AD">
      <w:pPr>
        <w:pStyle w:val="Heading4"/>
      </w:pPr>
      <w:r w:rsidRPr="00A31579">
        <w:t>Autres commentaires et clarifications</w:t>
      </w:r>
    </w:p>
    <w:p w:rsidR="0043665E" w:rsidRPr="00A31579" w:rsidRDefault="0043665E" w:rsidP="007D66AD">
      <w:pPr>
        <w:pStyle w:val="Soustitre"/>
        <w:rPr>
          <w:rFonts w:hint="eastAsia"/>
        </w:rPr>
      </w:pPr>
      <w:bookmarkStart w:id="2" w:name="_Toc256598725"/>
      <w:bookmarkStart w:id="3" w:name="_Toc257461156"/>
      <w:r w:rsidRPr="00A31579">
        <w:t>Points</w:t>
      </w:r>
      <w:r>
        <w:t> </w:t>
      </w:r>
      <w:r w:rsidRPr="00A31579">
        <w:t>1.1 et 1.3</w:t>
      </w:r>
      <w:r>
        <w:t> </w:t>
      </w:r>
      <w:r w:rsidRPr="00A31579">
        <w:t xml:space="preserve">: </w:t>
      </w:r>
      <w:r>
        <w:t>l</w:t>
      </w:r>
      <w:r w:rsidRPr="00A31579">
        <w:t xml:space="preserve">a communauté </w:t>
      </w:r>
      <w:bookmarkEnd w:id="2"/>
      <w:bookmarkEnd w:id="3"/>
      <w:r w:rsidRPr="00A31579">
        <w:t>concernée</w:t>
      </w:r>
    </w:p>
    <w:p w:rsidR="0043665E" w:rsidRPr="00A31579" w:rsidRDefault="0043665E" w:rsidP="007D66AD">
      <w:pPr>
        <w:pStyle w:val="Texte1"/>
      </w:pPr>
      <w:r>
        <w:t>Voir</w:t>
      </w:r>
      <w:r w:rsidRPr="00A31579">
        <w:t xml:space="preserve"> </w:t>
      </w:r>
      <w:r w:rsidR="0099595A">
        <w:t>l’Unité 3.</w:t>
      </w:r>
    </w:p>
    <w:p w:rsidR="0043665E" w:rsidRPr="00A31579" w:rsidRDefault="0043665E" w:rsidP="007D66AD">
      <w:pPr>
        <w:pStyle w:val="Texte1"/>
      </w:pPr>
      <w:r>
        <w:t>« La</w:t>
      </w:r>
      <w:r w:rsidRPr="00A31579">
        <w:t xml:space="preserve"> </w:t>
      </w:r>
      <w:r>
        <w:rPr>
          <w:b/>
          <w:bCs/>
        </w:rPr>
        <w:t>communauté</w:t>
      </w:r>
      <w:r w:rsidRPr="00A31579">
        <w:t xml:space="preserve"> </w:t>
      </w:r>
      <w:r>
        <w:t>concernée » fait référence à</w:t>
      </w:r>
      <w:r w:rsidRPr="00A31579">
        <w:t xml:space="preserve"> </w:t>
      </w:r>
      <w:r>
        <w:t>un</w:t>
      </w:r>
      <w:r w:rsidRPr="00A31579">
        <w:t xml:space="preserve"> </w:t>
      </w:r>
      <w:r>
        <w:t>groupe</w:t>
      </w:r>
      <w:r w:rsidRPr="00A31579">
        <w:t xml:space="preserve"> </w:t>
      </w:r>
      <w:r>
        <w:t>de gens</w:t>
      </w:r>
      <w:r w:rsidRPr="00A31579">
        <w:t xml:space="preserve"> </w:t>
      </w:r>
      <w:r>
        <w:t>qui</w:t>
      </w:r>
      <w:r w:rsidRPr="00A31579">
        <w:t xml:space="preserve"> reco</w:t>
      </w:r>
      <w:r>
        <w:t>nnaissent</w:t>
      </w:r>
      <w:r w:rsidRPr="00A31579">
        <w:t xml:space="preserve"> </w:t>
      </w:r>
      <w:r>
        <w:t>un</w:t>
      </w:r>
      <w:r w:rsidRPr="00A31579">
        <w:t xml:space="preserve"> </w:t>
      </w:r>
      <w:r>
        <w:t>élément du PCI</w:t>
      </w:r>
      <w:r w:rsidRPr="00A31579">
        <w:t xml:space="preserve"> </w:t>
      </w:r>
      <w:r>
        <w:t xml:space="preserve">comme faisant </w:t>
      </w:r>
      <w:r w:rsidRPr="00A31579">
        <w:t>part</w:t>
      </w:r>
      <w:r>
        <w:t>ie intégrante</w:t>
      </w:r>
      <w:r w:rsidRPr="00A31579">
        <w:t xml:space="preserve"> </w:t>
      </w:r>
      <w:r>
        <w:t>de</w:t>
      </w:r>
      <w:r w:rsidRPr="00A31579">
        <w:t xml:space="preserve"> </w:t>
      </w:r>
      <w:r>
        <w:t>leur</w:t>
      </w:r>
      <w:r w:rsidRPr="00A31579">
        <w:t xml:space="preserve"> </w:t>
      </w:r>
      <w:r>
        <w:t>patrimoine culturel</w:t>
      </w:r>
      <w:r w:rsidRPr="00A31579">
        <w:t xml:space="preserve">. </w:t>
      </w:r>
      <w:r>
        <w:t>Parfois,</w:t>
      </w:r>
      <w:r w:rsidRPr="00A31579">
        <w:t xml:space="preserve"> </w:t>
      </w:r>
      <w:r>
        <w:t>le</w:t>
      </w:r>
      <w:r w:rsidRPr="00A31579">
        <w:t xml:space="preserve"> </w:t>
      </w:r>
      <w:r>
        <w:t>groupe</w:t>
      </w:r>
      <w:r w:rsidRPr="00A31579">
        <w:t xml:space="preserve"> </w:t>
      </w:r>
      <w:r>
        <w:t>e</w:t>
      </w:r>
      <w:r w:rsidRPr="00A31579">
        <w:t xml:space="preserve">n question </w:t>
      </w:r>
      <w:r>
        <w:t>est très</w:t>
      </w:r>
      <w:r w:rsidRPr="00A31579">
        <w:t xml:space="preserve"> </w:t>
      </w:r>
      <w:r>
        <w:t>important </w:t>
      </w:r>
      <w:r w:rsidRPr="00A31579">
        <w:t xml:space="preserve">: </w:t>
      </w:r>
      <w:r>
        <w:t xml:space="preserve">la </w:t>
      </w:r>
      <w:r w:rsidRPr="00A31579">
        <w:t>France</w:t>
      </w:r>
      <w:r>
        <w:t xml:space="preserve"> a indiqué</w:t>
      </w:r>
      <w:r w:rsidRPr="00A31579">
        <w:t xml:space="preserve"> </w:t>
      </w:r>
      <w:r>
        <w:t>que</w:t>
      </w:r>
      <w:r w:rsidRPr="00A31579">
        <w:t xml:space="preserve"> </w:t>
      </w:r>
      <w:r>
        <w:t>toute la population française</w:t>
      </w:r>
      <w:r w:rsidRPr="00A31579">
        <w:t xml:space="preserve"> constitu</w:t>
      </w:r>
      <w:r>
        <w:t>ait</w:t>
      </w:r>
      <w:r w:rsidRPr="00A31579">
        <w:t xml:space="preserve"> </w:t>
      </w:r>
      <w:r>
        <w:t>la</w:t>
      </w:r>
      <w:r w:rsidRPr="00A31579">
        <w:t xml:space="preserve"> </w:t>
      </w:r>
      <w:r>
        <w:t>communauté</w:t>
      </w:r>
      <w:r w:rsidRPr="00A31579">
        <w:t xml:space="preserve"> </w:t>
      </w:r>
      <w:r>
        <w:t>des</w:t>
      </w:r>
      <w:r w:rsidRPr="00A31579">
        <w:t xml:space="preserve"> </w:t>
      </w:r>
      <w:r>
        <w:t>détenteurs</w:t>
      </w:r>
      <w:r w:rsidRPr="00A31579">
        <w:t xml:space="preserve"> </w:t>
      </w:r>
      <w:r>
        <w:t>du</w:t>
      </w:r>
      <w:r w:rsidRPr="00A31579">
        <w:t xml:space="preserve"> </w:t>
      </w:r>
      <w:r>
        <w:t xml:space="preserve">« repas </w:t>
      </w:r>
      <w:r w:rsidRPr="00A31579">
        <w:t>gastronomi</w:t>
      </w:r>
      <w:r>
        <w:t>que des</w:t>
      </w:r>
      <w:r w:rsidRPr="00A31579">
        <w:t xml:space="preserve"> Fr</w:t>
      </w:r>
      <w:r>
        <w:t xml:space="preserve">ançais » </w:t>
      </w:r>
      <w:r w:rsidRPr="00A31579">
        <w:t>(</w:t>
      </w:r>
      <w:r>
        <w:t>inscrit</w:t>
      </w:r>
      <w:r w:rsidRPr="00A31579">
        <w:t xml:space="preserve"> </w:t>
      </w:r>
      <w:r>
        <w:t>sur</w:t>
      </w:r>
      <w:r w:rsidRPr="00A31579">
        <w:t xml:space="preserve"> </w:t>
      </w:r>
      <w:r>
        <w:t>la</w:t>
      </w:r>
      <w:r w:rsidRPr="00A31579">
        <w:t xml:space="preserve"> </w:t>
      </w:r>
      <w:r>
        <w:t>Liste représentative</w:t>
      </w:r>
      <w:r w:rsidRPr="00A31579">
        <w:t xml:space="preserve"> </w:t>
      </w:r>
      <w:r>
        <w:t>en 2</w:t>
      </w:r>
      <w:r w:rsidRPr="00A31579">
        <w:t xml:space="preserve">010). </w:t>
      </w:r>
      <w:r>
        <w:t>L’élément</w:t>
      </w:r>
      <w:r w:rsidRPr="00A31579">
        <w:t xml:space="preserve"> </w:t>
      </w:r>
      <w:r>
        <w:t>peut faire partie d’un</w:t>
      </w:r>
      <w:r w:rsidRPr="00A31579">
        <w:t xml:space="preserve"> </w:t>
      </w:r>
      <w:r>
        <w:t>plus vaste</w:t>
      </w:r>
      <w:r w:rsidRPr="00A31579">
        <w:t xml:space="preserve"> </w:t>
      </w:r>
      <w:r>
        <w:t>ensemble</w:t>
      </w:r>
      <w:r w:rsidRPr="00A31579">
        <w:t xml:space="preserve"> </w:t>
      </w:r>
      <w:r>
        <w:t>d’expressions du PCI</w:t>
      </w:r>
      <w:r w:rsidRPr="00A31579">
        <w:t xml:space="preserve"> </w:t>
      </w:r>
      <w:r>
        <w:t>auxquelles s’identifie une</w:t>
      </w:r>
      <w:r w:rsidRPr="00A31579">
        <w:t xml:space="preserve"> </w:t>
      </w:r>
      <w:r>
        <w:t>communauté</w:t>
      </w:r>
      <w:r w:rsidRPr="00A31579">
        <w:t xml:space="preserve"> </w:t>
      </w:r>
      <w:r>
        <w:t>mais</w:t>
      </w:r>
      <w:r w:rsidRPr="00A31579">
        <w:t xml:space="preserve"> </w:t>
      </w:r>
      <w:r>
        <w:t>dans lesquelles</w:t>
      </w:r>
      <w:r w:rsidRPr="00A31579">
        <w:t xml:space="preserve"> </w:t>
      </w:r>
      <w:r>
        <w:t>tous les</w:t>
      </w:r>
      <w:r w:rsidRPr="00A31579">
        <w:t xml:space="preserve"> </w:t>
      </w:r>
      <w:r>
        <w:t>membre</w:t>
      </w:r>
      <w:r w:rsidRPr="00A31579">
        <w:t xml:space="preserve">s </w:t>
      </w:r>
      <w:r>
        <w:t>de</w:t>
      </w:r>
      <w:r w:rsidRPr="00A31579">
        <w:t xml:space="preserve"> </w:t>
      </w:r>
      <w:r>
        <w:t>la</w:t>
      </w:r>
      <w:r w:rsidRPr="00A31579">
        <w:t xml:space="preserve"> </w:t>
      </w:r>
      <w:r>
        <w:t>communauté</w:t>
      </w:r>
      <w:r w:rsidRPr="00A31579">
        <w:t xml:space="preserve"> </w:t>
      </w:r>
      <w:r>
        <w:t>ne jouent</w:t>
      </w:r>
      <w:r w:rsidRPr="00A31579">
        <w:t xml:space="preserve"> </w:t>
      </w:r>
      <w:r>
        <w:t>pas nécessairement un rôle a</w:t>
      </w:r>
      <w:r w:rsidRPr="00A31579">
        <w:t>cti</w:t>
      </w:r>
      <w:r>
        <w:t>f</w:t>
      </w:r>
      <w:r w:rsidRPr="00A31579">
        <w:t xml:space="preserve">. </w:t>
      </w:r>
      <w:r>
        <w:t>Il peut y avoir</w:t>
      </w:r>
      <w:r w:rsidRPr="00A31579">
        <w:t xml:space="preserve"> </w:t>
      </w:r>
      <w:r>
        <w:t>un</w:t>
      </w:r>
      <w:r w:rsidRPr="00A31579">
        <w:t xml:space="preserve"> </w:t>
      </w:r>
      <w:r>
        <w:t>groupe</w:t>
      </w:r>
      <w:r w:rsidRPr="00A31579">
        <w:t xml:space="preserve"> </w:t>
      </w:r>
      <w:r>
        <w:t>limité qui s’investit dans la pratique</w:t>
      </w:r>
      <w:r w:rsidRPr="00A31579">
        <w:t xml:space="preserve"> </w:t>
      </w:r>
      <w:r>
        <w:t xml:space="preserve">et la </w:t>
      </w:r>
      <w:r w:rsidRPr="00A31579">
        <w:t>transmi</w:t>
      </w:r>
      <w:r>
        <w:t>ssion d’un</w:t>
      </w:r>
      <w:r w:rsidRPr="00A31579">
        <w:t xml:space="preserve"> </w:t>
      </w:r>
      <w:r>
        <w:t>élément spécifique</w:t>
      </w:r>
      <w:r w:rsidRPr="00A31579">
        <w:t xml:space="preserve">, </w:t>
      </w:r>
      <w:r>
        <w:t>tandis que</w:t>
      </w:r>
      <w:r w:rsidRPr="00A31579">
        <w:t xml:space="preserve"> </w:t>
      </w:r>
      <w:r>
        <w:t>les</w:t>
      </w:r>
      <w:r w:rsidRPr="00A31579">
        <w:t xml:space="preserve"> </w:t>
      </w:r>
      <w:r>
        <w:t>autres</w:t>
      </w:r>
      <w:r w:rsidRPr="00A31579">
        <w:t xml:space="preserve"> </w:t>
      </w:r>
      <w:r>
        <w:t>membre</w:t>
      </w:r>
      <w:r w:rsidRPr="00A31579">
        <w:t xml:space="preserve">s </w:t>
      </w:r>
      <w:r>
        <w:t>de</w:t>
      </w:r>
      <w:r w:rsidRPr="00A31579">
        <w:t xml:space="preserve"> </w:t>
      </w:r>
      <w:r>
        <w:t>la</w:t>
      </w:r>
      <w:r w:rsidRPr="00A31579">
        <w:t xml:space="preserve"> </w:t>
      </w:r>
      <w:r>
        <w:t>communauté</w:t>
      </w:r>
      <w:r w:rsidRPr="00A31579">
        <w:t xml:space="preserve"> </w:t>
      </w:r>
      <w:r>
        <w:t>s’</w:t>
      </w:r>
      <w:r w:rsidRPr="00A31579">
        <w:t>identif</w:t>
      </w:r>
      <w:r>
        <w:t>ient à</w:t>
      </w:r>
      <w:r w:rsidRPr="00A31579">
        <w:t xml:space="preserve"> </w:t>
      </w:r>
      <w:r>
        <w:t>l’élément</w:t>
      </w:r>
      <w:r w:rsidRPr="00A31579">
        <w:t xml:space="preserve"> </w:t>
      </w:r>
      <w:r>
        <w:t>et</w:t>
      </w:r>
      <w:r w:rsidRPr="00A31579">
        <w:t xml:space="preserve"> particip</w:t>
      </w:r>
      <w:r>
        <w:t>ent</w:t>
      </w:r>
      <w:r w:rsidRPr="00A31579">
        <w:t xml:space="preserve"> </w:t>
      </w:r>
      <w:r>
        <w:t>en tant que public averti</w:t>
      </w:r>
      <w:r w:rsidRPr="00A31579">
        <w:t xml:space="preserve"> </w:t>
      </w:r>
      <w:r>
        <w:t>et</w:t>
      </w:r>
      <w:r w:rsidRPr="00A31579">
        <w:t xml:space="preserve"> </w:t>
      </w:r>
      <w:r>
        <w:t>intéressé</w:t>
      </w:r>
      <w:r w:rsidRPr="00A31579">
        <w:t>.</w:t>
      </w:r>
    </w:p>
    <w:p w:rsidR="0043665E" w:rsidRPr="00A31579" w:rsidRDefault="0043665E" w:rsidP="007D66AD">
      <w:pPr>
        <w:pStyle w:val="Texte1"/>
      </w:pPr>
      <w:r>
        <w:t>La</w:t>
      </w:r>
      <w:r w:rsidRPr="00A31579">
        <w:t xml:space="preserve"> Convention </w:t>
      </w:r>
      <w:r>
        <w:t>ne</w:t>
      </w:r>
      <w:r w:rsidRPr="00A31579">
        <w:t xml:space="preserve"> d</w:t>
      </w:r>
      <w:r>
        <w:t>é</w:t>
      </w:r>
      <w:r w:rsidRPr="00A31579">
        <w:t>fin</w:t>
      </w:r>
      <w:r>
        <w:t>it pas</w:t>
      </w:r>
      <w:r w:rsidRPr="00A31579">
        <w:t xml:space="preserve"> </w:t>
      </w:r>
      <w:r>
        <w:t>le concept</w:t>
      </w:r>
      <w:r w:rsidRPr="00A31579">
        <w:t xml:space="preserve"> </w:t>
      </w:r>
      <w:r>
        <w:t>de « communauté »</w:t>
      </w:r>
      <w:r w:rsidRPr="00A31579">
        <w:t xml:space="preserve">. </w:t>
      </w:r>
      <w:r>
        <w:t>Les rédacteurs de</w:t>
      </w:r>
      <w:r w:rsidRPr="00A31579">
        <w:t xml:space="preserve"> </w:t>
      </w:r>
      <w:r>
        <w:t>la</w:t>
      </w:r>
      <w:r w:rsidRPr="00A31579">
        <w:t xml:space="preserve"> Convention </w:t>
      </w:r>
      <w:r>
        <w:t>sont convenus</w:t>
      </w:r>
      <w:r w:rsidRPr="00A31579">
        <w:t xml:space="preserve"> </w:t>
      </w:r>
      <w:r>
        <w:t>qu’u</w:t>
      </w:r>
      <w:r w:rsidRPr="00A31579">
        <w:t xml:space="preserve">ne </w:t>
      </w:r>
      <w:r>
        <w:t>personne</w:t>
      </w:r>
      <w:r w:rsidRPr="00A31579">
        <w:t xml:space="preserve"> </w:t>
      </w:r>
      <w:r>
        <w:t>pouvait appartenir à</w:t>
      </w:r>
      <w:r w:rsidRPr="00A31579">
        <w:t xml:space="preserve"> </w:t>
      </w:r>
      <w:r>
        <w:t>plus d’une</w:t>
      </w:r>
      <w:r w:rsidRPr="00A31579">
        <w:t xml:space="preserve"> </w:t>
      </w:r>
      <w:r>
        <w:t>communauté</w:t>
      </w:r>
      <w:r w:rsidRPr="00A31579">
        <w:t xml:space="preserve"> </w:t>
      </w:r>
      <w:r>
        <w:t>du PCI et</w:t>
      </w:r>
      <w:r w:rsidRPr="00A31579">
        <w:t xml:space="preserve"> </w:t>
      </w:r>
      <w:r>
        <w:t>que</w:t>
      </w:r>
      <w:r w:rsidRPr="00A31579">
        <w:t xml:space="preserve"> </w:t>
      </w:r>
      <w:r>
        <w:t>des personnes étaient amenées, au cours de</w:t>
      </w:r>
      <w:r w:rsidRPr="00A31579">
        <w:t xml:space="preserve"> </w:t>
      </w:r>
      <w:r>
        <w:t>leur</w:t>
      </w:r>
      <w:r w:rsidRPr="00A31579">
        <w:t xml:space="preserve"> </w:t>
      </w:r>
      <w:r>
        <w:t>existence, à re</w:t>
      </w:r>
      <w:r w:rsidRPr="00A31579">
        <w:t>join</w:t>
      </w:r>
      <w:r>
        <w:t>dre</w:t>
      </w:r>
      <w:r w:rsidRPr="00A31579">
        <w:t xml:space="preserve"> </w:t>
      </w:r>
      <w:r>
        <w:t>différentes</w:t>
      </w:r>
      <w:r w:rsidRPr="00A31579">
        <w:t xml:space="preserve"> </w:t>
      </w:r>
      <w:r>
        <w:t>communautés</w:t>
      </w:r>
      <w:r w:rsidRPr="00A31579">
        <w:t xml:space="preserve"> </w:t>
      </w:r>
      <w:r>
        <w:t>ou</w:t>
      </w:r>
      <w:r w:rsidRPr="00A31579">
        <w:t xml:space="preserve"> </w:t>
      </w:r>
      <w:r>
        <w:t>à quitter</w:t>
      </w:r>
      <w:r w:rsidRPr="00A31579">
        <w:t xml:space="preserve"> </w:t>
      </w:r>
      <w:r>
        <w:t>une</w:t>
      </w:r>
      <w:r w:rsidRPr="00A31579">
        <w:t xml:space="preserve"> </w:t>
      </w:r>
      <w:r>
        <w:t>communauté</w:t>
      </w:r>
      <w:r w:rsidRPr="00A31579">
        <w:t xml:space="preserve">. </w:t>
      </w:r>
      <w:r>
        <w:t>Une seul</w:t>
      </w:r>
      <w:r w:rsidRPr="00A31579">
        <w:t xml:space="preserve">e </w:t>
      </w:r>
      <w:r>
        <w:t>et</w:t>
      </w:r>
      <w:r w:rsidRPr="00A31579">
        <w:t xml:space="preserve"> </w:t>
      </w:r>
      <w:r>
        <w:t>même</w:t>
      </w:r>
      <w:r w:rsidRPr="00A31579">
        <w:t xml:space="preserve"> </w:t>
      </w:r>
      <w:r>
        <w:t>personne</w:t>
      </w:r>
      <w:r w:rsidRPr="00A31579">
        <w:t xml:space="preserve">, </w:t>
      </w:r>
      <w:r>
        <w:t>par exemple</w:t>
      </w:r>
      <w:r w:rsidRPr="00A31579">
        <w:t xml:space="preserve">, </w:t>
      </w:r>
      <w:r>
        <w:t>peut s’</w:t>
      </w:r>
      <w:r w:rsidRPr="00A31579">
        <w:t>associ</w:t>
      </w:r>
      <w:r>
        <w:t>er à une</w:t>
      </w:r>
      <w:r w:rsidRPr="00A31579">
        <w:t xml:space="preserve"> </w:t>
      </w:r>
      <w:r>
        <w:t xml:space="preserve">communauté </w:t>
      </w:r>
      <w:r w:rsidRPr="00A31579">
        <w:t>national</w:t>
      </w:r>
      <w:r>
        <w:t>e</w:t>
      </w:r>
      <w:r w:rsidRPr="00A31579">
        <w:t xml:space="preserve">, </w:t>
      </w:r>
      <w:r>
        <w:t>une</w:t>
      </w:r>
      <w:r w:rsidRPr="00A31579">
        <w:t xml:space="preserve"> </w:t>
      </w:r>
      <w:r>
        <w:t>communauté région</w:t>
      </w:r>
      <w:r w:rsidRPr="00A31579">
        <w:t>al</w:t>
      </w:r>
      <w:r>
        <w:t>e</w:t>
      </w:r>
      <w:r w:rsidRPr="00A31579">
        <w:t xml:space="preserve">, </w:t>
      </w:r>
      <w:r>
        <w:t>une</w:t>
      </w:r>
      <w:r w:rsidRPr="00A31579">
        <w:t xml:space="preserve"> </w:t>
      </w:r>
      <w:r>
        <w:lastRenderedPageBreak/>
        <w:t>communauté ethnolinguistique,</w:t>
      </w:r>
      <w:r w:rsidRPr="00A31579">
        <w:t xml:space="preserve"> </w:t>
      </w:r>
      <w:r>
        <w:t>une</w:t>
      </w:r>
      <w:r w:rsidRPr="00A31579">
        <w:t xml:space="preserve"> </w:t>
      </w:r>
      <w:r>
        <w:t xml:space="preserve">communauté religieuse </w:t>
      </w:r>
      <w:r w:rsidRPr="00A31579">
        <w:t>supranational</w:t>
      </w:r>
      <w:r>
        <w:t>e</w:t>
      </w:r>
      <w:r w:rsidRPr="00A31579">
        <w:t xml:space="preserve"> </w:t>
      </w:r>
      <w:r>
        <w:t>ou encore</w:t>
      </w:r>
      <w:r w:rsidRPr="00A31579">
        <w:t xml:space="preserve"> </w:t>
      </w:r>
      <w:r>
        <w:t>à</w:t>
      </w:r>
      <w:r w:rsidRPr="00A31579">
        <w:t xml:space="preserve"> </w:t>
      </w:r>
      <w:r>
        <w:t>un</w:t>
      </w:r>
      <w:r w:rsidRPr="00A31579">
        <w:t xml:space="preserve"> </w:t>
      </w:r>
      <w:r>
        <w:t>groupe</w:t>
      </w:r>
      <w:r w:rsidRPr="00A31579">
        <w:t xml:space="preserve"> </w:t>
      </w:r>
      <w:r>
        <w:t>d’individus</w:t>
      </w:r>
      <w:r w:rsidRPr="00A31579">
        <w:t xml:space="preserve"> </w:t>
      </w:r>
      <w:r>
        <w:t>qui s’intéressent à</w:t>
      </w:r>
      <w:r w:rsidRPr="00A31579">
        <w:t xml:space="preserve"> </w:t>
      </w:r>
      <w:r>
        <w:t>la</w:t>
      </w:r>
      <w:r w:rsidRPr="00A31579">
        <w:t xml:space="preserve"> </w:t>
      </w:r>
      <w:r>
        <w:t>pratique</w:t>
      </w:r>
      <w:r w:rsidRPr="00A31579">
        <w:t xml:space="preserve"> </w:t>
      </w:r>
      <w:r>
        <w:t>d’un</w:t>
      </w:r>
      <w:r w:rsidRPr="00A31579">
        <w:t xml:space="preserve"> </w:t>
      </w:r>
      <w:r>
        <w:t>ou de plusieurs</w:t>
      </w:r>
      <w:r w:rsidRPr="00A31579">
        <w:t xml:space="preserve"> </w:t>
      </w:r>
      <w:r>
        <w:t>élément</w:t>
      </w:r>
      <w:r w:rsidRPr="00A31579">
        <w:t>s</w:t>
      </w:r>
      <w:r>
        <w:t xml:space="preserve"> du PCI</w:t>
      </w:r>
      <w:r w:rsidRPr="00A31579">
        <w:t>.</w:t>
      </w:r>
    </w:p>
    <w:p w:rsidR="0043665E" w:rsidRPr="00A31579" w:rsidRDefault="0043665E" w:rsidP="007D66AD">
      <w:pPr>
        <w:pStyle w:val="Soustitre"/>
        <w:rPr>
          <w:rFonts w:hint="eastAsia"/>
        </w:rPr>
      </w:pPr>
      <w:bookmarkStart w:id="4" w:name="_Toc256598726"/>
      <w:bookmarkStart w:id="5" w:name="_Toc257461157"/>
      <w:r w:rsidRPr="00A31579">
        <w:t>Point</w:t>
      </w:r>
      <w:r>
        <w:t> </w:t>
      </w:r>
      <w:r w:rsidRPr="00A31579">
        <w:t>1.4</w:t>
      </w:r>
      <w:r>
        <w:t> </w:t>
      </w:r>
      <w:r w:rsidRPr="00A31579">
        <w:t xml:space="preserve">: </w:t>
      </w:r>
      <w:r>
        <w:t>r</w:t>
      </w:r>
      <w:r w:rsidRPr="00A31579">
        <w:t>épartition</w:t>
      </w:r>
      <w:bookmarkEnd w:id="4"/>
      <w:bookmarkEnd w:id="5"/>
    </w:p>
    <w:p w:rsidR="0043665E" w:rsidRPr="00A31579" w:rsidRDefault="0043665E" w:rsidP="007D66AD">
      <w:pPr>
        <w:pStyle w:val="Texte1"/>
      </w:pPr>
      <w:r>
        <w:t>Voir</w:t>
      </w:r>
      <w:r w:rsidRPr="00A31579">
        <w:t xml:space="preserve"> </w:t>
      </w:r>
      <w:r>
        <w:t>l’u</w:t>
      </w:r>
      <w:r w:rsidRPr="00A31579">
        <w:t>nité </w:t>
      </w:r>
      <w:r w:rsidR="005D395D">
        <w:t>7</w:t>
      </w:r>
      <w:r w:rsidRPr="00A31579">
        <w:t xml:space="preserve"> a</w:t>
      </w:r>
      <w:r>
        <w:t>insi que les</w:t>
      </w:r>
      <w:r w:rsidRPr="00A31579">
        <w:t xml:space="preserve"> notions </w:t>
      </w:r>
      <w:r>
        <w:t>de</w:t>
      </w:r>
      <w:r w:rsidRPr="00A31579">
        <w:t xml:space="preserve"> </w:t>
      </w:r>
      <w:r>
        <w:t>communauté</w:t>
      </w:r>
      <w:r w:rsidRPr="00A31579">
        <w:t xml:space="preserve"> </w:t>
      </w:r>
      <w:r>
        <w:t>dans l’u</w:t>
      </w:r>
      <w:r w:rsidRPr="00A31579">
        <w:t>nité </w:t>
      </w:r>
      <w:r w:rsidR="005D395D">
        <w:t>3</w:t>
      </w:r>
      <w:r w:rsidRPr="00A31579">
        <w:t>.</w:t>
      </w:r>
    </w:p>
    <w:p w:rsidR="0043665E" w:rsidRPr="00A31579" w:rsidRDefault="0043665E" w:rsidP="007D66AD">
      <w:pPr>
        <w:pStyle w:val="Texte1"/>
      </w:pPr>
      <w:r>
        <w:t>Les éléments du PCI</w:t>
      </w:r>
      <w:r w:rsidRPr="00A31579">
        <w:t xml:space="preserve"> </w:t>
      </w:r>
      <w:r>
        <w:t>peuvent être</w:t>
      </w:r>
      <w:r w:rsidRPr="00A31579">
        <w:t xml:space="preserve"> associ</w:t>
      </w:r>
      <w:r>
        <w:t>és à un lieu</w:t>
      </w:r>
      <w:r w:rsidRPr="00A31579">
        <w:t xml:space="preserve"> </w:t>
      </w:r>
      <w:r>
        <w:t>spécifique</w:t>
      </w:r>
      <w:r w:rsidRPr="00A31579">
        <w:t xml:space="preserve"> </w:t>
      </w:r>
      <w:r>
        <w:t>où</w:t>
      </w:r>
      <w:r w:rsidRPr="00A31579">
        <w:t xml:space="preserve"> </w:t>
      </w:r>
      <w:r>
        <w:t>est représentée et transmise leur</w:t>
      </w:r>
      <w:r w:rsidRPr="00A31579">
        <w:t xml:space="preserve"> </w:t>
      </w:r>
      <w:r>
        <w:t>pratique</w:t>
      </w:r>
      <w:r w:rsidRPr="00A31579">
        <w:t xml:space="preserve"> </w:t>
      </w:r>
      <w:r>
        <w:t>ou</w:t>
      </w:r>
      <w:r w:rsidRPr="00A31579">
        <w:t xml:space="preserve"> </w:t>
      </w:r>
      <w:r>
        <w:t xml:space="preserve">leur </w:t>
      </w:r>
      <w:r w:rsidRPr="00A31579">
        <w:t>expression</w:t>
      </w:r>
      <w:r>
        <w:t>.</w:t>
      </w:r>
      <w:r w:rsidRPr="00A31579">
        <w:t xml:space="preserve"> </w:t>
      </w:r>
      <w:r>
        <w:t>Par exemple</w:t>
      </w:r>
      <w:r w:rsidRPr="00A31579">
        <w:t xml:space="preserve">, </w:t>
      </w:r>
      <w:r>
        <w:t>le</w:t>
      </w:r>
      <w:r w:rsidRPr="00A31579">
        <w:t xml:space="preserve"> </w:t>
      </w:r>
      <w:r>
        <w:t>carnaval b</w:t>
      </w:r>
      <w:r w:rsidRPr="00A31579">
        <w:t>elg</w:t>
      </w:r>
      <w:r>
        <w:t>e</w:t>
      </w:r>
      <w:r w:rsidRPr="00A31579">
        <w:t xml:space="preserve"> </w:t>
      </w:r>
      <w:r>
        <w:t>de</w:t>
      </w:r>
      <w:r w:rsidRPr="00A31579">
        <w:t xml:space="preserve"> Binche, </w:t>
      </w:r>
      <w:r>
        <w:t>inscrit</w:t>
      </w:r>
      <w:r w:rsidRPr="00A31579">
        <w:t xml:space="preserve"> </w:t>
      </w:r>
      <w:r>
        <w:t>sur</w:t>
      </w:r>
      <w:r w:rsidRPr="00A31579">
        <w:t xml:space="preserve"> </w:t>
      </w:r>
      <w:r>
        <w:t>la</w:t>
      </w:r>
      <w:r w:rsidRPr="00A31579">
        <w:t xml:space="preserve"> </w:t>
      </w:r>
      <w:r>
        <w:t>Liste représentative</w:t>
      </w:r>
      <w:r w:rsidRPr="00A31579">
        <w:t xml:space="preserve"> </w:t>
      </w:r>
      <w:r>
        <w:t>en 2</w:t>
      </w:r>
      <w:r w:rsidRPr="00A31579">
        <w:t>008</w:t>
      </w:r>
      <w:r>
        <w:t>,</w:t>
      </w:r>
      <w:r w:rsidRPr="00A31579">
        <w:t xml:space="preserve"> </w:t>
      </w:r>
      <w:r>
        <w:t>se</w:t>
      </w:r>
      <w:r w:rsidRPr="00A31579">
        <w:t xml:space="preserve"> limit</w:t>
      </w:r>
      <w:r>
        <w:t>e à la ville</w:t>
      </w:r>
      <w:r w:rsidRPr="00A31579">
        <w:t xml:space="preserve"> </w:t>
      </w:r>
      <w:r>
        <w:t>de</w:t>
      </w:r>
      <w:r w:rsidRPr="00A31579">
        <w:t xml:space="preserve"> Binche. </w:t>
      </w:r>
      <w:r>
        <w:t>Dans d’autres</w:t>
      </w:r>
      <w:r w:rsidRPr="00A31579">
        <w:t xml:space="preserve"> cas, </w:t>
      </w:r>
      <w:r>
        <w:t>la</w:t>
      </w:r>
      <w:r w:rsidRPr="00A31579">
        <w:t xml:space="preserve"> </w:t>
      </w:r>
      <w:r>
        <w:t>zone géographique est beaucoup plus vaste, comme on le voit avec</w:t>
      </w:r>
      <w:r w:rsidRPr="00A31579">
        <w:t xml:space="preserve"> </w:t>
      </w:r>
      <w:r>
        <w:t>la</w:t>
      </w:r>
      <w:r w:rsidRPr="00A31579">
        <w:t xml:space="preserve"> </w:t>
      </w:r>
      <w:r>
        <w:t>tradition m</w:t>
      </w:r>
      <w:r w:rsidRPr="00A31579">
        <w:t>ongol</w:t>
      </w:r>
      <w:r>
        <w:t>e</w:t>
      </w:r>
      <w:r w:rsidRPr="00A31579">
        <w:t xml:space="preserve"> </w:t>
      </w:r>
      <w:r>
        <w:t>des</w:t>
      </w:r>
      <w:r w:rsidRPr="00A31579">
        <w:t xml:space="preserve"> </w:t>
      </w:r>
      <w:r>
        <w:t>« chants l</w:t>
      </w:r>
      <w:r w:rsidRPr="00A31579">
        <w:t>ong</w:t>
      </w:r>
      <w:r>
        <w:t xml:space="preserve">s traditionnels » </w:t>
      </w:r>
      <w:r w:rsidRPr="00A31579">
        <w:t>(</w:t>
      </w:r>
      <w:r>
        <w:t>inscrits</w:t>
      </w:r>
      <w:r w:rsidRPr="00A31579">
        <w:t xml:space="preserve"> </w:t>
      </w:r>
      <w:r>
        <w:t>sur</w:t>
      </w:r>
      <w:r w:rsidRPr="00A31579">
        <w:t xml:space="preserve"> </w:t>
      </w:r>
      <w:r>
        <w:t>la</w:t>
      </w:r>
      <w:r w:rsidRPr="00A31579">
        <w:t xml:space="preserve"> </w:t>
      </w:r>
      <w:r>
        <w:t>Liste représentative e</w:t>
      </w:r>
      <w:r w:rsidRPr="00A31579">
        <w:t xml:space="preserve">n 2008) </w:t>
      </w:r>
      <w:r>
        <w:t>pratiquée</w:t>
      </w:r>
      <w:r w:rsidRPr="00A31579">
        <w:t xml:space="preserve"> </w:t>
      </w:r>
      <w:r>
        <w:t>dans les territoires d’expression m</w:t>
      </w:r>
      <w:r w:rsidRPr="00A31579">
        <w:t>ongol</w:t>
      </w:r>
      <w:r>
        <w:t>e à l’intérieur même de la</w:t>
      </w:r>
      <w:r w:rsidRPr="00A31579">
        <w:t xml:space="preserve"> Mongol</w:t>
      </w:r>
      <w:r>
        <w:t>ie et</w:t>
      </w:r>
      <w:r w:rsidRPr="00A31579">
        <w:t xml:space="preserve"> </w:t>
      </w:r>
      <w:r>
        <w:t xml:space="preserve">dans la </w:t>
      </w:r>
      <w:r w:rsidRPr="00A31579">
        <w:t>Chin</w:t>
      </w:r>
      <w:r>
        <w:t>e voisine</w:t>
      </w:r>
      <w:r w:rsidRPr="00A31579">
        <w:t>.</w:t>
      </w:r>
    </w:p>
    <w:p w:rsidR="0043665E" w:rsidRPr="00A31579" w:rsidRDefault="0043665E" w:rsidP="007D66AD">
      <w:pPr>
        <w:pStyle w:val="Soustitre"/>
        <w:rPr>
          <w:rFonts w:hint="eastAsia"/>
        </w:rPr>
      </w:pPr>
      <w:r w:rsidRPr="00A31579">
        <w:t>Point</w:t>
      </w:r>
      <w:r>
        <w:t> </w:t>
      </w:r>
      <w:r w:rsidRPr="00A31579">
        <w:t>2.6</w:t>
      </w:r>
      <w:r>
        <w:t> </w:t>
      </w:r>
      <w:r w:rsidRPr="00A31579">
        <w:t xml:space="preserve">: </w:t>
      </w:r>
      <w:r>
        <w:t>p</w:t>
      </w:r>
      <w:r w:rsidRPr="00A31579">
        <w:t>ratiques coutumières régissant l’accès à l’élément</w:t>
      </w:r>
    </w:p>
    <w:p w:rsidR="0043665E" w:rsidRPr="00A31579" w:rsidRDefault="0043665E" w:rsidP="007D66AD">
      <w:pPr>
        <w:pStyle w:val="Texte1"/>
      </w:pPr>
      <w:r>
        <w:t>Voir</w:t>
      </w:r>
      <w:r w:rsidRPr="00A31579">
        <w:t xml:space="preserve"> </w:t>
      </w:r>
      <w:r>
        <w:t>l’u</w:t>
      </w:r>
      <w:r w:rsidRPr="00A31579">
        <w:t>nité </w:t>
      </w:r>
      <w:r w:rsidR="005D395D">
        <w:t>7</w:t>
      </w:r>
      <w:r w:rsidRPr="00A31579">
        <w:t xml:space="preserve"> a</w:t>
      </w:r>
      <w:r>
        <w:t>insi que l’u</w:t>
      </w:r>
      <w:r w:rsidRPr="00A31579">
        <w:t xml:space="preserve">nité </w:t>
      </w:r>
      <w:r w:rsidR="005D395D">
        <w:t>2</w:t>
      </w:r>
      <w:r w:rsidRPr="00A31579">
        <w:t>.</w:t>
      </w:r>
    </w:p>
    <w:p w:rsidR="0043665E" w:rsidRPr="00A31579" w:rsidRDefault="0043665E" w:rsidP="007D66AD">
      <w:pPr>
        <w:pStyle w:val="Texte1"/>
      </w:pPr>
      <w:r>
        <w:t>Dans bien des cas</w:t>
      </w:r>
      <w:r w:rsidRPr="00A31579">
        <w:t xml:space="preserve">, </w:t>
      </w:r>
      <w:r>
        <w:t>seules certaines personnes sont</w:t>
      </w:r>
      <w:r w:rsidRPr="00A31579">
        <w:t xml:space="preserve"> tradition</w:t>
      </w:r>
      <w:r>
        <w:t>nellement aptes à représenter</w:t>
      </w:r>
      <w:r w:rsidRPr="00A31579">
        <w:t xml:space="preserve"> </w:t>
      </w:r>
      <w:r>
        <w:t>une pratique</w:t>
      </w:r>
      <w:r w:rsidRPr="00A31579">
        <w:t xml:space="preserve"> </w:t>
      </w:r>
      <w:r>
        <w:t>ou une expression</w:t>
      </w:r>
      <w:r w:rsidRPr="00A31579">
        <w:t xml:space="preserve">. </w:t>
      </w:r>
      <w:r>
        <w:t>Il arrive souvent que des</w:t>
      </w:r>
      <w:r w:rsidRPr="00A31579">
        <w:t xml:space="preserve"> </w:t>
      </w:r>
      <w:r>
        <w:t>rôle</w:t>
      </w:r>
      <w:r w:rsidRPr="00A31579">
        <w:t xml:space="preserve">s </w:t>
      </w:r>
      <w:r>
        <w:t>spécifiques puissent être uniquement confiés à des</w:t>
      </w:r>
      <w:r w:rsidRPr="00A31579">
        <w:t xml:space="preserve"> </w:t>
      </w:r>
      <w:r>
        <w:t>hommes</w:t>
      </w:r>
      <w:r w:rsidRPr="00A31579">
        <w:t xml:space="preserve">, </w:t>
      </w:r>
      <w:r>
        <w:t>à des femmes</w:t>
      </w:r>
      <w:r w:rsidRPr="00A31579">
        <w:t xml:space="preserve">, </w:t>
      </w:r>
      <w:r>
        <w:t>à des personnes âgées ou</w:t>
      </w:r>
      <w:r w:rsidRPr="00A31579">
        <w:t xml:space="preserve"> </w:t>
      </w:r>
      <w:r>
        <w:t>à des individus ayant des antécédents particuliers</w:t>
      </w:r>
      <w:r w:rsidRPr="00A31579">
        <w:t xml:space="preserve">. </w:t>
      </w:r>
      <w:r>
        <w:t>Il peut aussi</w:t>
      </w:r>
      <w:r w:rsidRPr="00A31579">
        <w:t xml:space="preserve"> </w:t>
      </w:r>
      <w:r>
        <w:t>y avoir des</w:t>
      </w:r>
      <w:r w:rsidRPr="00A31579">
        <w:t xml:space="preserve"> restrictions </w:t>
      </w:r>
      <w:r>
        <w:t>concernant l’auditoire</w:t>
      </w:r>
      <w:r w:rsidRPr="00A31579">
        <w:t xml:space="preserve">. </w:t>
      </w:r>
      <w:r>
        <w:t>Ces</w:t>
      </w:r>
      <w:r w:rsidRPr="00A31579">
        <w:t xml:space="preserve"> restrictions </w:t>
      </w:r>
      <w:r>
        <w:t xml:space="preserve">doivent être </w:t>
      </w:r>
      <w:r w:rsidRPr="00A31579">
        <w:t>respect</w:t>
      </w:r>
      <w:r>
        <w:t>é</w:t>
      </w:r>
      <w:r w:rsidRPr="00A31579">
        <w:t>e</w:t>
      </w:r>
      <w:r>
        <w:t>s selon la Convention</w:t>
      </w:r>
      <w:r w:rsidRPr="00A31579">
        <w:t xml:space="preserve">, </w:t>
      </w:r>
      <w:r>
        <w:t>si</w:t>
      </w:r>
      <w:r w:rsidRPr="00A31579">
        <w:t xml:space="preserve"> </w:t>
      </w:r>
      <w:r>
        <w:t>tel</w:t>
      </w:r>
      <w:r w:rsidRPr="00A31579">
        <w:t xml:space="preserve"> </w:t>
      </w:r>
      <w:r>
        <w:t>est</w:t>
      </w:r>
      <w:r w:rsidRPr="00A31579">
        <w:t xml:space="preserve"> </w:t>
      </w:r>
      <w:r>
        <w:t>le</w:t>
      </w:r>
      <w:r w:rsidRPr="00A31579">
        <w:t xml:space="preserve"> </w:t>
      </w:r>
      <w:r>
        <w:t>souhait des</w:t>
      </w:r>
      <w:r w:rsidRPr="00A31579">
        <w:t xml:space="preserve"> </w:t>
      </w:r>
      <w:r>
        <w:t>communautés</w:t>
      </w:r>
      <w:r w:rsidRPr="00A31579">
        <w:t xml:space="preserve"> </w:t>
      </w:r>
      <w:r>
        <w:t>concernées.</w:t>
      </w:r>
      <w:r w:rsidR="005D395D" w:rsidRPr="00A31579" w:rsidDel="005D395D">
        <w:t xml:space="preserve"> </w:t>
      </w:r>
      <w:r>
        <w:t>Parfois, dans des projets de sauvegarde, les membres de la communauté</w:t>
      </w:r>
      <w:r w:rsidRPr="00A31579">
        <w:t xml:space="preserve"> propose</w:t>
      </w:r>
      <w:r>
        <w:t>nt</w:t>
      </w:r>
      <w:r w:rsidRPr="00A31579">
        <w:t xml:space="preserve">, </w:t>
      </w:r>
      <w:r>
        <w:t>avec l’aval de la</w:t>
      </w:r>
      <w:r w:rsidRPr="00A31579">
        <w:t xml:space="preserve"> </w:t>
      </w:r>
      <w:r>
        <w:t>communauté tout entière</w:t>
      </w:r>
      <w:r w:rsidRPr="00A31579">
        <w:t xml:space="preserve">, </w:t>
      </w:r>
      <w:r>
        <w:t>de confier des</w:t>
      </w:r>
      <w:r w:rsidRPr="00A31579">
        <w:t xml:space="preserve"> </w:t>
      </w:r>
      <w:r>
        <w:t>rôles spécifiques</w:t>
      </w:r>
      <w:r w:rsidRPr="00A31579">
        <w:t xml:space="preserve"> </w:t>
      </w:r>
      <w:r>
        <w:t>à</w:t>
      </w:r>
      <w:r w:rsidRPr="00A31579">
        <w:t xml:space="preserve"> </w:t>
      </w:r>
      <w:r>
        <w:t>d’autres</w:t>
      </w:r>
      <w:r w:rsidRPr="00A31579">
        <w:t xml:space="preserve"> </w:t>
      </w:r>
      <w:r>
        <w:t>catégorie</w:t>
      </w:r>
      <w:r w:rsidRPr="00A31579">
        <w:t xml:space="preserve">s </w:t>
      </w:r>
      <w:r>
        <w:t>de</w:t>
      </w:r>
      <w:r w:rsidRPr="00A31579">
        <w:t xml:space="preserve"> </w:t>
      </w:r>
      <w:r>
        <w:t>personnes</w:t>
      </w:r>
      <w:r w:rsidRPr="00A31579">
        <w:t xml:space="preserve"> </w:t>
      </w:r>
      <w:r>
        <w:t>que celles auxquelles ils étaient</w:t>
      </w:r>
      <w:r w:rsidRPr="00A31579">
        <w:t xml:space="preserve"> </w:t>
      </w:r>
      <w:r>
        <w:t xml:space="preserve">réservés selon la </w:t>
      </w:r>
      <w:r w:rsidRPr="00A31579">
        <w:t>tradition</w:t>
      </w:r>
      <w:r>
        <w:t>.</w:t>
      </w:r>
    </w:p>
    <w:p w:rsidR="0043665E" w:rsidRPr="00A31579" w:rsidRDefault="0043665E" w:rsidP="007D66AD">
      <w:pPr>
        <w:pStyle w:val="Texte1"/>
      </w:pPr>
      <w:r>
        <w:t>L’a</w:t>
      </w:r>
      <w:r w:rsidRPr="00A31579">
        <w:t>rticle</w:t>
      </w:r>
      <w:r>
        <w:t> </w:t>
      </w:r>
      <w:r w:rsidRPr="00A31579">
        <w:t>13</w:t>
      </w:r>
      <w:r>
        <w:t>.</w:t>
      </w:r>
      <w:r w:rsidRPr="00A31579">
        <w:t>d</w:t>
      </w:r>
      <w:r>
        <w:t xml:space="preserve"> </w:t>
      </w:r>
      <w:r w:rsidRPr="00A31579">
        <w:t xml:space="preserve">(ii) </w:t>
      </w:r>
      <w:r>
        <w:t>de</w:t>
      </w:r>
      <w:r w:rsidRPr="00A31579">
        <w:t xml:space="preserve"> </w:t>
      </w:r>
      <w:r>
        <w:t>la</w:t>
      </w:r>
      <w:r w:rsidRPr="00A31579">
        <w:t xml:space="preserve"> Convention </w:t>
      </w:r>
      <w:r>
        <w:t>demande aux</w:t>
      </w:r>
      <w:r w:rsidRPr="00A31579">
        <w:t xml:space="preserve"> </w:t>
      </w:r>
      <w:r>
        <w:t>États parties</w:t>
      </w:r>
      <w:r w:rsidRPr="00A31579">
        <w:t xml:space="preserve"> </w:t>
      </w:r>
      <w:r>
        <w:t>de prendre des</w:t>
      </w:r>
      <w:r w:rsidRPr="00A31579">
        <w:t xml:space="preserve"> </w:t>
      </w:r>
      <w:r>
        <w:t>mesure</w:t>
      </w:r>
      <w:r w:rsidRPr="00A31579">
        <w:t xml:space="preserve">s </w:t>
      </w:r>
      <w:r>
        <w:t>visant à</w:t>
      </w:r>
      <w:r w:rsidRPr="00A31579">
        <w:t xml:space="preserve"> </w:t>
      </w:r>
      <w:r>
        <w:rPr>
          <w:i/>
        </w:rPr>
        <w:t>garantir l’accès</w:t>
      </w:r>
      <w:r w:rsidRPr="00A31579">
        <w:rPr>
          <w:i/>
        </w:rPr>
        <w:t xml:space="preserve"> </w:t>
      </w:r>
      <w:r>
        <w:rPr>
          <w:i/>
        </w:rPr>
        <w:t>au</w:t>
      </w:r>
      <w:r w:rsidRPr="00A31579">
        <w:rPr>
          <w:i/>
        </w:rPr>
        <w:t xml:space="preserve"> </w:t>
      </w:r>
      <w:r>
        <w:rPr>
          <w:i/>
        </w:rPr>
        <w:t>PCI</w:t>
      </w:r>
      <w:r w:rsidRPr="00A31579">
        <w:rPr>
          <w:i/>
        </w:rPr>
        <w:t xml:space="preserve"> </w:t>
      </w:r>
      <w:r>
        <w:rPr>
          <w:i/>
        </w:rPr>
        <w:t>tout en</w:t>
      </w:r>
      <w:r w:rsidRPr="00A31579">
        <w:rPr>
          <w:i/>
        </w:rPr>
        <w:t xml:space="preserve"> respect</w:t>
      </w:r>
      <w:r>
        <w:rPr>
          <w:i/>
        </w:rPr>
        <w:t>ant les</w:t>
      </w:r>
      <w:r w:rsidRPr="00A31579">
        <w:rPr>
          <w:i/>
        </w:rPr>
        <w:t xml:space="preserve"> </w:t>
      </w:r>
      <w:r>
        <w:rPr>
          <w:i/>
        </w:rPr>
        <w:t>pratique</w:t>
      </w:r>
      <w:r w:rsidRPr="00A31579">
        <w:rPr>
          <w:i/>
        </w:rPr>
        <w:t xml:space="preserve">s </w:t>
      </w:r>
      <w:r>
        <w:rPr>
          <w:i/>
        </w:rPr>
        <w:t>coutumières qui régissent l’</w:t>
      </w:r>
      <w:r w:rsidRPr="00A31579">
        <w:rPr>
          <w:i/>
        </w:rPr>
        <w:t>a</w:t>
      </w:r>
      <w:r>
        <w:rPr>
          <w:i/>
        </w:rPr>
        <w:t>ccès</w:t>
      </w:r>
      <w:r w:rsidRPr="00A31579">
        <w:rPr>
          <w:i/>
        </w:rPr>
        <w:t xml:space="preserve"> </w:t>
      </w:r>
      <w:r>
        <w:rPr>
          <w:i/>
        </w:rPr>
        <w:t>à des</w:t>
      </w:r>
      <w:r w:rsidRPr="00A31579">
        <w:rPr>
          <w:i/>
        </w:rPr>
        <w:t xml:space="preserve"> aspects </w:t>
      </w:r>
      <w:r>
        <w:rPr>
          <w:i/>
        </w:rPr>
        <w:t>spécifiques de</w:t>
      </w:r>
      <w:r w:rsidRPr="00A31579">
        <w:rPr>
          <w:i/>
        </w:rPr>
        <w:t xml:space="preserve"> </w:t>
      </w:r>
      <w:r>
        <w:rPr>
          <w:i/>
        </w:rPr>
        <w:t>ce</w:t>
      </w:r>
      <w:r w:rsidRPr="00A31579">
        <w:rPr>
          <w:i/>
        </w:rPr>
        <w:t xml:space="preserve"> </w:t>
      </w:r>
      <w:r>
        <w:rPr>
          <w:i/>
        </w:rPr>
        <w:t>patrimoine</w:t>
      </w:r>
      <w:r w:rsidRPr="00A31579">
        <w:t xml:space="preserve">. </w:t>
      </w:r>
      <w:r>
        <w:t>Si,</w:t>
      </w:r>
      <w:r w:rsidRPr="00A31579">
        <w:t xml:space="preserve"> </w:t>
      </w:r>
      <w:r>
        <w:t>par exemple, des pratiques du PCI</w:t>
      </w:r>
      <w:r w:rsidRPr="00A31579">
        <w:t xml:space="preserve"> </w:t>
      </w:r>
      <w:r>
        <w:t xml:space="preserve">ne sont pas accessibles à tous </w:t>
      </w:r>
      <w:r w:rsidRPr="00A31579">
        <w:t>(</w:t>
      </w:r>
      <w:r>
        <w:t>par exemple pas aux</w:t>
      </w:r>
      <w:r w:rsidRPr="00A31579">
        <w:t xml:space="preserve"> </w:t>
      </w:r>
      <w:r>
        <w:t>hommes</w:t>
      </w:r>
      <w:r w:rsidRPr="00A31579">
        <w:t xml:space="preserve">), </w:t>
      </w:r>
      <w:r>
        <w:t>mais sont enregistrées</w:t>
      </w:r>
      <w:r w:rsidRPr="00A31579">
        <w:t xml:space="preserve"> </w:t>
      </w:r>
      <w:r>
        <w:t>ou</w:t>
      </w:r>
      <w:r w:rsidRPr="00A31579">
        <w:t xml:space="preserve"> document</w:t>
      </w:r>
      <w:r>
        <w:t>é</w:t>
      </w:r>
      <w:r w:rsidRPr="00A31579">
        <w:t>e</w:t>
      </w:r>
      <w:r>
        <w:t>s</w:t>
      </w:r>
      <w:r w:rsidRPr="00A31579">
        <w:t xml:space="preserve">, </w:t>
      </w:r>
      <w:r>
        <w:t>il faut en discuter</w:t>
      </w:r>
      <w:r w:rsidRPr="00A31579">
        <w:t xml:space="preserve"> </w:t>
      </w:r>
      <w:r>
        <w:t>avec</w:t>
      </w:r>
      <w:r w:rsidRPr="00A31579">
        <w:t xml:space="preserve"> </w:t>
      </w:r>
      <w:r>
        <w:t>les</w:t>
      </w:r>
      <w:r w:rsidRPr="00A31579">
        <w:t xml:space="preserve"> </w:t>
      </w:r>
      <w:r>
        <w:t>communautés</w:t>
      </w:r>
      <w:r w:rsidRPr="00A31579">
        <w:t xml:space="preserve"> </w:t>
      </w:r>
      <w:r>
        <w:t>et</w:t>
      </w:r>
      <w:r w:rsidRPr="00A31579">
        <w:t xml:space="preserve"> </w:t>
      </w:r>
      <w:r>
        <w:t>les groupe</w:t>
      </w:r>
      <w:r w:rsidRPr="00A31579">
        <w:t xml:space="preserve">s </w:t>
      </w:r>
      <w:r>
        <w:t>concernés</w:t>
      </w:r>
      <w:r w:rsidRPr="00A31579">
        <w:t xml:space="preserve"> </w:t>
      </w:r>
      <w:r>
        <w:t>pour savoir si les</w:t>
      </w:r>
      <w:r w:rsidRPr="00A31579">
        <w:t xml:space="preserve"> </w:t>
      </w:r>
      <w:r>
        <w:t>enregistrement</w:t>
      </w:r>
      <w:r w:rsidRPr="00A31579">
        <w:t xml:space="preserve">s </w:t>
      </w:r>
      <w:r>
        <w:t>peuvent être</w:t>
      </w:r>
      <w:r w:rsidRPr="00A31579">
        <w:t xml:space="preserve"> accessible</w:t>
      </w:r>
      <w:r>
        <w:t>s</w:t>
      </w:r>
      <w:r w:rsidRPr="00A31579">
        <w:t xml:space="preserve"> </w:t>
      </w:r>
      <w:r>
        <w:t>ou</w:t>
      </w:r>
      <w:r w:rsidRPr="00A31579">
        <w:t xml:space="preserve"> </w:t>
      </w:r>
      <w:r>
        <w:t>montrés dans des lieux ouverts à</w:t>
      </w:r>
      <w:r w:rsidRPr="00A31579">
        <w:t xml:space="preserve"> </w:t>
      </w:r>
      <w:r>
        <w:t>tous</w:t>
      </w:r>
      <w:r w:rsidRPr="00A31579">
        <w:t xml:space="preserve">. </w:t>
      </w:r>
      <w:r>
        <w:t>Il va sans dire que les enregistrement</w:t>
      </w:r>
      <w:r w:rsidRPr="00A31579">
        <w:t xml:space="preserve">s </w:t>
      </w:r>
      <w:r>
        <w:t>ne peuvent être réalisés qu’avec</w:t>
      </w:r>
      <w:r w:rsidRPr="00A31579">
        <w:t xml:space="preserve"> </w:t>
      </w:r>
      <w:r>
        <w:t>le</w:t>
      </w:r>
      <w:r w:rsidRPr="00A31579">
        <w:t xml:space="preserve"> </w:t>
      </w:r>
      <w:r>
        <w:t xml:space="preserve">consentement </w:t>
      </w:r>
      <w:r w:rsidRPr="00A31579">
        <w:t>explicit</w:t>
      </w:r>
      <w:r>
        <w:t>e,</w:t>
      </w:r>
      <w:r w:rsidRPr="00A31579">
        <w:t xml:space="preserve"> </w:t>
      </w:r>
      <w:r>
        <w:t>préalable</w:t>
      </w:r>
      <w:r w:rsidRPr="00A31579">
        <w:t xml:space="preserve"> </w:t>
      </w:r>
      <w:r>
        <w:t>et</w:t>
      </w:r>
      <w:r w:rsidRPr="00A31579">
        <w:t xml:space="preserve"> </w:t>
      </w:r>
      <w:r>
        <w:t>éclairé des détenteurs des</w:t>
      </w:r>
      <w:r w:rsidRPr="00A31579">
        <w:t xml:space="preserve"> tradition</w:t>
      </w:r>
      <w:r>
        <w:t>s concernés</w:t>
      </w:r>
      <w:r w:rsidRPr="00A31579">
        <w:t>.</w:t>
      </w:r>
    </w:p>
    <w:p w:rsidR="0043665E" w:rsidRPr="00A31579" w:rsidRDefault="0043665E" w:rsidP="007D66AD">
      <w:pPr>
        <w:pStyle w:val="Soustitre"/>
        <w:rPr>
          <w:rFonts w:hint="eastAsia"/>
        </w:rPr>
      </w:pPr>
      <w:r w:rsidRPr="00A31579">
        <w:t>Section 3</w:t>
      </w:r>
      <w:r>
        <w:t> </w:t>
      </w:r>
      <w:r w:rsidRPr="00A31579">
        <w:t xml:space="preserve">: </w:t>
      </w:r>
      <w:r>
        <w:t>v</w:t>
      </w:r>
      <w:r w:rsidRPr="00A31579">
        <w:t>iabilité</w:t>
      </w:r>
    </w:p>
    <w:p w:rsidR="00F631BE" w:rsidRDefault="0043665E" w:rsidP="00F631BE">
      <w:pPr>
        <w:pStyle w:val="Texte1"/>
      </w:pPr>
      <w:r>
        <w:t>Voir</w:t>
      </w:r>
      <w:r w:rsidRPr="00A31579">
        <w:t xml:space="preserve"> </w:t>
      </w:r>
      <w:r>
        <w:t>les unités</w:t>
      </w:r>
      <w:r w:rsidRPr="00A31579">
        <w:t> </w:t>
      </w:r>
      <w:r w:rsidR="005D395D">
        <w:t>2</w:t>
      </w:r>
      <w:r w:rsidRPr="00A31579">
        <w:t xml:space="preserve"> </w:t>
      </w:r>
      <w:r>
        <w:t>et</w:t>
      </w:r>
      <w:r w:rsidRPr="00A31579">
        <w:t xml:space="preserve"> </w:t>
      </w:r>
      <w:r w:rsidR="005D395D">
        <w:t>3.</w:t>
      </w:r>
    </w:p>
    <w:p w:rsidR="0043665E" w:rsidRPr="00A31579" w:rsidRDefault="0043665E" w:rsidP="00F631BE">
      <w:pPr>
        <w:pStyle w:val="Texte1"/>
      </w:pPr>
      <w:r>
        <w:t>La viabilité</w:t>
      </w:r>
      <w:r w:rsidRPr="00A31579">
        <w:t xml:space="preserve"> </w:t>
      </w:r>
      <w:r>
        <w:t>se réfère à la probabilité</w:t>
      </w:r>
      <w:r w:rsidRPr="00A31579">
        <w:t xml:space="preserve"> </w:t>
      </w:r>
      <w:r>
        <w:t>qu’aura</w:t>
      </w:r>
      <w:r w:rsidRPr="00A31579">
        <w:t xml:space="preserve"> </w:t>
      </w:r>
      <w:r>
        <w:t>l’élément du</w:t>
      </w:r>
      <w:r w:rsidRPr="00A31579">
        <w:t xml:space="preserve"> </w:t>
      </w:r>
      <w:r>
        <w:t>PCI d’être</w:t>
      </w:r>
      <w:r w:rsidRPr="00A31579">
        <w:t xml:space="preserve"> </w:t>
      </w:r>
      <w:r>
        <w:t>pratiqué</w:t>
      </w:r>
      <w:r w:rsidRPr="00A31579">
        <w:t xml:space="preserve"> </w:t>
      </w:r>
      <w:r>
        <w:t>à l’avenir ; les</w:t>
      </w:r>
      <w:r w:rsidRPr="00A31579">
        <w:t xml:space="preserve"> </w:t>
      </w:r>
      <w:r>
        <w:t>menace</w:t>
      </w:r>
      <w:r w:rsidRPr="00A31579">
        <w:t xml:space="preserve">s </w:t>
      </w:r>
      <w:r>
        <w:t>qui pèsent sur sa</w:t>
      </w:r>
      <w:r w:rsidRPr="00A31579">
        <w:t xml:space="preserve"> </w:t>
      </w:r>
      <w:r>
        <w:t>viabilité</w:t>
      </w:r>
      <w:r w:rsidRPr="00A31579">
        <w:t xml:space="preserve"> </w:t>
      </w:r>
      <w:r>
        <w:t>comprennent tout ce qui est susceptible d’en empêcher la pratique</w:t>
      </w:r>
      <w:r w:rsidRPr="00A31579">
        <w:t xml:space="preserve"> </w:t>
      </w:r>
      <w:r>
        <w:t>ou la</w:t>
      </w:r>
      <w:r w:rsidRPr="00A31579">
        <w:t xml:space="preserve"> transmission.</w:t>
      </w:r>
    </w:p>
    <w:p w:rsidR="0043665E" w:rsidRPr="00A31579" w:rsidRDefault="0043665E" w:rsidP="00F631BE">
      <w:pPr>
        <w:pStyle w:val="Soustitre"/>
        <w:rPr>
          <w:rFonts w:hint="eastAsia"/>
        </w:rPr>
      </w:pPr>
      <w:r w:rsidRPr="00A31579">
        <w:t>Section 5</w:t>
      </w:r>
      <w:r>
        <w:t> </w:t>
      </w:r>
      <w:r w:rsidRPr="00A31579">
        <w:t xml:space="preserve">: </w:t>
      </w:r>
      <w:r>
        <w:t>r</w:t>
      </w:r>
      <w:r w:rsidRPr="00A31579">
        <w:t>éférences</w:t>
      </w:r>
    </w:p>
    <w:p w:rsidR="0043665E" w:rsidRPr="00A31579" w:rsidRDefault="0043665E" w:rsidP="00F631BE">
      <w:pPr>
        <w:pStyle w:val="Texte1"/>
      </w:pPr>
      <w:r>
        <w:t>Voir</w:t>
      </w:r>
      <w:r w:rsidRPr="00A31579">
        <w:t xml:space="preserve"> </w:t>
      </w:r>
      <w:r>
        <w:t>l’u</w:t>
      </w:r>
      <w:r w:rsidRPr="00A31579">
        <w:t>nité </w:t>
      </w:r>
      <w:r w:rsidR="005D395D">
        <w:t>6.</w:t>
      </w:r>
    </w:p>
    <w:p w:rsidR="0043665E" w:rsidRPr="00A31579" w:rsidRDefault="0043665E" w:rsidP="00F631BE">
      <w:pPr>
        <w:pStyle w:val="Texte1"/>
      </w:pPr>
      <w:r>
        <w:t>Le travail d’inventaire</w:t>
      </w:r>
      <w:r w:rsidRPr="00A31579">
        <w:t xml:space="preserve"> </w:t>
      </w:r>
      <w:r>
        <w:t>consiste à</w:t>
      </w:r>
      <w:r w:rsidRPr="00A31579">
        <w:t xml:space="preserve"> identifi</w:t>
      </w:r>
      <w:r>
        <w:t>er</w:t>
      </w:r>
      <w:r w:rsidRPr="00A31579">
        <w:t xml:space="preserve"> </w:t>
      </w:r>
      <w:r>
        <w:t>et</w:t>
      </w:r>
      <w:r w:rsidRPr="00A31579">
        <w:t xml:space="preserve"> </w:t>
      </w:r>
      <w:r>
        <w:t>à définir le</w:t>
      </w:r>
      <w:r w:rsidRPr="00A31579">
        <w:t xml:space="preserve"> </w:t>
      </w:r>
      <w:r>
        <w:t>PCI, ce qui est différent de la</w:t>
      </w:r>
      <w:r w:rsidRPr="00A31579">
        <w:t xml:space="preserve"> documentation </w:t>
      </w:r>
      <w:r>
        <w:t>ou</w:t>
      </w:r>
      <w:r w:rsidRPr="00A31579">
        <w:t xml:space="preserve"> </w:t>
      </w:r>
      <w:r>
        <w:t xml:space="preserve">de la </w:t>
      </w:r>
      <w:r w:rsidRPr="00A31579">
        <w:t>re</w:t>
      </w:r>
      <w:r>
        <w:t>cherche</w:t>
      </w:r>
      <w:r w:rsidRPr="00A31579">
        <w:t xml:space="preserve">. </w:t>
      </w:r>
      <w:r>
        <w:t xml:space="preserve">Il n’est pas nécessaire de procéder à des recherches ni à une documentation approfondie pour classer un élément à l’inventaire. Si des versions de l’élément ont déjà été enregistrées, étudiées ou s’il y a des écrits les concernant, on peut en indiquer les références appropriées à la section 5. C’est aussi dans cette section que l’on peut consigner les informations concernant l’existence de collections d’objets ou d’instruments associés à des expressions et des pratiques </w:t>
      </w:r>
      <w:r w:rsidRPr="00A31579">
        <w:rPr>
          <w:i/>
        </w:rPr>
        <w:t>vivantes</w:t>
      </w:r>
      <w:r>
        <w:t xml:space="preserve"> du PCI</w:t>
      </w:r>
      <w:r w:rsidRPr="00A31579">
        <w:t>.</w:t>
      </w:r>
    </w:p>
    <w:sectPr w:rsidR="0043665E" w:rsidRPr="00A31579" w:rsidSect="008631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5E" w:rsidRDefault="0043665E" w:rsidP="0043665E">
      <w:pPr>
        <w:spacing w:before="0" w:after="0"/>
      </w:pPr>
      <w:r>
        <w:separator/>
      </w:r>
    </w:p>
  </w:endnote>
  <w:endnote w:type="continuationSeparator" w:id="0">
    <w:p w:rsidR="0043665E" w:rsidRDefault="0043665E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A2" w:rsidRPr="00E948A2" w:rsidRDefault="00A01F9A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DA02195" wp14:editId="23351AEF">
          <wp:simplePos x="0" y="0"/>
          <wp:positionH relativeFrom="column">
            <wp:posOffset>2589530</wp:posOffset>
          </wp:positionH>
          <wp:positionV relativeFrom="paragraph">
            <wp:posOffset>1905</wp:posOffset>
          </wp:positionV>
          <wp:extent cx="542925" cy="190500"/>
          <wp:effectExtent l="0" t="0" r="9525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A2" w:rsidRPr="00E948A2">
      <w:rPr>
        <w:noProof/>
        <w:sz w:val="16"/>
        <w:szCs w:val="18"/>
        <w:lang w:val="fr-FR" w:eastAsia="fr-FR"/>
      </w:rPr>
      <w:drawing>
        <wp:anchor distT="0" distB="0" distL="114300" distR="114300" simplePos="0" relativeHeight="251661312" behindDoc="1" locked="1" layoutInCell="1" allowOverlap="0" wp14:anchorId="0388B2CC" wp14:editId="2E3FFC53">
          <wp:simplePos x="0" y="0"/>
          <wp:positionH relativeFrom="margin">
            <wp:posOffset>4779645</wp:posOffset>
          </wp:positionH>
          <wp:positionV relativeFrom="margin">
            <wp:posOffset>8881745</wp:posOffset>
          </wp:positionV>
          <wp:extent cx="907415" cy="607060"/>
          <wp:effectExtent l="0" t="0" r="6985" b="2540"/>
          <wp:wrapThrough wrapText="bothSides">
            <wp:wrapPolygon edited="0">
              <wp:start x="0" y="0"/>
              <wp:lineTo x="0" y="21013"/>
              <wp:lineTo x="21313" y="21013"/>
              <wp:lineTo x="21313" y="0"/>
              <wp:lineTo x="0" y="0"/>
            </wp:wrapPolygon>
          </wp:wrapThrough>
          <wp:docPr id="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A2">
      <w:rPr>
        <w:sz w:val="16"/>
        <w:szCs w:val="18"/>
        <w:lang w:val="fr-FR"/>
      </w:rPr>
      <w:t>U019-v1.0-HO</w:t>
    </w:r>
    <w:r w:rsidR="00E948A2" w:rsidRPr="00E948A2">
      <w:rPr>
        <w:sz w:val="16"/>
        <w:szCs w:val="18"/>
        <w:lang w:val="fr-FR"/>
      </w:rPr>
      <w:t>-FR</w:t>
    </w:r>
    <w:r w:rsidR="00E948A2" w:rsidRPr="00E948A2">
      <w:rPr>
        <w:sz w:val="16"/>
        <w:szCs w:val="18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A2" w:rsidRPr="00342E35" w:rsidRDefault="00A01F9A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1DA02195" wp14:editId="23351AEF">
          <wp:simplePos x="0" y="0"/>
          <wp:positionH relativeFrom="column">
            <wp:posOffset>2589530</wp:posOffset>
          </wp:positionH>
          <wp:positionV relativeFrom="paragraph">
            <wp:posOffset>30480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A2" w:rsidRPr="00E948A2">
      <w:rPr>
        <w:noProof/>
        <w:sz w:val="16"/>
        <w:szCs w:val="18"/>
        <w:lang w:val="fr-FR" w:eastAsia="fr-FR"/>
      </w:rPr>
      <w:drawing>
        <wp:anchor distT="0" distB="0" distL="114300" distR="114300" simplePos="0" relativeHeight="251663360" behindDoc="1" locked="1" layoutInCell="1" allowOverlap="0" wp14:anchorId="3BCC3D2A" wp14:editId="255335D2">
          <wp:simplePos x="0" y="0"/>
          <wp:positionH relativeFrom="margin">
            <wp:posOffset>4779645</wp:posOffset>
          </wp:positionH>
          <wp:positionV relativeFrom="margin">
            <wp:posOffset>8881745</wp:posOffset>
          </wp:positionV>
          <wp:extent cx="907415" cy="607060"/>
          <wp:effectExtent l="0" t="0" r="6985" b="2540"/>
          <wp:wrapThrough wrapText="bothSides">
            <wp:wrapPolygon edited="0">
              <wp:start x="0" y="0"/>
              <wp:lineTo x="0" y="21013"/>
              <wp:lineTo x="21313" y="21013"/>
              <wp:lineTo x="21313" y="0"/>
              <wp:lineTo x="0" y="0"/>
            </wp:wrapPolygon>
          </wp:wrapThrough>
          <wp:docPr id="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A2">
      <w:rPr>
        <w:sz w:val="16"/>
        <w:szCs w:val="18"/>
        <w:lang w:val="fr-FR"/>
      </w:rPr>
      <w:t>U019-v1.0-HO</w:t>
    </w:r>
    <w:r w:rsidR="00E948A2" w:rsidRPr="00E948A2">
      <w:rPr>
        <w:sz w:val="16"/>
        <w:szCs w:val="18"/>
        <w:lang w:val="fr-FR"/>
      </w:rPr>
      <w:t>-FR</w:t>
    </w:r>
    <w:r w:rsidR="00E948A2" w:rsidRPr="00E948A2">
      <w:rPr>
        <w:sz w:val="16"/>
        <w:szCs w:val="18"/>
        <w:lang w:val="fr-FR"/>
      </w:rPr>
      <w:tab/>
    </w:r>
    <w:r w:rsidR="00F9468C">
      <w:rPr>
        <w:sz w:val="16"/>
        <w:szCs w:val="18"/>
        <w:lang w:val="fr-FR"/>
      </w:rPr>
      <w:tab/>
    </w:r>
    <w:r w:rsidR="00E948A2"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A2" w:rsidRPr="00342E35" w:rsidRDefault="00A01F9A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1DA02195" wp14:editId="23351AEF">
          <wp:simplePos x="0" y="0"/>
          <wp:positionH relativeFrom="column">
            <wp:posOffset>2589530</wp:posOffset>
          </wp:positionH>
          <wp:positionV relativeFrom="paragraph">
            <wp:posOffset>59055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A2" w:rsidRPr="00E948A2">
      <w:rPr>
        <w:noProof/>
        <w:sz w:val="16"/>
        <w:szCs w:val="18"/>
        <w:lang w:val="fr-FR" w:eastAsia="fr-FR"/>
      </w:rPr>
      <w:drawing>
        <wp:anchor distT="0" distB="0" distL="114300" distR="114300" simplePos="0" relativeHeight="251659264" behindDoc="1" locked="1" layoutInCell="1" allowOverlap="0" wp14:anchorId="286206C0" wp14:editId="53A9CC77">
          <wp:simplePos x="0" y="0"/>
          <wp:positionH relativeFrom="margin">
            <wp:posOffset>4779645</wp:posOffset>
          </wp:positionH>
          <wp:positionV relativeFrom="margin">
            <wp:posOffset>8881745</wp:posOffset>
          </wp:positionV>
          <wp:extent cx="907415" cy="607060"/>
          <wp:effectExtent l="0" t="0" r="6985" b="2540"/>
          <wp:wrapThrough wrapText="bothSides">
            <wp:wrapPolygon edited="0">
              <wp:start x="0" y="0"/>
              <wp:lineTo x="0" y="21013"/>
              <wp:lineTo x="21313" y="21013"/>
              <wp:lineTo x="21313" y="0"/>
              <wp:lineTo x="0" y="0"/>
            </wp:wrapPolygon>
          </wp:wrapThrough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A2">
      <w:rPr>
        <w:sz w:val="16"/>
        <w:szCs w:val="18"/>
        <w:lang w:val="fr-FR"/>
      </w:rPr>
      <w:t>U019-v1.0-HO</w:t>
    </w:r>
    <w:r w:rsidR="00E948A2" w:rsidRPr="00E948A2">
      <w:rPr>
        <w:sz w:val="16"/>
        <w:szCs w:val="18"/>
        <w:lang w:val="fr-FR"/>
      </w:rPr>
      <w:t>-FR</w:t>
    </w:r>
    <w:r w:rsidR="00E948A2" w:rsidRPr="00E948A2">
      <w:rPr>
        <w:sz w:val="16"/>
        <w:szCs w:val="18"/>
        <w:lang w:val="fr-FR"/>
      </w:rPr>
      <w:tab/>
    </w:r>
    <w:r w:rsidR="00F9468C">
      <w:rPr>
        <w:sz w:val="16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5E" w:rsidRDefault="0043665E" w:rsidP="0043665E">
      <w:pPr>
        <w:spacing w:before="0" w:after="0"/>
      </w:pPr>
      <w:r>
        <w:separator/>
      </w:r>
    </w:p>
  </w:footnote>
  <w:footnote w:type="continuationSeparator" w:id="0">
    <w:p w:rsidR="0043665E" w:rsidRDefault="0043665E" w:rsidP="0043665E">
      <w:pPr>
        <w:spacing w:before="0" w:after="0"/>
      </w:pPr>
      <w:r>
        <w:continuationSeparator/>
      </w:r>
    </w:p>
  </w:footnote>
  <w:footnote w:id="1">
    <w:p w:rsidR="0043665E" w:rsidRPr="00A31579" w:rsidRDefault="0043665E" w:rsidP="00490480">
      <w:pPr>
        <w:pStyle w:val="FootnoteText"/>
        <w:rPr>
          <w:lang w:val="fr-FR"/>
        </w:rPr>
      </w:pPr>
      <w:r w:rsidRPr="00490480">
        <w:footnoteRef/>
      </w:r>
      <w:r w:rsidR="00490480" w:rsidRPr="00490480">
        <w:rPr>
          <w:lang w:val="fr-FR"/>
        </w:rPr>
        <w:t>.</w:t>
      </w:r>
      <w:r w:rsidR="00C13746">
        <w:rPr>
          <w:lang w:val="fr-FR"/>
        </w:rPr>
        <w:tab/>
      </w:r>
      <w:r w:rsidRPr="00A31579">
        <w:rPr>
          <w:lang w:val="fr-FR"/>
        </w:rPr>
        <w:t xml:space="preserve">Ce formulaire s’inspire de celui présenté sur le site Web de l’UNESCO. Les États parties sont libres </w:t>
      </w:r>
      <w:r>
        <w:rPr>
          <w:lang w:val="fr-FR"/>
        </w:rPr>
        <w:t xml:space="preserve">de </w:t>
      </w:r>
      <w:r w:rsidRPr="00A31579">
        <w:rPr>
          <w:lang w:val="fr-FR"/>
        </w:rPr>
        <w:t>c</w:t>
      </w:r>
      <w:r>
        <w:rPr>
          <w:lang w:val="fr-FR"/>
        </w:rPr>
        <w:t>oncevoi</w:t>
      </w:r>
      <w:r w:rsidRPr="00A31579">
        <w:rPr>
          <w:lang w:val="fr-FR"/>
        </w:rPr>
        <w:t xml:space="preserve">r et </w:t>
      </w:r>
      <w:r>
        <w:rPr>
          <w:lang w:val="fr-FR"/>
        </w:rPr>
        <w:t>d’</w:t>
      </w:r>
      <w:r w:rsidRPr="00A31579">
        <w:rPr>
          <w:lang w:val="fr-FR"/>
        </w:rPr>
        <w:t>élaborer leurs propres inventaires et questionnaires</w:t>
      </w:r>
      <w:r w:rsidRPr="00264ED2">
        <w:rPr>
          <w:lang w:val="fr-FR"/>
        </w:rPr>
        <w:t xml:space="preserve"> et </w:t>
      </w:r>
      <w:r>
        <w:rPr>
          <w:lang w:val="fr-FR"/>
        </w:rPr>
        <w:t>sont encourag</w:t>
      </w:r>
      <w:r w:rsidRPr="00264ED2">
        <w:rPr>
          <w:lang w:val="fr-FR"/>
        </w:rPr>
        <w:t>és</w:t>
      </w:r>
      <w:r>
        <w:rPr>
          <w:lang w:val="fr-FR"/>
        </w:rPr>
        <w:t xml:space="preserve"> à le faire </w:t>
      </w:r>
      <w:r w:rsidRPr="00A31579">
        <w:rPr>
          <w:lang w:val="fr-FR"/>
        </w:rPr>
        <w:t xml:space="preserve">: ce </w:t>
      </w:r>
      <w:r>
        <w:rPr>
          <w:lang w:val="fr-FR"/>
        </w:rPr>
        <w:t>formulair</w:t>
      </w:r>
      <w:r w:rsidRPr="00A31579">
        <w:rPr>
          <w:lang w:val="fr-FR"/>
        </w:rPr>
        <w:t xml:space="preserve">e offre </w:t>
      </w:r>
      <w:r>
        <w:rPr>
          <w:lang w:val="fr-FR"/>
        </w:rPr>
        <w:t>juste</w:t>
      </w:r>
      <w:r w:rsidRPr="00A31579">
        <w:rPr>
          <w:lang w:val="fr-FR"/>
        </w:rPr>
        <w:t xml:space="preserve"> quelques suggestions. Il convient de noter que les inventaires ont pour but d’identifier et </w:t>
      </w:r>
      <w:r>
        <w:rPr>
          <w:lang w:val="fr-FR"/>
        </w:rPr>
        <w:t xml:space="preserve">de </w:t>
      </w:r>
      <w:r w:rsidRPr="00A31579">
        <w:rPr>
          <w:lang w:val="fr-FR"/>
        </w:rPr>
        <w:t xml:space="preserve">définir, non </w:t>
      </w:r>
      <w:r>
        <w:rPr>
          <w:lang w:val="fr-FR"/>
        </w:rPr>
        <w:t xml:space="preserve">de </w:t>
      </w:r>
      <w:r w:rsidRPr="00A31579">
        <w:rPr>
          <w:lang w:val="fr-FR"/>
        </w:rPr>
        <w:t>documenter les éléments du PCI</w:t>
      </w:r>
      <w:r>
        <w:rPr>
          <w:lang w:val="fr-FR"/>
        </w:rPr>
        <w:t xml:space="preserve"> de manière exhaustive</w:t>
      </w:r>
      <w:r w:rsidRPr="00A31579">
        <w:rPr>
          <w:lang w:val="fr-FR"/>
        </w:rPr>
        <w:t>. Les réponses aux questions</w:t>
      </w:r>
      <w:r>
        <w:rPr>
          <w:lang w:val="fr-FR"/>
        </w:rPr>
        <w:t xml:space="preserve"> </w:t>
      </w:r>
      <w:r w:rsidRPr="00A31579">
        <w:rPr>
          <w:lang w:val="fr-FR"/>
        </w:rPr>
        <w:t xml:space="preserve">1 à 5 doivent donc, </w:t>
      </w:r>
      <w:r>
        <w:rPr>
          <w:lang w:val="fr-FR"/>
        </w:rPr>
        <w:t>de préférence</w:t>
      </w:r>
      <w:r w:rsidRPr="00A31579">
        <w:rPr>
          <w:lang w:val="fr-FR"/>
        </w:rPr>
        <w:t xml:space="preserve">, </w:t>
      </w:r>
      <w:r>
        <w:rPr>
          <w:lang w:val="fr-FR"/>
        </w:rPr>
        <w:t>être</w:t>
      </w:r>
      <w:r w:rsidRPr="00A31579">
        <w:rPr>
          <w:lang w:val="fr-FR"/>
        </w:rPr>
        <w:t xml:space="preserve"> assez </w:t>
      </w:r>
      <w:r>
        <w:rPr>
          <w:lang w:val="fr-FR"/>
        </w:rPr>
        <w:t>succinct</w:t>
      </w:r>
      <w:r w:rsidRPr="00A31579">
        <w:rPr>
          <w:lang w:val="fr-FR"/>
        </w:rPr>
        <w:t>es</w:t>
      </w:r>
      <w:r>
        <w:rPr>
          <w:lang w:val="fr-FR"/>
        </w:rPr>
        <w:t>.</w:t>
      </w:r>
      <w:r w:rsidRPr="00A31579">
        <w:rPr>
          <w:lang w:val="fr-FR"/>
        </w:rPr>
        <w:t xml:space="preserve"> (</w:t>
      </w:r>
      <w:hyperlink r:id="rId1" w:history="1">
        <w:r w:rsidRPr="00A31579">
          <w:rPr>
            <w:rStyle w:val="Hyperlink"/>
            <w:sz w:val="20"/>
            <w:lang w:val="fr-FR"/>
          </w:rPr>
          <w:t>http://www.unesco.org/culture/ich/doc</w:t>
        </w:r>
      </w:hyperlink>
      <w:r w:rsidRPr="00A31579">
        <w:rPr>
          <w:lang w:val="fr-FR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it-IT" w:eastAsia="en-US"/>
      </w:rPr>
      <w:t>Imprimé</w:t>
    </w:r>
    <w:r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>Unit</w:t>
    </w:r>
    <w:r w:rsidR="00C13746">
      <w:rPr>
        <w:rFonts w:eastAsia="Calibri" w:cs="Times New Roman"/>
        <w:snapToGrid/>
        <w:sz w:val="16"/>
        <w:szCs w:val="22"/>
        <w:lang w:val="it-IT" w:eastAsia="en-US"/>
      </w:rPr>
      <w:t>é</w:t>
    </w:r>
    <w:proofErr w:type="spellEnd"/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 xml:space="preserve"> 19</w:t>
    </w:r>
    <w:proofErr w:type="gramStart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>:</w:t>
    </w:r>
    <w:proofErr w:type="gramEnd"/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C13746">
      <w:rPr>
        <w:rFonts w:eastAsia="Calibri"/>
        <w:snapToGrid/>
        <w:sz w:val="16"/>
        <w:szCs w:val="22"/>
        <w:lang w:val="it-IT" w:eastAsia="en-US"/>
      </w:rPr>
      <w:t>É</w:t>
    </w:r>
    <w:r w:rsidR="00C13746">
      <w:rPr>
        <w:rFonts w:eastAsia="Calibri" w:cs="Times New Roman"/>
        <w:snapToGrid/>
        <w:sz w:val="16"/>
        <w:szCs w:val="22"/>
        <w:lang w:val="it-IT" w:eastAsia="en-US"/>
      </w:rPr>
      <w:t>laborer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un 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cadre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d’’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inventaire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en l’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absence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modele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preexistant</w:t>
    </w:r>
    <w:proofErr w:type="spellEnd"/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A01F9A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3E" w:rsidRPr="00342E35" w:rsidRDefault="00E948A2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it-IT" w:eastAsia="en-US"/>
      </w:rPr>
      <w:t>Imprimé</w:t>
    </w:r>
    <w:r w:rsidR="0086313E"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>Unit</w:t>
    </w:r>
    <w:r w:rsidR="00C13746">
      <w:rPr>
        <w:rFonts w:eastAsia="Calibri" w:cs="Times New Roman"/>
        <w:snapToGrid/>
        <w:sz w:val="16"/>
        <w:szCs w:val="22"/>
        <w:lang w:val="it-IT" w:eastAsia="en-US"/>
      </w:rPr>
      <w:t>é</w:t>
    </w:r>
    <w:proofErr w:type="spellEnd"/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 xml:space="preserve"> 19</w:t>
    </w:r>
    <w:proofErr w:type="gramStart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>:</w:t>
    </w:r>
    <w:proofErr w:type="gramEnd"/>
    <w:r w:rsidR="00C13746" w:rsidRPr="00B03B47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C13746">
      <w:rPr>
        <w:rFonts w:eastAsia="Calibri"/>
        <w:snapToGrid/>
        <w:sz w:val="16"/>
        <w:szCs w:val="22"/>
        <w:lang w:val="it-IT" w:eastAsia="en-US"/>
      </w:rPr>
      <w:t>É</w:t>
    </w:r>
    <w:r w:rsidR="00C13746">
      <w:rPr>
        <w:rFonts w:eastAsia="Calibri" w:cs="Times New Roman"/>
        <w:snapToGrid/>
        <w:sz w:val="16"/>
        <w:szCs w:val="22"/>
        <w:lang w:val="it-IT" w:eastAsia="en-US"/>
      </w:rPr>
      <w:t>laborer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un 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cadre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d’’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inventaire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en l’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absence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modele</w:t>
    </w:r>
    <w:proofErr w:type="spellEnd"/>
    <w:r w:rsidR="00C1374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C13746">
      <w:rPr>
        <w:rFonts w:eastAsia="Calibri" w:cs="Times New Roman"/>
        <w:snapToGrid/>
        <w:sz w:val="16"/>
        <w:szCs w:val="22"/>
        <w:lang w:val="it-IT" w:eastAsia="en-US"/>
      </w:rPr>
      <w:t>preexistant</w:t>
    </w:r>
    <w:proofErr w:type="spellEnd"/>
    <w:r w:rsidR="0086313E"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86313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="0086313E"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86313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A01F9A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86313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it-IT" w:eastAsia="en-US"/>
      </w:rPr>
      <w:t>Imprimé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F171B30"/>
    <w:multiLevelType w:val="hybridMultilevel"/>
    <w:tmpl w:val="F08EFA58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9"/>
  </w:num>
  <w:num w:numId="18">
    <w:abstractNumId w:val="21"/>
  </w:num>
  <w:num w:numId="19">
    <w:abstractNumId w:val="7"/>
  </w:num>
  <w:num w:numId="20">
    <w:abstractNumId w:val="16"/>
  </w:num>
  <w:num w:numId="21">
    <w:abstractNumId w:val="17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662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E"/>
    <w:rsid w:val="00182DE5"/>
    <w:rsid w:val="00184690"/>
    <w:rsid w:val="0026188F"/>
    <w:rsid w:val="00284583"/>
    <w:rsid w:val="00342E35"/>
    <w:rsid w:val="0043665E"/>
    <w:rsid w:val="00490480"/>
    <w:rsid w:val="005732C3"/>
    <w:rsid w:val="005D395D"/>
    <w:rsid w:val="0060566B"/>
    <w:rsid w:val="00660044"/>
    <w:rsid w:val="006942BD"/>
    <w:rsid w:val="007254B2"/>
    <w:rsid w:val="00782E2F"/>
    <w:rsid w:val="007D66AD"/>
    <w:rsid w:val="0086313E"/>
    <w:rsid w:val="00880E45"/>
    <w:rsid w:val="008D718D"/>
    <w:rsid w:val="00972F71"/>
    <w:rsid w:val="0099595A"/>
    <w:rsid w:val="009B4E97"/>
    <w:rsid w:val="00A01F9A"/>
    <w:rsid w:val="00A57FDF"/>
    <w:rsid w:val="00B3616C"/>
    <w:rsid w:val="00B45F43"/>
    <w:rsid w:val="00BC79D7"/>
    <w:rsid w:val="00C13746"/>
    <w:rsid w:val="00C17481"/>
    <w:rsid w:val="00C92ED6"/>
    <w:rsid w:val="00E948A2"/>
    <w:rsid w:val="00EA348C"/>
    <w:rsid w:val="00EE38CE"/>
    <w:rsid w:val="00F631BE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Header">
    <w:name w:val="header"/>
    <w:basedOn w:val="Normal"/>
    <w:link w:val="HeaderCh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43665E"/>
    <w:pPr>
      <w:ind w:left="720"/>
    </w:pPr>
  </w:style>
  <w:style w:type="character" w:styleId="Hyperlink">
    <w:name w:val="Hyperlink"/>
    <w:basedOn w:val="DefaultParagraphFont"/>
    <w:uiPriority w:val="99"/>
    <w:unhideWhenUsed/>
    <w:rsid w:val="0043665E"/>
    <w:rPr>
      <w:color w:val="0000FF"/>
      <w:u w:val="single"/>
    </w:rPr>
  </w:style>
  <w:style w:type="paragraph" w:styleId="ListNumber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DefaultParagraphFont"/>
    <w:rsid w:val="0043665E"/>
  </w:style>
  <w:style w:type="character" w:styleId="FootnoteReference">
    <w:name w:val="footnote reference"/>
    <w:basedOn w:val="DefaultParagraphFont"/>
    <w:semiHidden/>
    <w:rsid w:val="0043665E"/>
    <w:rPr>
      <w:vertAlign w:val="superscript"/>
    </w:rPr>
  </w:style>
  <w:style w:type="paragraph" w:styleId="NoSpacing">
    <w:name w:val="No Spacing"/>
    <w:link w:val="NoSpacingCh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3665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36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Bullet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Heading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Heading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Header">
    <w:name w:val="header"/>
    <w:basedOn w:val="Normal"/>
    <w:link w:val="HeaderCh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43665E"/>
    <w:pPr>
      <w:ind w:left="720"/>
    </w:pPr>
  </w:style>
  <w:style w:type="character" w:styleId="Hyperlink">
    <w:name w:val="Hyperlink"/>
    <w:basedOn w:val="DefaultParagraphFont"/>
    <w:uiPriority w:val="99"/>
    <w:unhideWhenUsed/>
    <w:rsid w:val="0043665E"/>
    <w:rPr>
      <w:color w:val="0000FF"/>
      <w:u w:val="single"/>
    </w:rPr>
  </w:style>
  <w:style w:type="paragraph" w:styleId="ListNumber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DefaultParagraphFont"/>
    <w:rsid w:val="0043665E"/>
  </w:style>
  <w:style w:type="character" w:styleId="FootnoteReference">
    <w:name w:val="footnote reference"/>
    <w:basedOn w:val="DefaultParagraphFont"/>
    <w:semiHidden/>
    <w:rsid w:val="0043665E"/>
    <w:rPr>
      <w:vertAlign w:val="superscript"/>
    </w:rPr>
  </w:style>
  <w:style w:type="paragraph" w:styleId="NoSpacing">
    <w:name w:val="No Spacing"/>
    <w:link w:val="NoSpacingCh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3665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36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Bullet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Heading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Heading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o.org/culture/ich/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F309-C3F7-4C78-8BCA-833FAD4A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1596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UNESCO</cp:lastModifiedBy>
  <cp:revision>16</cp:revision>
  <dcterms:created xsi:type="dcterms:W3CDTF">2015-07-23T09:52:00Z</dcterms:created>
  <dcterms:modified xsi:type="dcterms:W3CDTF">2018-02-22T11:18:00Z</dcterms:modified>
</cp:coreProperties>
</file>