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84" w:rsidRPr="00CC4802" w:rsidRDefault="00CC4802" w:rsidP="00CC4802">
      <w:pPr>
        <w:pStyle w:val="Chapitre"/>
        <w:pBdr>
          <w:bottom w:val="single" w:sz="4" w:space="14" w:color="3366FF"/>
        </w:pBdr>
        <w:rPr>
          <w:rFonts w:ascii="Arial" w:hAnsi="Arial"/>
          <w:caps w:val="0"/>
          <w:noProof w:val="0"/>
          <w:lang w:val="es-ES"/>
        </w:rPr>
      </w:pPr>
      <w:r>
        <w:rPr>
          <w:rFonts w:ascii="Arial" w:hAnsi="Arial"/>
          <w:caps w:val="0"/>
          <w:noProof w:val="0"/>
          <w:lang w:val="es-ES"/>
        </w:rPr>
        <w:t>UNIDAD</w:t>
      </w:r>
      <w:r w:rsidR="007B2C01" w:rsidRPr="00CC4802">
        <w:rPr>
          <w:rFonts w:ascii="Arial" w:hAnsi="Arial"/>
          <w:caps w:val="0"/>
          <w:noProof w:val="0"/>
          <w:lang w:val="es-ES"/>
        </w:rPr>
        <w:t xml:space="preserve"> </w:t>
      </w:r>
      <w:r w:rsidR="00E93984" w:rsidRPr="00CC4802">
        <w:rPr>
          <w:rFonts w:ascii="Arial" w:hAnsi="Arial"/>
          <w:caps w:val="0"/>
          <w:noProof w:val="0"/>
          <w:lang w:val="es-ES"/>
        </w:rPr>
        <w:t>23</w:t>
      </w:r>
    </w:p>
    <w:p w:rsidR="00E93984" w:rsidRPr="00C451F5" w:rsidRDefault="00E93984" w:rsidP="00E93984">
      <w:pPr>
        <w:pStyle w:val="Titcoul"/>
        <w:rPr>
          <w:noProof w:val="0"/>
          <w:lang w:val="es-ES"/>
        </w:rPr>
      </w:pPr>
      <w:r w:rsidRPr="00C451F5">
        <w:rPr>
          <w:rFonts w:ascii="Arial Bold" w:hAnsi="Arial Bold"/>
          <w:caps w:val="0"/>
          <w:noProof w:val="0"/>
          <w:lang w:val="es-ES"/>
        </w:rPr>
        <w:t>Folleto 2:</w:t>
      </w:r>
      <w:r w:rsidR="007B2C01" w:rsidRPr="00C451F5">
        <w:rPr>
          <w:noProof w:val="0"/>
          <w:lang w:val="es-ES"/>
        </w:rPr>
        <w:t xml:space="preserve"> </w:t>
      </w:r>
      <w:r w:rsidR="007B2C01" w:rsidRPr="00C451F5">
        <w:rPr>
          <w:noProof w:val="0"/>
          <w:lang w:val="es-ES"/>
        </w:rPr>
        <w:br/>
        <w:t xml:space="preserve">glosario </w:t>
      </w:r>
      <w:r w:rsidR="00706D4F" w:rsidRPr="00C451F5">
        <w:rPr>
          <w:noProof w:val="0"/>
          <w:lang w:val="es-ES"/>
        </w:rPr>
        <w:t>de</w:t>
      </w:r>
      <w:r w:rsidR="007B2C01" w:rsidRPr="00C451F5">
        <w:rPr>
          <w:noProof w:val="0"/>
          <w:lang w:val="es-ES"/>
        </w:rPr>
        <w:t xml:space="preserve"> la unidad </w:t>
      </w:r>
      <w:r w:rsidRPr="00C451F5">
        <w:rPr>
          <w:noProof w:val="0"/>
          <w:lang w:val="es-ES"/>
        </w:rPr>
        <w:t>23</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5155"/>
        <w:gridCol w:w="1992"/>
      </w:tblGrid>
      <w:tr w:rsidR="00256551" w:rsidRPr="006536F8" w:rsidTr="00E25123">
        <w:trPr>
          <w:trHeight w:val="122"/>
          <w:tblHeader/>
        </w:trPr>
        <w:tc>
          <w:tcPr>
            <w:tcW w:w="1698" w:type="dxa"/>
            <w:shd w:val="clear" w:color="auto" w:fill="C6D9F1" w:themeFill="text2" w:themeFillTint="33"/>
            <w:vAlign w:val="center"/>
          </w:tcPr>
          <w:p w:rsidR="00256551" w:rsidRPr="00C451F5" w:rsidRDefault="00256551" w:rsidP="006B250B">
            <w:pPr>
              <w:tabs>
                <w:tab w:val="left" w:pos="567"/>
              </w:tabs>
              <w:snapToGrid w:val="0"/>
              <w:spacing w:before="120" w:after="120" w:line="240" w:lineRule="auto"/>
              <w:jc w:val="center"/>
              <w:rPr>
                <w:rFonts w:ascii="Arial" w:eastAsia="SimSun" w:hAnsi="Arial" w:cs="Arial"/>
                <w:b/>
                <w:sz w:val="18"/>
                <w:szCs w:val="18"/>
                <w:lang w:val="es-ES" w:eastAsia="zh-CN"/>
              </w:rPr>
            </w:pPr>
            <w:r w:rsidRPr="00C451F5">
              <w:rPr>
                <w:rFonts w:ascii="Arial" w:eastAsia="SimSun" w:hAnsi="Arial" w:cs="Arial"/>
                <w:b/>
                <w:sz w:val="18"/>
                <w:szCs w:val="18"/>
                <w:lang w:val="es-ES" w:eastAsia="zh-CN"/>
              </w:rPr>
              <w:t>Término</w:t>
            </w:r>
          </w:p>
        </w:tc>
        <w:tc>
          <w:tcPr>
            <w:tcW w:w="5155" w:type="dxa"/>
            <w:shd w:val="clear" w:color="auto" w:fill="C6D9F1" w:themeFill="text2" w:themeFillTint="33"/>
            <w:vAlign w:val="center"/>
          </w:tcPr>
          <w:p w:rsidR="00256551" w:rsidRPr="00C451F5" w:rsidRDefault="00256551" w:rsidP="006B250B">
            <w:pPr>
              <w:tabs>
                <w:tab w:val="left" w:pos="567"/>
              </w:tabs>
              <w:snapToGrid w:val="0"/>
              <w:spacing w:before="120" w:after="120" w:line="240" w:lineRule="auto"/>
              <w:jc w:val="center"/>
              <w:rPr>
                <w:rFonts w:ascii="Arial" w:eastAsia="SimSun" w:hAnsi="Arial" w:cs="Arial"/>
                <w:b/>
                <w:sz w:val="18"/>
                <w:szCs w:val="18"/>
                <w:lang w:val="es-ES" w:eastAsia="zh-CN"/>
              </w:rPr>
            </w:pPr>
            <w:r w:rsidRPr="00C451F5">
              <w:rPr>
                <w:rFonts w:ascii="Arial" w:eastAsia="SimSun" w:hAnsi="Arial" w:cs="Arial"/>
                <w:b/>
                <w:sz w:val="18"/>
                <w:szCs w:val="18"/>
                <w:lang w:val="es-ES" w:eastAsia="zh-CN"/>
              </w:rPr>
              <w:t>Definición</w:t>
            </w:r>
          </w:p>
        </w:tc>
        <w:tc>
          <w:tcPr>
            <w:tcW w:w="1992" w:type="dxa"/>
            <w:shd w:val="clear" w:color="auto" w:fill="C6D9F1" w:themeFill="text2" w:themeFillTint="33"/>
            <w:vAlign w:val="center"/>
          </w:tcPr>
          <w:p w:rsidR="00E93984" w:rsidRPr="00C451F5" w:rsidRDefault="00E93984" w:rsidP="00E93984">
            <w:pPr>
              <w:tabs>
                <w:tab w:val="left" w:pos="567"/>
              </w:tabs>
              <w:snapToGrid w:val="0"/>
              <w:spacing w:before="120" w:after="0" w:line="240" w:lineRule="auto"/>
              <w:jc w:val="center"/>
              <w:rPr>
                <w:rFonts w:ascii="Arial" w:eastAsia="SimSun" w:hAnsi="Arial" w:cs="Arial"/>
                <w:b/>
                <w:sz w:val="18"/>
                <w:szCs w:val="18"/>
                <w:lang w:val="es-ES" w:eastAsia="zh-CN"/>
              </w:rPr>
            </w:pPr>
            <w:r w:rsidRPr="00C451F5">
              <w:rPr>
                <w:rFonts w:ascii="Arial" w:eastAsia="SimSun" w:hAnsi="Arial" w:cs="Arial"/>
                <w:b/>
                <w:sz w:val="18"/>
                <w:szCs w:val="18"/>
                <w:lang w:val="es-ES" w:eastAsia="zh-CN"/>
              </w:rPr>
              <w:t>Fuente</w:t>
            </w:r>
          </w:p>
          <w:p w:rsidR="00256551" w:rsidRPr="00C451F5" w:rsidRDefault="00256551" w:rsidP="00C451F5">
            <w:pPr>
              <w:tabs>
                <w:tab w:val="left" w:pos="567"/>
              </w:tabs>
              <w:snapToGrid w:val="0"/>
              <w:spacing w:after="120" w:line="240" w:lineRule="auto"/>
              <w:jc w:val="center"/>
              <w:rPr>
                <w:rFonts w:ascii="Arial" w:eastAsia="SimSun" w:hAnsi="Arial" w:cs="Arial"/>
                <w:b/>
                <w:sz w:val="18"/>
                <w:szCs w:val="18"/>
                <w:lang w:val="es-ES" w:eastAsia="zh-CN"/>
              </w:rPr>
            </w:pPr>
            <w:r w:rsidRPr="00C451F5">
              <w:rPr>
                <w:rFonts w:ascii="Arial" w:eastAsia="SimSun" w:hAnsi="Arial" w:cs="Arial"/>
                <w:b/>
                <w:sz w:val="18"/>
                <w:szCs w:val="18"/>
                <w:lang w:val="es-ES" w:eastAsia="zh-CN"/>
              </w:rPr>
              <w:t xml:space="preserve">(si </w:t>
            </w:r>
            <w:r w:rsidR="00C451F5">
              <w:rPr>
                <w:rFonts w:ascii="Arial" w:eastAsia="SimSun" w:hAnsi="Arial" w:cs="Arial"/>
                <w:b/>
                <w:sz w:val="18"/>
                <w:szCs w:val="18"/>
                <w:lang w:val="es-ES" w:eastAsia="zh-CN"/>
              </w:rPr>
              <w:t>distinta</w:t>
            </w:r>
            <w:r w:rsidRPr="00C451F5">
              <w:rPr>
                <w:rFonts w:ascii="Arial" w:eastAsia="SimSun" w:hAnsi="Arial" w:cs="Arial"/>
                <w:b/>
                <w:sz w:val="18"/>
                <w:szCs w:val="18"/>
                <w:lang w:val="es-ES" w:eastAsia="zh-CN"/>
              </w:rPr>
              <w:t xml:space="preserve"> de CTA/FIDA)</w:t>
            </w:r>
          </w:p>
        </w:tc>
      </w:tr>
      <w:tr w:rsidR="00256551" w:rsidRPr="00824E75" w:rsidTr="00E25123">
        <w:trPr>
          <w:trHeight w:val="1188"/>
        </w:trPr>
        <w:tc>
          <w:tcPr>
            <w:tcW w:w="1698" w:type="dxa"/>
          </w:tcPr>
          <w:p w:rsidR="00256551" w:rsidRPr="00C451F5" w:rsidRDefault="00256551" w:rsidP="006B250B">
            <w:pPr>
              <w:tabs>
                <w:tab w:val="left" w:pos="567"/>
              </w:tabs>
              <w:snapToGrid w:val="0"/>
              <w:spacing w:before="120" w:after="120" w:line="240" w:lineRule="auto"/>
              <w:rPr>
                <w:rFonts w:ascii="Arial" w:eastAsia="SimSun" w:hAnsi="Arial" w:cs="Arial"/>
                <w:sz w:val="16"/>
                <w:szCs w:val="16"/>
                <w:lang w:val="es-ES" w:eastAsia="zh-CN"/>
              </w:rPr>
            </w:pPr>
            <w:r w:rsidRPr="00C451F5">
              <w:rPr>
                <w:rFonts w:ascii="Arial" w:eastAsia="SimSun" w:hAnsi="Arial" w:cs="Arial"/>
                <w:sz w:val="16"/>
                <w:szCs w:val="16"/>
                <w:lang w:val="es-ES" w:eastAsia="zh-CN"/>
              </w:rPr>
              <w:t>Archivos</w:t>
            </w:r>
          </w:p>
        </w:tc>
        <w:tc>
          <w:tcPr>
            <w:tcW w:w="5155" w:type="dxa"/>
          </w:tcPr>
          <w:p w:rsidR="00256551" w:rsidRPr="00C451F5" w:rsidRDefault="00256551" w:rsidP="00C451F5">
            <w:pPr>
              <w:tabs>
                <w:tab w:val="left" w:pos="567"/>
              </w:tabs>
              <w:snapToGrid w:val="0"/>
              <w:spacing w:before="120" w:after="120" w:line="240" w:lineRule="auto"/>
              <w:jc w:val="both"/>
              <w:rPr>
                <w:rFonts w:ascii="Arial" w:eastAsia="SimSun" w:hAnsi="Arial" w:cs="Arial"/>
                <w:sz w:val="16"/>
                <w:szCs w:val="16"/>
                <w:lang w:val="es-ES" w:eastAsia="zh-CN"/>
              </w:rPr>
            </w:pPr>
            <w:r w:rsidRPr="00C451F5">
              <w:rPr>
                <w:rFonts w:ascii="Arial" w:eastAsia="SimSun" w:hAnsi="Arial" w:cs="Arial"/>
                <w:sz w:val="16"/>
                <w:szCs w:val="16"/>
                <w:lang w:val="es-ES" w:eastAsia="zh-CN"/>
              </w:rPr>
              <w:t>Los archivos son colecciones de documentos históricos pertenecientes a individ</w:t>
            </w:r>
            <w:r w:rsidR="00C451F5">
              <w:rPr>
                <w:rFonts w:ascii="Arial" w:eastAsia="SimSun" w:hAnsi="Arial" w:cs="Arial"/>
                <w:sz w:val="16"/>
                <w:szCs w:val="16"/>
                <w:lang w:val="es-ES" w:eastAsia="zh-CN"/>
              </w:rPr>
              <w:t>uos u organizaciones. Entre otros, figuran documentos primarios</w:t>
            </w:r>
            <w:r w:rsidRPr="00C451F5">
              <w:rPr>
                <w:rFonts w:ascii="Arial" w:eastAsia="SimSun" w:hAnsi="Arial" w:cs="Arial"/>
                <w:sz w:val="16"/>
                <w:szCs w:val="16"/>
                <w:lang w:val="es-ES" w:eastAsia="zh-CN"/>
              </w:rPr>
              <w:t xml:space="preserve"> como cartas, certificados de nacimiento o defunción, registros de matrimonios, periódicos o registros financieros.</w:t>
            </w:r>
          </w:p>
        </w:tc>
        <w:tc>
          <w:tcPr>
            <w:tcW w:w="1992" w:type="dxa"/>
          </w:tcPr>
          <w:p w:rsidR="00256551" w:rsidRPr="00C451F5" w:rsidRDefault="00256551" w:rsidP="00256551">
            <w:pPr>
              <w:tabs>
                <w:tab w:val="left" w:pos="567"/>
              </w:tabs>
              <w:snapToGrid w:val="0"/>
              <w:spacing w:before="120" w:after="120" w:line="240" w:lineRule="auto"/>
              <w:jc w:val="both"/>
              <w:rPr>
                <w:rFonts w:ascii="Arial" w:eastAsia="SimSun" w:hAnsi="Arial" w:cs="Arial"/>
                <w:sz w:val="16"/>
                <w:szCs w:val="16"/>
                <w:lang w:val="es-ES" w:eastAsia="zh-CN"/>
              </w:rPr>
            </w:pPr>
            <w:r w:rsidRPr="00C451F5">
              <w:rPr>
                <w:rFonts w:ascii="Arial" w:eastAsia="SimSun" w:hAnsi="Arial" w:cs="Arial"/>
                <w:sz w:val="16"/>
                <w:szCs w:val="16"/>
                <w:lang w:val="es-ES" w:eastAsia="zh-CN"/>
              </w:rPr>
              <w:t>Wikipedia (</w:t>
            </w:r>
            <w:hyperlink r:id="rId7" w:history="1">
              <w:r w:rsidRPr="00C451F5">
                <w:rPr>
                  <w:rFonts w:ascii="Arial" w:eastAsia="SimSun" w:hAnsi="Arial" w:cs="Arial"/>
                  <w:color w:val="0000FF"/>
                  <w:sz w:val="16"/>
                  <w:szCs w:val="16"/>
                  <w:u w:val="single"/>
                  <w:lang w:val="es-ES" w:eastAsia="zh-CN"/>
                </w:rPr>
                <w:t>http://en.wikipedia.org/wiki/Archives</w:t>
              </w:r>
            </w:hyperlink>
            <w:r w:rsidRPr="00C451F5">
              <w:rPr>
                <w:rFonts w:ascii="Arial" w:eastAsia="SimSun" w:hAnsi="Arial" w:cs="Arial"/>
                <w:sz w:val="16"/>
                <w:szCs w:val="16"/>
                <w:lang w:val="es-ES" w:eastAsia="zh-CN"/>
              </w:rPr>
              <w:t>)</w:t>
            </w:r>
          </w:p>
        </w:tc>
      </w:tr>
      <w:tr w:rsidR="00E25123" w:rsidRPr="006536F8" w:rsidTr="00E25123">
        <w:trPr>
          <w:trHeight w:val="992"/>
        </w:trPr>
        <w:tc>
          <w:tcPr>
            <w:tcW w:w="1698" w:type="dxa"/>
          </w:tcPr>
          <w:p w:rsidR="00E25123" w:rsidRPr="00C451F5" w:rsidRDefault="00E25123" w:rsidP="00E25123">
            <w:pPr>
              <w:tabs>
                <w:tab w:val="left" w:pos="567"/>
              </w:tabs>
              <w:snapToGrid w:val="0"/>
              <w:spacing w:before="120" w:after="120" w:line="240" w:lineRule="auto"/>
              <w:rPr>
                <w:rFonts w:ascii="Arial" w:eastAsia="SimSun" w:hAnsi="Arial" w:cs="Arial"/>
                <w:bCs/>
                <w:sz w:val="16"/>
                <w:szCs w:val="16"/>
                <w:lang w:val="es-ES" w:eastAsia="zh-CN"/>
              </w:rPr>
            </w:pPr>
            <w:r w:rsidRPr="00C451F5">
              <w:rPr>
                <w:rFonts w:ascii="Arial" w:eastAsia="SimSun" w:hAnsi="Arial" w:cs="Arial"/>
                <w:bCs/>
                <w:sz w:val="16"/>
                <w:szCs w:val="16"/>
                <w:lang w:val="es-ES" w:eastAsia="zh-CN"/>
              </w:rPr>
              <w:t>Cartografía participativa</w:t>
            </w:r>
          </w:p>
        </w:tc>
        <w:tc>
          <w:tcPr>
            <w:tcW w:w="5155"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r w:rsidRPr="00C451F5">
              <w:rPr>
                <w:rFonts w:ascii="Arial" w:eastAsia="SimSun" w:hAnsi="Arial" w:cs="Arial"/>
                <w:sz w:val="16"/>
                <w:szCs w:val="16"/>
                <w:lang w:val="es-ES" w:eastAsia="zh-CN"/>
              </w:rPr>
              <w:t>La cartografía participativa puede utilizarse para documentar el paisaje cultural y los elementos relacionados del PCI de una comunidad. La cartografía de los paisajes culturales se refiere a los rasgos que conforman los valores, las normas y los usos sociales, así como la espiritualidad de una comunidad y los elementos relacionados del PCI. Aquí se incluyen, por ejemplo, lugares sagrados, de danza y de circuncisión. La cartografía participativa puede contribuir a recopilar información sobre las formas en que las comunidades interactúan con los elementos del PCI y resultar de utilidad para transmitir información espacial a organismos externos. Asimismo, puede servir para registrar y archivar el conocimiento local sobre un elemento específico del PCI.</w:t>
            </w:r>
          </w:p>
        </w:tc>
        <w:tc>
          <w:tcPr>
            <w:tcW w:w="1992"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p>
        </w:tc>
      </w:tr>
      <w:tr w:rsidR="00E25123" w:rsidRPr="006536F8" w:rsidTr="00E25123">
        <w:trPr>
          <w:trHeight w:val="992"/>
        </w:trPr>
        <w:tc>
          <w:tcPr>
            <w:tcW w:w="1698" w:type="dxa"/>
          </w:tcPr>
          <w:p w:rsidR="00E25123" w:rsidRPr="00C451F5" w:rsidRDefault="00E25123" w:rsidP="00E25123">
            <w:pPr>
              <w:tabs>
                <w:tab w:val="left" w:pos="567"/>
              </w:tabs>
              <w:snapToGrid w:val="0"/>
              <w:spacing w:before="120" w:after="120" w:line="240" w:lineRule="auto"/>
              <w:rPr>
                <w:rFonts w:ascii="Arial" w:eastAsia="SimSun" w:hAnsi="Arial" w:cs="Arial"/>
                <w:sz w:val="16"/>
                <w:szCs w:val="16"/>
                <w:lang w:val="es-ES" w:eastAsia="zh-CN"/>
              </w:rPr>
            </w:pPr>
            <w:r w:rsidRPr="00C451F5">
              <w:rPr>
                <w:rFonts w:ascii="Arial" w:eastAsia="SimSun" w:hAnsi="Arial" w:cs="Arial"/>
                <w:sz w:val="16"/>
                <w:szCs w:val="16"/>
                <w:lang w:val="es-ES" w:eastAsia="zh-CN"/>
              </w:rPr>
              <w:t>Consentimiento libre, previo e informado</w:t>
            </w:r>
          </w:p>
          <w:p w:rsidR="00E25123" w:rsidRPr="00C451F5" w:rsidRDefault="00E25123" w:rsidP="00E25123">
            <w:pPr>
              <w:tabs>
                <w:tab w:val="left" w:pos="567"/>
              </w:tabs>
              <w:snapToGrid w:val="0"/>
              <w:spacing w:before="120" w:after="120" w:line="240" w:lineRule="auto"/>
              <w:rPr>
                <w:rFonts w:ascii="Arial" w:eastAsia="SimSun" w:hAnsi="Arial" w:cs="Arial"/>
                <w:sz w:val="16"/>
                <w:szCs w:val="16"/>
                <w:lang w:val="es-ES" w:eastAsia="zh-CN"/>
              </w:rPr>
            </w:pPr>
          </w:p>
        </w:tc>
        <w:tc>
          <w:tcPr>
            <w:tcW w:w="5155"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r w:rsidRPr="00C451F5">
              <w:rPr>
                <w:rFonts w:ascii="Arial" w:eastAsia="SimSun" w:hAnsi="Arial" w:cs="Arial"/>
                <w:sz w:val="16"/>
                <w:szCs w:val="16"/>
                <w:lang w:val="es-ES" w:eastAsia="zh-CN"/>
              </w:rPr>
              <w:t>Cuando las comunidades, los grupos o los individuos participan en la elaboración de un expediente de candidatura para la inscripción de un elemento de su PCI en una de las Listas de la Convención, se requiere su consentimiento libre, previo e informado tanto en lo que respecta a la elaboración como a la presentación del expediente (DO 1, U.4 y DO 2, R.4). De no existir pruebas del consentimiento de la comunidad (que puede adoptar diferentes formas según la situación), el Comité no está autorizado para inscribir un elemento en una de las Listas de la Convención.</w:t>
            </w:r>
          </w:p>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r w:rsidRPr="00C451F5">
              <w:rPr>
                <w:rFonts w:ascii="Arial" w:eastAsia="SimSun" w:hAnsi="Arial" w:cs="Arial"/>
                <w:sz w:val="16"/>
                <w:szCs w:val="16"/>
                <w:lang w:val="es-ES" w:eastAsia="zh-CN"/>
              </w:rPr>
              <w:t xml:space="preserve">También se requiere el consentimiento de la comunidad cuando un Estado Parte propone </w:t>
            </w:r>
            <w:r>
              <w:rPr>
                <w:rFonts w:ascii="Arial" w:eastAsia="SimSun" w:hAnsi="Arial" w:cs="Arial"/>
                <w:sz w:val="16"/>
                <w:szCs w:val="16"/>
                <w:lang w:val="es-ES" w:eastAsia="zh-CN"/>
              </w:rPr>
              <w:t xml:space="preserve">que </w:t>
            </w:r>
            <w:r w:rsidRPr="00C451F5">
              <w:rPr>
                <w:rFonts w:ascii="Arial" w:eastAsia="SimSun" w:hAnsi="Arial" w:cs="Arial"/>
                <w:sz w:val="16"/>
                <w:szCs w:val="16"/>
                <w:lang w:val="es-ES" w:eastAsia="zh-CN"/>
              </w:rPr>
              <w:t>una práctica de salvaguardia sea seleccionada como mejor práctica (DO 7, P.5) o cuando organiza una actividad de sensibilización que atañe al PCI de uno o varios grupos específicos (DO 101 b)).</w:t>
            </w:r>
          </w:p>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r w:rsidRPr="00C451F5">
              <w:rPr>
                <w:rFonts w:ascii="Arial" w:eastAsia="SimSun" w:hAnsi="Arial" w:cs="Arial"/>
                <w:sz w:val="16"/>
                <w:szCs w:val="16"/>
                <w:lang w:val="es-ES" w:eastAsia="zh-CN"/>
              </w:rPr>
              <w:t>Originalmente, la noción de consentimiento libre, previo e informado debía aplicarse a los individuos, pero ahora se ha extendido a grupos de personas en instrumentos como la Declaración sobre los Derechos de los Pueblos Indígenas, el Convenio sobre la Diversidad Biológica, las Directrices Operativas de la Convención del Patrimonio Inmaterial y diferentes textos y recomendaciones de la Organización Mundial de la Propiedad Intelectual (OMPI). Véanse las DO 1, 2, 7 y 101 b).</w:t>
            </w:r>
          </w:p>
        </w:tc>
        <w:tc>
          <w:tcPr>
            <w:tcW w:w="1992" w:type="dxa"/>
          </w:tcPr>
          <w:p w:rsidR="00E25123" w:rsidRPr="00C451F5" w:rsidRDefault="00E25123" w:rsidP="00E25123">
            <w:pPr>
              <w:tabs>
                <w:tab w:val="left" w:pos="567"/>
              </w:tabs>
              <w:snapToGrid w:val="0"/>
              <w:spacing w:before="120" w:after="0" w:line="240" w:lineRule="auto"/>
              <w:rPr>
                <w:rFonts w:ascii="Arial" w:eastAsia="SimSun" w:hAnsi="Arial" w:cs="Arial"/>
                <w:sz w:val="16"/>
                <w:szCs w:val="16"/>
                <w:lang w:val="es-ES" w:eastAsia="zh-CN"/>
              </w:rPr>
            </w:pPr>
            <w:r w:rsidRPr="00C451F5">
              <w:rPr>
                <w:rFonts w:ascii="Arial" w:eastAsia="SimSun" w:hAnsi="Arial" w:cs="Arial"/>
                <w:sz w:val="16"/>
                <w:szCs w:val="16"/>
                <w:lang w:val="es-ES" w:eastAsia="zh-CN"/>
              </w:rPr>
              <w:t>Material para participantes</w:t>
            </w:r>
          </w:p>
          <w:p w:rsidR="00E25123" w:rsidRPr="00C451F5" w:rsidRDefault="00E25123" w:rsidP="00E25123">
            <w:pPr>
              <w:tabs>
                <w:tab w:val="left" w:pos="567"/>
              </w:tabs>
              <w:snapToGrid w:val="0"/>
              <w:spacing w:after="0" w:line="240" w:lineRule="auto"/>
              <w:rPr>
                <w:rFonts w:ascii="Arial" w:eastAsia="SimSun" w:hAnsi="Arial" w:cs="Arial"/>
                <w:sz w:val="16"/>
                <w:szCs w:val="16"/>
                <w:lang w:val="es-ES" w:eastAsia="zh-CN"/>
              </w:rPr>
            </w:pPr>
            <w:r w:rsidRPr="00C451F5">
              <w:rPr>
                <w:rFonts w:ascii="Arial" w:eastAsia="SimSun" w:hAnsi="Arial" w:cs="Arial"/>
                <w:sz w:val="16"/>
                <w:szCs w:val="16"/>
                <w:lang w:val="es-ES" w:eastAsia="zh-CN"/>
              </w:rPr>
              <w:t>Unidad 3: Conceptos clave</w:t>
            </w:r>
          </w:p>
          <w:p w:rsidR="00E25123" w:rsidRPr="00C451F5" w:rsidRDefault="00E25123" w:rsidP="00E25123">
            <w:pPr>
              <w:tabs>
                <w:tab w:val="left" w:pos="567"/>
              </w:tabs>
              <w:snapToGrid w:val="0"/>
              <w:spacing w:before="120" w:after="120" w:line="240" w:lineRule="auto"/>
              <w:rPr>
                <w:rFonts w:ascii="Arial" w:eastAsia="SimSun" w:hAnsi="Arial" w:cs="Arial"/>
                <w:sz w:val="16"/>
                <w:szCs w:val="16"/>
                <w:lang w:val="es-ES" w:eastAsia="zh-CN"/>
              </w:rPr>
            </w:pPr>
          </w:p>
          <w:p w:rsidR="00E25123" w:rsidRPr="00C451F5" w:rsidRDefault="00E25123" w:rsidP="00E25123">
            <w:pPr>
              <w:tabs>
                <w:tab w:val="left" w:pos="567"/>
              </w:tabs>
              <w:snapToGrid w:val="0"/>
              <w:spacing w:before="120" w:after="120" w:line="240" w:lineRule="auto"/>
              <w:rPr>
                <w:rFonts w:ascii="Arial" w:eastAsia="SimSun" w:hAnsi="Arial" w:cs="Arial"/>
                <w:b/>
                <w:sz w:val="16"/>
                <w:szCs w:val="16"/>
                <w:lang w:val="es-ES" w:eastAsia="zh-CN"/>
              </w:rPr>
            </w:pPr>
          </w:p>
        </w:tc>
      </w:tr>
      <w:tr w:rsidR="00E25123" w:rsidRPr="006536F8" w:rsidTr="00E25123">
        <w:trPr>
          <w:trHeight w:val="992"/>
        </w:trPr>
        <w:tc>
          <w:tcPr>
            <w:tcW w:w="1698" w:type="dxa"/>
          </w:tcPr>
          <w:p w:rsidR="00E25123" w:rsidRPr="00C451F5" w:rsidRDefault="00E25123" w:rsidP="00E25123">
            <w:pPr>
              <w:tabs>
                <w:tab w:val="left" w:pos="567"/>
              </w:tabs>
              <w:snapToGrid w:val="0"/>
              <w:spacing w:before="120" w:after="120" w:line="240" w:lineRule="auto"/>
              <w:rPr>
                <w:rFonts w:ascii="Arial" w:eastAsia="SimSun" w:hAnsi="Arial" w:cs="Arial"/>
                <w:bCs/>
                <w:sz w:val="16"/>
                <w:szCs w:val="16"/>
                <w:lang w:val="es-ES" w:eastAsia="zh-CN"/>
              </w:rPr>
            </w:pPr>
            <w:r w:rsidRPr="00C451F5">
              <w:rPr>
                <w:rFonts w:ascii="Arial" w:eastAsia="SimSun" w:hAnsi="Arial" w:cs="Arial"/>
                <w:bCs/>
                <w:sz w:val="16"/>
                <w:szCs w:val="16"/>
                <w:lang w:val="es-ES" w:eastAsia="zh-CN"/>
              </w:rPr>
              <w:t>Entrevista semiestructurada</w:t>
            </w:r>
          </w:p>
          <w:p w:rsidR="00E25123" w:rsidRPr="00C451F5" w:rsidRDefault="00E25123" w:rsidP="00E25123">
            <w:pPr>
              <w:tabs>
                <w:tab w:val="left" w:pos="567"/>
              </w:tabs>
              <w:snapToGrid w:val="0"/>
              <w:spacing w:before="120" w:after="120" w:line="240" w:lineRule="auto"/>
              <w:rPr>
                <w:rFonts w:ascii="Arial" w:eastAsia="SimSun" w:hAnsi="Arial" w:cs="Arial"/>
                <w:bCs/>
                <w:sz w:val="16"/>
                <w:szCs w:val="16"/>
                <w:lang w:val="es-ES" w:eastAsia="zh-CN"/>
              </w:rPr>
            </w:pPr>
          </w:p>
        </w:tc>
        <w:tc>
          <w:tcPr>
            <w:tcW w:w="5155"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r w:rsidRPr="00C451F5">
              <w:rPr>
                <w:rFonts w:ascii="Arial" w:eastAsia="SimSun" w:hAnsi="Arial" w:cs="Arial"/>
                <w:sz w:val="16"/>
                <w:szCs w:val="16"/>
                <w:lang w:val="es-ES" w:eastAsia="zh-CN"/>
              </w:rPr>
              <w:t xml:space="preserve">Una entrevista semiestructurada es un tipo de entrevista en la que se utiliza un conjunto de preguntas o temas previamente seleccionados. Sin embargo, es posible apartarse de las preguntas y de los temas previstos y </w:t>
            </w:r>
            <w:r>
              <w:rPr>
                <w:rFonts w:ascii="Arial" w:eastAsia="SimSun" w:hAnsi="Arial" w:cs="Arial"/>
                <w:sz w:val="16"/>
                <w:szCs w:val="16"/>
                <w:lang w:val="es-ES" w:eastAsia="zh-CN"/>
              </w:rPr>
              <w:t>animar</w:t>
            </w:r>
            <w:r w:rsidRPr="00C451F5">
              <w:rPr>
                <w:rFonts w:ascii="Arial" w:eastAsia="SimSun" w:hAnsi="Arial" w:cs="Arial"/>
                <w:sz w:val="16"/>
                <w:szCs w:val="16"/>
                <w:lang w:val="es-ES" w:eastAsia="zh-CN"/>
              </w:rPr>
              <w:t xml:space="preserve"> a los entrevistados a </w:t>
            </w:r>
            <w:r>
              <w:rPr>
                <w:rFonts w:ascii="Arial" w:eastAsia="SimSun" w:hAnsi="Arial" w:cs="Arial"/>
                <w:sz w:val="16"/>
                <w:szCs w:val="16"/>
                <w:lang w:val="es-ES" w:eastAsia="zh-CN"/>
              </w:rPr>
              <w:t xml:space="preserve">detenerse en los </w:t>
            </w:r>
            <w:r w:rsidRPr="00C451F5">
              <w:rPr>
                <w:rFonts w:ascii="Arial" w:eastAsia="SimSun" w:hAnsi="Arial" w:cs="Arial"/>
                <w:sz w:val="16"/>
                <w:szCs w:val="16"/>
                <w:lang w:val="es-ES" w:eastAsia="zh-CN"/>
              </w:rPr>
              <w:t>temas objeto de debate y exponer ideas que no figuran en el programa original de la entrevista.</w:t>
            </w:r>
          </w:p>
        </w:tc>
        <w:tc>
          <w:tcPr>
            <w:tcW w:w="1992"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p>
        </w:tc>
      </w:tr>
      <w:tr w:rsidR="00E25123" w:rsidRPr="006536F8" w:rsidTr="00E25123">
        <w:trPr>
          <w:trHeight w:val="992"/>
        </w:trPr>
        <w:tc>
          <w:tcPr>
            <w:tcW w:w="1698" w:type="dxa"/>
          </w:tcPr>
          <w:p w:rsidR="00E25123" w:rsidRPr="00C451F5" w:rsidRDefault="00E25123" w:rsidP="00E25123">
            <w:pPr>
              <w:tabs>
                <w:tab w:val="left" w:pos="567"/>
              </w:tabs>
              <w:snapToGrid w:val="0"/>
              <w:spacing w:before="120" w:after="120" w:line="240" w:lineRule="auto"/>
              <w:rPr>
                <w:rFonts w:ascii="Arial" w:eastAsia="SimSun" w:hAnsi="Arial" w:cs="Arial"/>
                <w:bCs/>
                <w:sz w:val="16"/>
                <w:szCs w:val="16"/>
                <w:lang w:val="es-ES" w:eastAsia="zh-CN"/>
              </w:rPr>
            </w:pPr>
            <w:r w:rsidRPr="00C451F5">
              <w:rPr>
                <w:rFonts w:ascii="Arial" w:eastAsia="SimSun" w:hAnsi="Arial" w:cs="Arial"/>
                <w:bCs/>
                <w:sz w:val="16"/>
                <w:szCs w:val="16"/>
                <w:lang w:val="es-ES" w:eastAsia="zh-CN"/>
              </w:rPr>
              <w:lastRenderedPageBreak/>
              <w:t>Entrevista estructurada</w:t>
            </w:r>
          </w:p>
          <w:p w:rsidR="00E25123" w:rsidRPr="00C451F5" w:rsidRDefault="00E25123" w:rsidP="00E25123">
            <w:pPr>
              <w:tabs>
                <w:tab w:val="left" w:pos="567"/>
              </w:tabs>
              <w:snapToGrid w:val="0"/>
              <w:spacing w:before="120" w:after="120" w:line="240" w:lineRule="auto"/>
              <w:rPr>
                <w:rFonts w:ascii="Arial" w:eastAsia="SimSun" w:hAnsi="Arial" w:cs="Arial"/>
                <w:bCs/>
                <w:sz w:val="16"/>
                <w:szCs w:val="16"/>
                <w:lang w:val="es-ES" w:eastAsia="zh-CN"/>
              </w:rPr>
            </w:pPr>
          </w:p>
        </w:tc>
        <w:tc>
          <w:tcPr>
            <w:tcW w:w="5155"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r w:rsidRPr="00C451F5">
              <w:rPr>
                <w:rFonts w:ascii="Arial" w:eastAsia="SimSun" w:hAnsi="Arial" w:cs="Arial"/>
                <w:sz w:val="16"/>
                <w:szCs w:val="16"/>
                <w:lang w:val="es-ES" w:eastAsia="zh-CN"/>
              </w:rPr>
              <w:t>En una entrevista estructurada se formulan las mismas preguntas a cada entrevistado y en el mismo orden. No conviene apartarse de ellas. Por lo general, con este tipo de entrevista se obtienen resultados altamente comparables.</w:t>
            </w:r>
          </w:p>
        </w:tc>
        <w:tc>
          <w:tcPr>
            <w:tcW w:w="1992"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p>
        </w:tc>
      </w:tr>
      <w:tr w:rsidR="00E25123" w:rsidRPr="006536F8" w:rsidTr="00E25123">
        <w:trPr>
          <w:trHeight w:val="992"/>
        </w:trPr>
        <w:tc>
          <w:tcPr>
            <w:tcW w:w="1698" w:type="dxa"/>
          </w:tcPr>
          <w:p w:rsidR="00E25123" w:rsidRPr="00C451F5" w:rsidRDefault="00E25123" w:rsidP="00E25123">
            <w:pPr>
              <w:tabs>
                <w:tab w:val="left" w:pos="567"/>
              </w:tabs>
              <w:snapToGrid w:val="0"/>
              <w:spacing w:before="120" w:after="120" w:line="240" w:lineRule="auto"/>
              <w:rPr>
                <w:rFonts w:ascii="Arial" w:eastAsia="SimSun" w:hAnsi="Arial" w:cs="Arial"/>
                <w:sz w:val="16"/>
                <w:szCs w:val="16"/>
                <w:lang w:val="es-ES" w:eastAsia="zh-CN"/>
              </w:rPr>
            </w:pPr>
            <w:r w:rsidRPr="00C451F5">
              <w:rPr>
                <w:rFonts w:ascii="Arial" w:eastAsia="SimSun" w:hAnsi="Arial" w:cs="Arial"/>
                <w:sz w:val="16"/>
                <w:szCs w:val="16"/>
                <w:lang w:val="es-ES" w:eastAsia="zh-CN"/>
              </w:rPr>
              <w:t>Entrevista no estructurada</w:t>
            </w:r>
          </w:p>
          <w:p w:rsidR="00E25123" w:rsidRPr="00C451F5" w:rsidRDefault="00E25123" w:rsidP="00E25123">
            <w:pPr>
              <w:tabs>
                <w:tab w:val="left" w:pos="567"/>
              </w:tabs>
              <w:snapToGrid w:val="0"/>
              <w:spacing w:before="120" w:after="120" w:line="240" w:lineRule="auto"/>
              <w:rPr>
                <w:rFonts w:ascii="Arial" w:eastAsia="SimSun" w:hAnsi="Arial" w:cs="Arial"/>
                <w:sz w:val="16"/>
                <w:szCs w:val="16"/>
                <w:lang w:val="es-ES" w:eastAsia="zh-CN"/>
              </w:rPr>
            </w:pPr>
          </w:p>
        </w:tc>
        <w:tc>
          <w:tcPr>
            <w:tcW w:w="5155" w:type="dxa"/>
          </w:tcPr>
          <w:p w:rsidR="00E25123" w:rsidRPr="00C451F5" w:rsidRDefault="00E25123" w:rsidP="00E25123">
            <w:pPr>
              <w:tabs>
                <w:tab w:val="left" w:pos="567"/>
              </w:tabs>
              <w:autoSpaceDE w:val="0"/>
              <w:autoSpaceDN w:val="0"/>
              <w:adjustRightInd w:val="0"/>
              <w:snapToGrid w:val="0"/>
              <w:spacing w:before="120" w:after="120" w:line="240" w:lineRule="auto"/>
              <w:jc w:val="both"/>
              <w:rPr>
                <w:rFonts w:ascii="Arial" w:eastAsia="SimSun" w:hAnsi="Arial" w:cs="Arial"/>
                <w:sz w:val="16"/>
                <w:szCs w:val="16"/>
                <w:lang w:val="es-ES" w:eastAsia="zh-CN"/>
              </w:rPr>
            </w:pPr>
            <w:r w:rsidRPr="00C451F5">
              <w:rPr>
                <w:rFonts w:ascii="Arial" w:eastAsia="SimSun" w:hAnsi="Arial" w:cs="Arial"/>
                <w:sz w:val="16"/>
                <w:szCs w:val="16"/>
                <w:lang w:val="es-ES" w:eastAsia="zh-CN"/>
              </w:rPr>
              <w:t xml:space="preserve">Las entrevistas no estructuradas no </w:t>
            </w:r>
            <w:r>
              <w:rPr>
                <w:rFonts w:ascii="Arial" w:eastAsia="SimSun" w:hAnsi="Arial" w:cs="Arial"/>
                <w:sz w:val="16"/>
                <w:szCs w:val="16"/>
                <w:lang w:val="es-ES" w:eastAsia="zh-CN"/>
              </w:rPr>
              <w:t>dependen de</w:t>
            </w:r>
            <w:r w:rsidRPr="00C451F5">
              <w:rPr>
                <w:rFonts w:ascii="Arial" w:eastAsia="SimSun" w:hAnsi="Arial" w:cs="Arial"/>
                <w:sz w:val="16"/>
                <w:szCs w:val="16"/>
                <w:lang w:val="es-ES" w:eastAsia="zh-CN"/>
              </w:rPr>
              <w:t xml:space="preserve"> un grupo </w:t>
            </w:r>
            <w:r>
              <w:rPr>
                <w:rFonts w:ascii="Arial" w:eastAsia="SimSun" w:hAnsi="Arial" w:cs="Arial"/>
                <w:sz w:val="16"/>
                <w:szCs w:val="16"/>
                <w:lang w:val="es-ES" w:eastAsia="zh-CN"/>
              </w:rPr>
              <w:t xml:space="preserve">fijo </w:t>
            </w:r>
            <w:r w:rsidRPr="00C451F5">
              <w:rPr>
                <w:rFonts w:ascii="Arial" w:eastAsia="SimSun" w:hAnsi="Arial" w:cs="Arial"/>
                <w:sz w:val="16"/>
                <w:szCs w:val="16"/>
                <w:lang w:val="es-ES" w:eastAsia="zh-CN"/>
              </w:rPr>
              <w:t>de preguntas, sino que sigue</w:t>
            </w:r>
            <w:r>
              <w:rPr>
                <w:rFonts w:ascii="Arial" w:eastAsia="SimSun" w:hAnsi="Arial" w:cs="Arial"/>
                <w:sz w:val="16"/>
                <w:szCs w:val="16"/>
                <w:lang w:val="es-ES" w:eastAsia="zh-CN"/>
              </w:rPr>
              <w:t>n</w:t>
            </w:r>
            <w:r w:rsidRPr="00C451F5">
              <w:rPr>
                <w:rFonts w:ascii="Arial" w:eastAsia="SimSun" w:hAnsi="Arial" w:cs="Arial"/>
                <w:sz w:val="16"/>
                <w:szCs w:val="16"/>
                <w:lang w:val="es-ES" w:eastAsia="zh-CN"/>
              </w:rPr>
              <w:t xml:space="preserve"> el hilo natural de la conversación entre el entrevistador y el entrevistado. Estas entrevistas suele</w:t>
            </w:r>
            <w:r>
              <w:rPr>
                <w:rFonts w:ascii="Arial" w:eastAsia="SimSun" w:hAnsi="Arial" w:cs="Arial"/>
                <w:sz w:val="16"/>
                <w:szCs w:val="16"/>
                <w:lang w:val="es-ES" w:eastAsia="zh-CN"/>
              </w:rPr>
              <w:t>n</w:t>
            </w:r>
            <w:r w:rsidRPr="00C451F5">
              <w:rPr>
                <w:rFonts w:ascii="Arial" w:eastAsia="SimSun" w:hAnsi="Arial" w:cs="Arial"/>
                <w:sz w:val="16"/>
                <w:szCs w:val="16"/>
                <w:lang w:val="es-ES" w:eastAsia="zh-CN"/>
              </w:rPr>
              <w:t xml:space="preserve"> utilizarse cuando el entrevistador no ha identificado a</w:t>
            </w:r>
            <w:r w:rsidRPr="00C451F5">
              <w:rPr>
                <w:rFonts w:ascii="Arial" w:eastAsia="SimSun" w:hAnsi="Arial" w:cs="Arial" w:hint="cs"/>
                <w:sz w:val="16"/>
                <w:szCs w:val="16"/>
                <w:lang w:val="es-ES" w:eastAsia="zh-CN"/>
              </w:rPr>
              <w:t>ú</w:t>
            </w:r>
            <w:r w:rsidRPr="00C451F5">
              <w:rPr>
                <w:rFonts w:ascii="Arial" w:eastAsia="SimSun" w:hAnsi="Arial" w:cs="Arial"/>
                <w:sz w:val="16"/>
                <w:szCs w:val="16"/>
                <w:lang w:val="es-ES" w:eastAsia="zh-CN"/>
              </w:rPr>
              <w:t>n los temas que desea aborda</w:t>
            </w:r>
            <w:r>
              <w:rPr>
                <w:rFonts w:ascii="Arial" w:eastAsia="SimSun" w:hAnsi="Arial" w:cs="Arial"/>
                <w:sz w:val="16"/>
                <w:szCs w:val="16"/>
                <w:lang w:val="es-ES" w:eastAsia="zh-CN"/>
              </w:rPr>
              <w:t xml:space="preserve">, </w:t>
            </w:r>
            <w:r w:rsidRPr="00C451F5">
              <w:rPr>
                <w:rFonts w:ascii="Arial" w:eastAsia="SimSun" w:hAnsi="Arial" w:cs="Arial"/>
                <w:sz w:val="16"/>
                <w:szCs w:val="16"/>
                <w:lang w:val="es-ES" w:eastAsia="zh-CN"/>
              </w:rPr>
              <w:t>por</w:t>
            </w:r>
            <w:r>
              <w:rPr>
                <w:rFonts w:ascii="Arial" w:eastAsia="SimSun" w:hAnsi="Arial" w:cs="Arial"/>
                <w:sz w:val="16"/>
                <w:szCs w:val="16"/>
                <w:lang w:val="es-ES" w:eastAsia="zh-CN"/>
              </w:rPr>
              <w:t xml:space="preserve"> lo que dependen</w:t>
            </w:r>
            <w:r w:rsidRPr="00C451F5">
              <w:rPr>
                <w:rFonts w:ascii="Arial" w:eastAsia="SimSun" w:hAnsi="Arial" w:cs="Arial"/>
                <w:sz w:val="16"/>
                <w:szCs w:val="16"/>
                <w:lang w:val="es-ES" w:eastAsia="zh-CN"/>
              </w:rPr>
              <w:t xml:space="preserve"> de los conocimientos especializados del entrevistado.</w:t>
            </w:r>
          </w:p>
        </w:tc>
        <w:tc>
          <w:tcPr>
            <w:tcW w:w="1992"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p>
        </w:tc>
      </w:tr>
      <w:tr w:rsidR="00E25123" w:rsidRPr="006536F8" w:rsidTr="00E25123">
        <w:trPr>
          <w:trHeight w:val="992"/>
        </w:trPr>
        <w:tc>
          <w:tcPr>
            <w:tcW w:w="1698" w:type="dxa"/>
          </w:tcPr>
          <w:p w:rsidR="00E25123" w:rsidRPr="00C451F5" w:rsidRDefault="00E25123" w:rsidP="00E25123">
            <w:pPr>
              <w:tabs>
                <w:tab w:val="left" w:pos="567"/>
              </w:tabs>
              <w:snapToGrid w:val="0"/>
              <w:spacing w:before="120" w:after="120" w:line="240" w:lineRule="auto"/>
              <w:rPr>
                <w:rFonts w:ascii="Arial" w:eastAsia="SimSun" w:hAnsi="Arial" w:cs="Arial"/>
                <w:sz w:val="16"/>
                <w:szCs w:val="16"/>
                <w:lang w:val="es-ES" w:eastAsia="zh-CN"/>
              </w:rPr>
            </w:pPr>
            <w:r w:rsidRPr="00C451F5">
              <w:rPr>
                <w:rFonts w:ascii="Arial" w:eastAsia="SimSun" w:hAnsi="Arial" w:cs="Arial"/>
                <w:sz w:val="16"/>
                <w:szCs w:val="16"/>
                <w:lang w:val="es-ES" w:eastAsia="zh-CN"/>
              </w:rPr>
              <w:t>Grabación de audio</w:t>
            </w:r>
          </w:p>
          <w:p w:rsidR="00E25123" w:rsidRPr="00C451F5" w:rsidRDefault="00E25123" w:rsidP="00E25123">
            <w:pPr>
              <w:tabs>
                <w:tab w:val="left" w:pos="567"/>
              </w:tabs>
              <w:snapToGrid w:val="0"/>
              <w:spacing w:before="120" w:after="120" w:line="240" w:lineRule="auto"/>
              <w:rPr>
                <w:rFonts w:ascii="Arial" w:eastAsia="SimSun" w:hAnsi="Arial" w:cs="Arial"/>
                <w:sz w:val="16"/>
                <w:szCs w:val="16"/>
                <w:lang w:val="es-ES" w:eastAsia="zh-CN"/>
              </w:rPr>
            </w:pPr>
          </w:p>
        </w:tc>
        <w:tc>
          <w:tcPr>
            <w:tcW w:w="5155" w:type="dxa"/>
          </w:tcPr>
          <w:p w:rsidR="00E25123" w:rsidRPr="00C451F5" w:rsidRDefault="00E25123" w:rsidP="00E25123">
            <w:pPr>
              <w:tabs>
                <w:tab w:val="left" w:pos="567"/>
                <w:tab w:val="left" w:pos="713"/>
              </w:tabs>
              <w:snapToGrid w:val="0"/>
              <w:spacing w:before="120" w:after="120" w:line="240" w:lineRule="auto"/>
              <w:jc w:val="both"/>
              <w:rPr>
                <w:rFonts w:ascii="Arial" w:eastAsia="SimSun" w:hAnsi="Arial" w:cs="Arial"/>
                <w:bCs/>
                <w:sz w:val="16"/>
                <w:szCs w:val="16"/>
                <w:lang w:val="es-ES" w:eastAsia="zh-CN"/>
              </w:rPr>
            </w:pPr>
            <w:r w:rsidRPr="00C451F5">
              <w:rPr>
                <w:rFonts w:ascii="Arial" w:eastAsia="SimSun" w:hAnsi="Arial" w:cs="Arial"/>
                <w:bCs/>
                <w:sz w:val="16"/>
                <w:szCs w:val="16"/>
                <w:lang w:val="es-ES" w:eastAsia="zh-CN"/>
              </w:rPr>
              <w:t xml:space="preserve">La grabación de audio es una técnica que puede aplicarse a diferentes métodos de generación de información y se emplea para </w:t>
            </w:r>
            <w:r>
              <w:rPr>
                <w:rFonts w:ascii="Arial" w:eastAsia="SimSun" w:hAnsi="Arial" w:cs="Arial"/>
                <w:bCs/>
                <w:sz w:val="16"/>
                <w:szCs w:val="16"/>
                <w:lang w:val="es-ES" w:eastAsia="zh-CN"/>
              </w:rPr>
              <w:t>recopilar</w:t>
            </w:r>
            <w:r w:rsidRPr="00C451F5">
              <w:rPr>
                <w:rFonts w:ascii="Arial" w:eastAsia="SimSun" w:hAnsi="Arial" w:cs="Arial"/>
                <w:bCs/>
                <w:sz w:val="16"/>
                <w:szCs w:val="16"/>
                <w:lang w:val="es-ES" w:eastAsia="zh-CN"/>
              </w:rPr>
              <w:t xml:space="preserve"> elementos del PCI en los que el sonido es un aspecto definitorio (por ejemplo, entrevistas, música, danza y cantos, entre otros).</w:t>
            </w:r>
          </w:p>
        </w:tc>
        <w:tc>
          <w:tcPr>
            <w:tcW w:w="1992"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p>
        </w:tc>
      </w:tr>
      <w:tr w:rsidR="00E25123" w:rsidRPr="006536F8" w:rsidTr="00E25123">
        <w:trPr>
          <w:trHeight w:val="1311"/>
        </w:trPr>
        <w:tc>
          <w:tcPr>
            <w:tcW w:w="1698" w:type="dxa"/>
          </w:tcPr>
          <w:p w:rsidR="00E25123" w:rsidRPr="00C451F5" w:rsidRDefault="00E25123" w:rsidP="00E25123">
            <w:pPr>
              <w:tabs>
                <w:tab w:val="left" w:pos="567"/>
              </w:tabs>
              <w:snapToGrid w:val="0"/>
              <w:spacing w:before="120" w:after="120" w:line="240" w:lineRule="auto"/>
              <w:rPr>
                <w:rFonts w:ascii="Arial" w:eastAsia="SimSun" w:hAnsi="Arial" w:cs="Arial"/>
                <w:sz w:val="16"/>
                <w:szCs w:val="16"/>
                <w:lang w:val="es-ES" w:eastAsia="zh-CN"/>
              </w:rPr>
            </w:pPr>
            <w:r w:rsidRPr="00C451F5">
              <w:rPr>
                <w:rFonts w:ascii="Arial" w:eastAsia="SimSun" w:hAnsi="Arial" w:cs="Arial"/>
                <w:sz w:val="16"/>
                <w:szCs w:val="16"/>
                <w:lang w:val="es-ES" w:eastAsia="zh-CN"/>
              </w:rPr>
              <w:t>Grupo de discusión</w:t>
            </w:r>
          </w:p>
          <w:p w:rsidR="00E25123" w:rsidRPr="00C451F5" w:rsidRDefault="00E25123" w:rsidP="00E25123">
            <w:pPr>
              <w:tabs>
                <w:tab w:val="left" w:pos="567"/>
              </w:tabs>
              <w:snapToGrid w:val="0"/>
              <w:spacing w:before="120" w:after="120" w:line="240" w:lineRule="auto"/>
              <w:rPr>
                <w:rFonts w:ascii="Arial" w:eastAsia="SimSun" w:hAnsi="Arial" w:cs="Arial"/>
                <w:sz w:val="16"/>
                <w:szCs w:val="16"/>
                <w:lang w:val="es-ES" w:eastAsia="zh-CN"/>
              </w:rPr>
            </w:pPr>
          </w:p>
        </w:tc>
        <w:tc>
          <w:tcPr>
            <w:tcW w:w="5155"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r w:rsidRPr="00C451F5">
              <w:rPr>
                <w:rFonts w:ascii="Arial" w:eastAsia="SimSun" w:hAnsi="Arial" w:cs="Arial"/>
                <w:sz w:val="16"/>
                <w:szCs w:val="16"/>
                <w:lang w:val="es-ES" w:eastAsia="zh-CN"/>
              </w:rPr>
              <w:t>Un grupo de discusión es una entrevista realizada a un pequeño número de individuos alrededor de un tema de interés. Puede requerir la presencia de un moderador y su estilo será similar al de una reunión de intercambio de ideas. Por lo general, un grupo de discusión implica el empleo de preguntas abiertas o temas amplios de debate, o ambos.</w:t>
            </w:r>
          </w:p>
        </w:tc>
        <w:tc>
          <w:tcPr>
            <w:tcW w:w="1992"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p>
        </w:tc>
      </w:tr>
      <w:tr w:rsidR="00E25123" w:rsidRPr="006536F8" w:rsidTr="00E25123">
        <w:trPr>
          <w:trHeight w:val="122"/>
        </w:trPr>
        <w:tc>
          <w:tcPr>
            <w:tcW w:w="1698" w:type="dxa"/>
          </w:tcPr>
          <w:p w:rsidR="00E25123" w:rsidRPr="00C451F5" w:rsidRDefault="00E25123" w:rsidP="00E25123">
            <w:pPr>
              <w:tabs>
                <w:tab w:val="left" w:pos="567"/>
              </w:tabs>
              <w:snapToGrid w:val="0"/>
              <w:spacing w:before="120" w:after="120" w:line="240" w:lineRule="auto"/>
              <w:rPr>
                <w:rFonts w:ascii="Arial" w:eastAsia="SimSun" w:hAnsi="Arial" w:cs="Arial"/>
                <w:bCs/>
                <w:sz w:val="16"/>
                <w:szCs w:val="16"/>
                <w:lang w:val="es-ES" w:eastAsia="zh-CN"/>
              </w:rPr>
            </w:pPr>
            <w:r w:rsidRPr="00C451F5">
              <w:rPr>
                <w:rFonts w:ascii="Arial" w:eastAsia="SimSun" w:hAnsi="Arial" w:cs="Arial"/>
                <w:bCs/>
                <w:sz w:val="16"/>
                <w:szCs w:val="16"/>
                <w:lang w:val="es-ES" w:eastAsia="zh-CN"/>
              </w:rPr>
              <w:t>Observación</w:t>
            </w:r>
          </w:p>
        </w:tc>
        <w:tc>
          <w:tcPr>
            <w:tcW w:w="5155"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r w:rsidRPr="00C451F5">
              <w:rPr>
                <w:rFonts w:ascii="Arial" w:eastAsia="SimSun" w:hAnsi="Arial" w:cs="Arial"/>
                <w:sz w:val="16"/>
                <w:szCs w:val="16"/>
                <w:lang w:val="es-ES" w:eastAsia="zh-CN"/>
              </w:rPr>
              <w:t>La observación es un método de generación de información mediante el cual los individuos se familiarizan con grupos de personas o individuos al observarlos y escucharlos. Entre los usos que pueden ser observados se incluyen festivales, ceremonias religiosas, reuniones o actividades cotidianas.</w:t>
            </w:r>
          </w:p>
        </w:tc>
        <w:tc>
          <w:tcPr>
            <w:tcW w:w="1992"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p>
        </w:tc>
      </w:tr>
      <w:tr w:rsidR="00E25123" w:rsidRPr="00824E75" w:rsidTr="00E25123">
        <w:trPr>
          <w:trHeight w:val="1165"/>
        </w:trPr>
        <w:tc>
          <w:tcPr>
            <w:tcW w:w="1698" w:type="dxa"/>
          </w:tcPr>
          <w:p w:rsidR="00E25123" w:rsidRPr="00C451F5" w:rsidRDefault="00E25123" w:rsidP="00E25123">
            <w:pPr>
              <w:tabs>
                <w:tab w:val="left" w:pos="567"/>
              </w:tabs>
              <w:snapToGrid w:val="0"/>
              <w:spacing w:before="120" w:after="120" w:line="240" w:lineRule="auto"/>
              <w:rPr>
                <w:rFonts w:ascii="Arial" w:eastAsia="SimSun" w:hAnsi="Arial" w:cs="Arial"/>
                <w:bCs/>
                <w:sz w:val="16"/>
                <w:szCs w:val="16"/>
                <w:lang w:val="es-ES" w:eastAsia="zh-CN"/>
              </w:rPr>
            </w:pPr>
            <w:r w:rsidRPr="00C451F5">
              <w:rPr>
                <w:rFonts w:ascii="Arial" w:eastAsia="SimSun" w:hAnsi="Arial" w:cs="Arial"/>
                <w:bCs/>
                <w:sz w:val="16"/>
                <w:szCs w:val="16"/>
                <w:lang w:val="es-ES" w:eastAsia="zh-CN"/>
              </w:rPr>
              <w:t>Vídeo participativo</w:t>
            </w:r>
          </w:p>
          <w:p w:rsidR="00E25123" w:rsidRPr="00C451F5" w:rsidRDefault="00E25123" w:rsidP="00E25123">
            <w:pPr>
              <w:tabs>
                <w:tab w:val="left" w:pos="567"/>
              </w:tabs>
              <w:snapToGrid w:val="0"/>
              <w:spacing w:before="120" w:after="120" w:line="240" w:lineRule="auto"/>
              <w:rPr>
                <w:rFonts w:ascii="Arial" w:eastAsia="SimSun" w:hAnsi="Arial" w:cs="Arial"/>
                <w:bCs/>
                <w:sz w:val="16"/>
                <w:szCs w:val="16"/>
                <w:lang w:val="es-ES" w:eastAsia="zh-CN"/>
              </w:rPr>
            </w:pPr>
          </w:p>
        </w:tc>
        <w:tc>
          <w:tcPr>
            <w:tcW w:w="5155"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r w:rsidRPr="00C451F5">
              <w:rPr>
                <w:rFonts w:ascii="Arial" w:eastAsia="SimSun" w:hAnsi="Arial" w:cs="Arial"/>
                <w:sz w:val="16"/>
                <w:szCs w:val="16"/>
                <w:lang w:val="es-ES" w:eastAsia="zh-CN"/>
              </w:rPr>
              <w:t>El vídeo participativo es un método de generación de información que integra a individuos y miembros de la comunidad en el proceso de creación de sus propios vídeos. Se considera que el vídeo participativo es un proceso de empoderamiento para los miembros de la comunidad</w:t>
            </w:r>
            <w:r>
              <w:rPr>
                <w:rFonts w:ascii="Arial" w:eastAsia="SimSun" w:hAnsi="Arial" w:cs="Arial"/>
                <w:sz w:val="16"/>
                <w:szCs w:val="16"/>
                <w:lang w:val="es-ES" w:eastAsia="zh-CN"/>
              </w:rPr>
              <w:t>,</w:t>
            </w:r>
            <w:r w:rsidRPr="00C451F5">
              <w:rPr>
                <w:rFonts w:ascii="Arial" w:eastAsia="SimSun" w:hAnsi="Arial" w:cs="Arial"/>
                <w:sz w:val="16"/>
                <w:szCs w:val="16"/>
                <w:lang w:val="es-ES" w:eastAsia="zh-CN"/>
              </w:rPr>
              <w:t xml:space="preserve"> ya que los reúne para manifestar sus preocupaciones y registrar sus conocimientos de manera colectiva.</w:t>
            </w:r>
          </w:p>
        </w:tc>
        <w:tc>
          <w:tcPr>
            <w:tcW w:w="1992" w:type="dxa"/>
          </w:tcPr>
          <w:p w:rsidR="00E25123" w:rsidRPr="00C451F5" w:rsidRDefault="00E25123" w:rsidP="00E25123">
            <w:pPr>
              <w:tabs>
                <w:tab w:val="left" w:pos="567"/>
              </w:tabs>
              <w:snapToGrid w:val="0"/>
              <w:spacing w:before="120" w:after="120" w:line="240" w:lineRule="auto"/>
              <w:jc w:val="both"/>
              <w:rPr>
                <w:rFonts w:ascii="Arial" w:eastAsia="SimSun" w:hAnsi="Arial" w:cs="Arial"/>
                <w:sz w:val="16"/>
                <w:szCs w:val="16"/>
                <w:lang w:val="es-ES" w:eastAsia="zh-CN"/>
              </w:rPr>
            </w:pPr>
            <w:r w:rsidRPr="00C451F5">
              <w:rPr>
                <w:rFonts w:ascii="Arial" w:hAnsi="Arial" w:cs="Arial"/>
                <w:sz w:val="16"/>
                <w:szCs w:val="16"/>
                <w:lang w:val="es-ES"/>
              </w:rPr>
              <w:t>Wikipedia (</w:t>
            </w:r>
            <w:hyperlink r:id="rId8" w:history="1">
              <w:r w:rsidRPr="00C451F5">
                <w:rPr>
                  <w:rStyle w:val="Hyperlink"/>
                  <w:rFonts w:ascii="Arial" w:hAnsi="Arial" w:cs="Arial"/>
                  <w:sz w:val="16"/>
                  <w:szCs w:val="16"/>
                  <w:lang w:val="es-ES"/>
                </w:rPr>
                <w:t>http://en.wikipedia.org/wiki/Participatory_video</w:t>
              </w:r>
            </w:hyperlink>
            <w:r w:rsidRPr="00C451F5">
              <w:rPr>
                <w:rFonts w:ascii="Arial" w:hAnsi="Arial" w:cs="Arial"/>
                <w:sz w:val="16"/>
                <w:szCs w:val="16"/>
                <w:lang w:val="es-ES"/>
              </w:rPr>
              <w:t>)</w:t>
            </w:r>
          </w:p>
        </w:tc>
      </w:tr>
    </w:tbl>
    <w:p w:rsidR="00824E75" w:rsidRDefault="00824E75" w:rsidP="00824E75">
      <w:pPr>
        <w:rPr>
          <w:sz w:val="16"/>
          <w:szCs w:val="16"/>
          <w:lang w:val="en-US"/>
        </w:rPr>
      </w:pPr>
    </w:p>
    <w:p w:rsidR="00824E75" w:rsidRPr="00824E75" w:rsidRDefault="00824E75" w:rsidP="00824E75">
      <w:pPr>
        <w:rPr>
          <w:sz w:val="16"/>
          <w:szCs w:val="16"/>
          <w:lang w:val="en-US"/>
        </w:rPr>
      </w:pPr>
      <w:r w:rsidRPr="00F31FEF">
        <w:rPr>
          <w:rFonts w:ascii="Arial" w:eastAsia="SimSun" w:hAnsi="Arial" w:cs="Arial"/>
          <w:bCs/>
          <w:sz w:val="16"/>
          <w:szCs w:val="16"/>
          <w:lang w:val="es-ES" w:eastAsia="zh-CN"/>
        </w:rPr>
        <w:t>Fuente:</w:t>
      </w:r>
      <w:r w:rsidRPr="008371D1">
        <w:rPr>
          <w:rFonts w:ascii="Arial" w:eastAsia="SimSun" w:hAnsi="Arial" w:cs="Arial"/>
          <w:bCs/>
          <w:sz w:val="16"/>
          <w:szCs w:val="16"/>
          <w:lang w:val="es-ES" w:eastAsia="zh-CN"/>
        </w:rPr>
        <w:t xml:space="preserve"> </w:t>
      </w:r>
      <w:r w:rsidRPr="00824E75">
        <w:rPr>
          <w:sz w:val="16"/>
          <w:szCs w:val="16"/>
          <w:lang w:val="en-US"/>
        </w:rPr>
        <w:t xml:space="preserve">CTA. 2010, </w:t>
      </w:r>
      <w:r w:rsidRPr="00824E75">
        <w:rPr>
          <w:i/>
          <w:sz w:val="16"/>
          <w:szCs w:val="16"/>
          <w:lang w:val="en-US"/>
        </w:rPr>
        <w:t>Training Kit on Participatory Spatial Information Management and Communication</w:t>
      </w:r>
      <w:r w:rsidRPr="00824E75">
        <w:rPr>
          <w:sz w:val="16"/>
          <w:szCs w:val="16"/>
          <w:lang w:val="en-US"/>
        </w:rPr>
        <w:t xml:space="preserve">. CTA, </w:t>
      </w:r>
      <w:proofErr w:type="gramStart"/>
      <w:r w:rsidRPr="00824E75">
        <w:rPr>
          <w:sz w:val="16"/>
          <w:szCs w:val="16"/>
          <w:lang w:val="en-US"/>
        </w:rPr>
        <w:t>The</w:t>
      </w:r>
      <w:proofErr w:type="gramEnd"/>
      <w:r w:rsidRPr="00824E75">
        <w:rPr>
          <w:sz w:val="16"/>
          <w:szCs w:val="16"/>
          <w:lang w:val="en-US"/>
        </w:rPr>
        <w:t xml:space="preserve"> Netherlands and IFAD, Italy (ISBN: 978-92-9081-446-7).</w:t>
      </w:r>
      <w:bookmarkStart w:id="0" w:name="_GoBack"/>
      <w:bookmarkEnd w:id="0"/>
    </w:p>
    <w:p w:rsidR="00660044" w:rsidRPr="00824E75" w:rsidRDefault="00660044">
      <w:pPr>
        <w:rPr>
          <w:lang w:val="en-US"/>
        </w:rPr>
      </w:pPr>
    </w:p>
    <w:sectPr w:rsidR="00660044" w:rsidRPr="00824E75" w:rsidSect="0003719B">
      <w:headerReference w:type="even" r:id="rId9"/>
      <w:footerReference w:type="even"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53F" w:rsidRDefault="006F553F" w:rsidP="0003719B">
      <w:pPr>
        <w:spacing w:after="0" w:line="240" w:lineRule="auto"/>
      </w:pPr>
      <w:r>
        <w:separator/>
      </w:r>
    </w:p>
  </w:endnote>
  <w:endnote w:type="continuationSeparator" w:id="0">
    <w:p w:rsidR="006F553F" w:rsidRDefault="006F553F" w:rsidP="0003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Gras">
    <w:altName w:val="Times New Roman"/>
    <w:panose1 w:val="00000000000000000000"/>
    <w:charset w:val="00"/>
    <w:family w:val="roman"/>
    <w:notTrueType/>
    <w:pitch w:val="default"/>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9B" w:rsidRPr="0003719B" w:rsidRDefault="00CE53BE" w:rsidP="009D1019">
    <w:pPr>
      <w:pStyle w:val="Footer"/>
      <w:ind w:right="360" w:firstLine="360"/>
      <w:rPr>
        <w:rFonts w:ascii="Arial" w:hAnsi="Arial" w:cs="Arial"/>
        <w:sz w:val="16"/>
        <w:szCs w:val="16"/>
        <w:lang w:val="es-ES"/>
      </w:rPr>
    </w:pPr>
    <w:r w:rsidRPr="00600F35">
      <w:rPr>
        <w:rFonts w:ascii="Arial" w:hAnsi="Arial" w:cs="Arial"/>
        <w:noProof/>
        <w:lang w:eastAsia="ja-JP"/>
      </w:rPr>
      <w:drawing>
        <wp:anchor distT="0" distB="0" distL="114300" distR="114300" simplePos="0" relativeHeight="251669504" behindDoc="0" locked="0" layoutInCell="1" allowOverlap="1" wp14:anchorId="6576FEF7" wp14:editId="2120454A">
          <wp:simplePos x="0" y="0"/>
          <wp:positionH relativeFrom="column">
            <wp:posOffset>2576830</wp:posOffset>
          </wp:positionH>
          <wp:positionV relativeFrom="paragraph">
            <wp:posOffset>0</wp:posOffset>
          </wp:positionV>
          <wp:extent cx="572135" cy="201295"/>
          <wp:effectExtent l="0" t="0" r="0" b="8255"/>
          <wp:wrapSquare wrapText="bothSides"/>
          <wp:docPr id="3" name="Image 3"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19B" w:rsidRPr="0003719B">
      <w:rPr>
        <w:rFonts w:ascii="Arial" w:hAnsi="Arial" w:cs="Arial"/>
        <w:noProof/>
        <w:sz w:val="16"/>
        <w:szCs w:val="16"/>
        <w:lang w:eastAsia="ja-JP"/>
      </w:rPr>
      <w:drawing>
        <wp:anchor distT="0" distB="0" distL="114300" distR="114300" simplePos="0" relativeHeight="251663360" behindDoc="0" locked="1" layoutInCell="1" allowOverlap="0" wp14:anchorId="3F90714C" wp14:editId="23574176">
          <wp:simplePos x="0" y="0"/>
          <wp:positionH relativeFrom="margin">
            <wp:posOffset>-28575</wp:posOffset>
          </wp:positionH>
          <wp:positionV relativeFrom="margin">
            <wp:posOffset>8986520</wp:posOffset>
          </wp:positionV>
          <wp:extent cx="741680" cy="538480"/>
          <wp:effectExtent l="0" t="0" r="127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14:sizeRelV relativeFrom="margin">
            <wp14:pctHeight>0</wp14:pctHeight>
          </wp14:sizeRelV>
        </wp:anchor>
      </w:drawing>
    </w:r>
    <w:r w:rsidR="0003719B" w:rsidRPr="0003719B">
      <w:rPr>
        <w:rFonts w:ascii="Arial" w:hAnsi="Arial" w:cs="Arial"/>
        <w:sz w:val="16"/>
        <w:szCs w:val="16"/>
        <w:lang w:val="es-ES"/>
      </w:rPr>
      <w:tab/>
    </w:r>
    <w:r w:rsidR="0003719B" w:rsidRPr="0003719B">
      <w:rPr>
        <w:rStyle w:val="PageNumber"/>
        <w:rFonts w:ascii="Arial" w:hAnsi="Arial" w:cs="Arial"/>
        <w:sz w:val="16"/>
        <w:szCs w:val="16"/>
        <w:lang w:val="es-ES"/>
      </w:rPr>
      <w:tab/>
    </w:r>
    <w:r w:rsidR="0003719B" w:rsidRPr="0003719B">
      <w:rPr>
        <w:rFonts w:ascii="Arial" w:hAnsi="Arial" w:cs="Arial"/>
        <w:sz w:val="16"/>
        <w:szCs w:val="16"/>
        <w:lang w:val="es-ES"/>
      </w:rPr>
      <w:t>U023-v1.0-HO2-ES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9B" w:rsidRPr="0003719B" w:rsidRDefault="00CE53BE" w:rsidP="009D1019">
    <w:pPr>
      <w:pStyle w:val="Footer"/>
      <w:tabs>
        <w:tab w:val="clear" w:pos="9072"/>
        <w:tab w:val="right" w:pos="8647"/>
      </w:tabs>
      <w:ind w:right="423"/>
      <w:rPr>
        <w:rFonts w:ascii="Arial" w:hAnsi="Arial" w:cs="Arial"/>
        <w:sz w:val="16"/>
        <w:szCs w:val="16"/>
        <w:lang w:val="es-ES"/>
      </w:rPr>
    </w:pPr>
    <w:r w:rsidRPr="00600F35">
      <w:rPr>
        <w:rFonts w:ascii="Arial" w:hAnsi="Arial" w:cs="Arial"/>
        <w:noProof/>
        <w:lang w:eastAsia="ja-JP"/>
      </w:rPr>
      <w:drawing>
        <wp:anchor distT="0" distB="0" distL="114300" distR="114300" simplePos="0" relativeHeight="251667456" behindDoc="0" locked="0" layoutInCell="1" allowOverlap="1" wp14:anchorId="5C844568" wp14:editId="5967935A">
          <wp:simplePos x="0" y="0"/>
          <wp:positionH relativeFrom="column">
            <wp:posOffset>2453005</wp:posOffset>
          </wp:positionH>
          <wp:positionV relativeFrom="paragraph">
            <wp:posOffset>-76200</wp:posOffset>
          </wp:positionV>
          <wp:extent cx="572135" cy="201295"/>
          <wp:effectExtent l="0" t="0" r="0" b="8255"/>
          <wp:wrapSquare wrapText="bothSides"/>
          <wp:docPr id="4" name="Image 4"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6536F8">
      <w:rPr>
        <w:rFonts w:asciiTheme="minorBidi" w:hAnsiTheme="minorBidi"/>
        <w:noProof/>
        <w:sz w:val="16"/>
        <w:szCs w:val="16"/>
        <w:lang w:eastAsia="ja-JP"/>
      </w:rPr>
      <w:drawing>
        <wp:anchor distT="0" distB="0" distL="114300" distR="114300" simplePos="0" relativeHeight="251665408" behindDoc="0" locked="0" layoutInCell="1" allowOverlap="1" wp14:anchorId="1A16D6E0" wp14:editId="793E0CF7">
          <wp:simplePos x="0" y="0"/>
          <wp:positionH relativeFrom="column">
            <wp:posOffset>5257800</wp:posOffset>
          </wp:positionH>
          <wp:positionV relativeFrom="paragraph">
            <wp:posOffset>-191770</wp:posOffset>
          </wp:positionV>
          <wp:extent cx="675005" cy="4895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5005" cy="489585"/>
                  </a:xfrm>
                  <a:prstGeom prst="rect">
                    <a:avLst/>
                  </a:prstGeom>
                </pic:spPr>
              </pic:pic>
            </a:graphicData>
          </a:graphic>
          <wp14:sizeRelH relativeFrom="page">
            <wp14:pctWidth>0</wp14:pctWidth>
          </wp14:sizeRelH>
          <wp14:sizeRelV relativeFrom="page">
            <wp14:pctHeight>0</wp14:pctHeight>
          </wp14:sizeRelV>
        </wp:anchor>
      </w:drawing>
    </w:r>
    <w:r w:rsidR="0003719B" w:rsidRPr="0003719B">
      <w:rPr>
        <w:rFonts w:ascii="Arial" w:hAnsi="Arial" w:cs="Arial"/>
        <w:sz w:val="16"/>
        <w:szCs w:val="16"/>
        <w:lang w:val="es-ES"/>
      </w:rPr>
      <w:t>U023-v1.0-HO2-ES</w:t>
    </w:r>
    <w:r w:rsidR="0003719B" w:rsidRPr="0003719B">
      <w:rPr>
        <w:rFonts w:ascii="Arial" w:hAnsi="Arial" w:cs="Arial"/>
        <w:sz w:val="16"/>
        <w:szCs w:val="16"/>
        <w:lang w:val="es-ES"/>
      </w:rPr>
      <w:tab/>
    </w:r>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53F" w:rsidRDefault="006F553F" w:rsidP="0003719B">
      <w:pPr>
        <w:spacing w:after="0" w:line="240" w:lineRule="auto"/>
      </w:pPr>
      <w:r>
        <w:separator/>
      </w:r>
    </w:p>
  </w:footnote>
  <w:footnote w:type="continuationSeparator" w:id="0">
    <w:p w:rsidR="006F553F" w:rsidRDefault="006F553F" w:rsidP="00037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48F" w:rsidRPr="0028048F" w:rsidRDefault="0028048F" w:rsidP="0028048F">
    <w:pPr>
      <w:pStyle w:val="Header"/>
      <w:tabs>
        <w:tab w:val="clear" w:pos="9072"/>
        <w:tab w:val="right" w:pos="8647"/>
      </w:tabs>
      <w:ind w:right="423"/>
      <w:rPr>
        <w:rFonts w:ascii="Arial" w:hAnsi="Arial" w:cs="Arial"/>
        <w:sz w:val="16"/>
        <w:szCs w:val="16"/>
        <w:lang w:val="es-ES"/>
      </w:rPr>
    </w:pPr>
    <w:r w:rsidRPr="0028048F">
      <w:rPr>
        <w:rFonts w:ascii="Arial" w:hAnsi="Arial" w:cs="Arial"/>
        <w:sz w:val="16"/>
        <w:szCs w:val="16"/>
        <w:lang w:val="es-ES"/>
      </w:rPr>
      <w:t>2</w:t>
    </w:r>
    <w:r w:rsidRPr="0028048F">
      <w:rPr>
        <w:rFonts w:ascii="Arial" w:hAnsi="Arial" w:cs="Arial"/>
        <w:sz w:val="16"/>
        <w:szCs w:val="16"/>
        <w:lang w:val="es-ES"/>
      </w:rPr>
      <w:tab/>
      <w:t>Unidad 23: Métodos y t</w:t>
    </w:r>
    <w:r>
      <w:rPr>
        <w:rFonts w:ascii="Arial" w:hAnsi="Arial" w:cs="Arial"/>
        <w:sz w:val="16"/>
        <w:szCs w:val="16"/>
        <w:lang w:val="es-ES"/>
      </w:rPr>
      <w:t>écnicas para la confección de inventarios</w:t>
    </w:r>
    <w:r w:rsidRPr="0028048F">
      <w:rPr>
        <w:rFonts w:ascii="Arial" w:hAnsi="Arial" w:cs="Arial"/>
        <w:sz w:val="16"/>
        <w:szCs w:val="16"/>
        <w:lang w:val="es-ES"/>
      </w:rPr>
      <w:tab/>
      <w:t>Folleto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9B" w:rsidRPr="00C451F5" w:rsidRDefault="0003719B" w:rsidP="0003719B">
    <w:pPr>
      <w:pStyle w:val="Header"/>
      <w:tabs>
        <w:tab w:val="clear" w:pos="4536"/>
        <w:tab w:val="clear" w:pos="9072"/>
        <w:tab w:val="left" w:pos="1275"/>
      </w:tabs>
      <w:jc w:val="center"/>
      <w:rPr>
        <w:rFonts w:ascii="Arial" w:hAnsi="Arial" w:cs="Arial"/>
        <w:sz w:val="16"/>
        <w:szCs w:val="16"/>
        <w:lang w:val="es-ES"/>
      </w:rPr>
    </w:pPr>
    <w:r w:rsidRPr="00C451F5">
      <w:rPr>
        <w:rFonts w:ascii="Arial" w:hAnsi="Arial" w:cs="Arial"/>
        <w:sz w:val="16"/>
        <w:szCs w:val="16"/>
        <w:lang w:val="es-ES"/>
      </w:rPr>
      <w:t>Folleto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51"/>
    <w:rsid w:val="00023D79"/>
    <w:rsid w:val="0003719B"/>
    <w:rsid w:val="000B38DB"/>
    <w:rsid w:val="001043DE"/>
    <w:rsid w:val="0013568F"/>
    <w:rsid w:val="001A2834"/>
    <w:rsid w:val="001F0492"/>
    <w:rsid w:val="00256551"/>
    <w:rsid w:val="0028048F"/>
    <w:rsid w:val="003E655A"/>
    <w:rsid w:val="004F1347"/>
    <w:rsid w:val="005F6F29"/>
    <w:rsid w:val="006536F8"/>
    <w:rsid w:val="00660044"/>
    <w:rsid w:val="006773E3"/>
    <w:rsid w:val="006B250B"/>
    <w:rsid w:val="006F553F"/>
    <w:rsid w:val="00706D4F"/>
    <w:rsid w:val="007B2C01"/>
    <w:rsid w:val="007C7742"/>
    <w:rsid w:val="00824E75"/>
    <w:rsid w:val="00990DBF"/>
    <w:rsid w:val="009C06AE"/>
    <w:rsid w:val="009D1019"/>
    <w:rsid w:val="009E2A8B"/>
    <w:rsid w:val="00AF2C7D"/>
    <w:rsid w:val="00C451F5"/>
    <w:rsid w:val="00CB5AB7"/>
    <w:rsid w:val="00CC4802"/>
    <w:rsid w:val="00CE53BE"/>
    <w:rsid w:val="00E25123"/>
    <w:rsid w:val="00E93984"/>
    <w:rsid w:val="00E97AA8"/>
    <w:rsid w:val="00EA6C6F"/>
    <w:rsid w:val="00ED782C"/>
    <w:rsid w:val="00EE0C80"/>
    <w:rsid w:val="00FB437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6C5E38"/>
  <w15:docId w15:val="{31435802-F0D6-4FB6-87B2-CCED42B0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39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50B"/>
    <w:rPr>
      <w:rFonts w:ascii="Segoe UI" w:hAnsi="Segoe UI" w:cs="Segoe UI"/>
      <w:sz w:val="18"/>
      <w:szCs w:val="18"/>
    </w:rPr>
  </w:style>
  <w:style w:type="paragraph" w:customStyle="1" w:styleId="Chapitre">
    <w:name w:val="Chapitre"/>
    <w:basedOn w:val="Heading1"/>
    <w:link w:val="ChapitreCar"/>
    <w:rsid w:val="00E93984"/>
    <w:pPr>
      <w:pBdr>
        <w:bottom w:val="single" w:sz="4" w:space="1" w:color="auto"/>
      </w:pBdr>
      <w:tabs>
        <w:tab w:val="left" w:pos="567"/>
      </w:tabs>
      <w:snapToGrid w:val="0"/>
      <w:spacing w:after="480" w:line="840" w:lineRule="exact"/>
    </w:pPr>
    <w:rPr>
      <w:rFonts w:ascii="Arial Gras" w:eastAsia="Times New Roman" w:hAnsi="Arial Gras" w:cs="Arial"/>
      <w:b/>
      <w:bCs/>
      <w:caps/>
      <w:noProof/>
      <w:snapToGrid w:val="0"/>
      <w:color w:val="3366FF"/>
      <w:kern w:val="28"/>
      <w:sz w:val="70"/>
      <w:szCs w:val="70"/>
      <w:lang w:val="en-GB" w:eastAsia="zh-CN"/>
    </w:rPr>
  </w:style>
  <w:style w:type="character" w:customStyle="1" w:styleId="ChapitreCar">
    <w:name w:val="Chapitre Car"/>
    <w:link w:val="Chapitre"/>
    <w:rsid w:val="00E93984"/>
    <w:rPr>
      <w:rFonts w:ascii="Arial Gras" w:eastAsia="Times New Roman" w:hAnsi="Arial Gras" w:cs="Arial"/>
      <w:b/>
      <w:bCs/>
      <w:caps/>
      <w:noProof/>
      <w:snapToGrid w:val="0"/>
      <w:color w:val="3366FF"/>
      <w:kern w:val="28"/>
      <w:sz w:val="70"/>
      <w:szCs w:val="70"/>
      <w:lang w:val="en-GB" w:eastAsia="zh-CN"/>
    </w:rPr>
  </w:style>
  <w:style w:type="paragraph" w:customStyle="1" w:styleId="Titcoul">
    <w:name w:val="Titcoul"/>
    <w:basedOn w:val="Heading1"/>
    <w:link w:val="TitcoulCar"/>
    <w:rsid w:val="00E93984"/>
    <w:pPr>
      <w:tabs>
        <w:tab w:val="left" w:pos="567"/>
      </w:tabs>
      <w:snapToGrid w:val="0"/>
      <w:spacing w:before="480" w:after="480" w:line="480" w:lineRule="exact"/>
    </w:pPr>
    <w:rPr>
      <w:rFonts w:ascii="Arial Gras" w:eastAsia="Times New Roman" w:hAnsi="Arial Gras" w:cs="Arial"/>
      <w:b/>
      <w:bCs/>
      <w:caps/>
      <w:noProof/>
      <w:snapToGrid w:val="0"/>
      <w:color w:val="3366FF"/>
      <w:kern w:val="28"/>
      <w:lang w:val="en-GB" w:eastAsia="zh-CN"/>
    </w:rPr>
  </w:style>
  <w:style w:type="character" w:customStyle="1" w:styleId="TitcoulCar">
    <w:name w:val="Titcoul Car"/>
    <w:link w:val="Titcoul"/>
    <w:rsid w:val="00E93984"/>
    <w:rPr>
      <w:rFonts w:ascii="Arial Gras" w:eastAsia="Times New Roman" w:hAnsi="Arial Gras" w:cs="Arial"/>
      <w:b/>
      <w:bCs/>
      <w:caps/>
      <w:noProof/>
      <w:snapToGrid w:val="0"/>
      <w:color w:val="3366FF"/>
      <w:kern w:val="28"/>
      <w:sz w:val="32"/>
      <w:szCs w:val="32"/>
      <w:lang w:val="en-GB" w:eastAsia="zh-CN"/>
    </w:rPr>
  </w:style>
  <w:style w:type="character" w:customStyle="1" w:styleId="Heading1Char">
    <w:name w:val="Heading 1 Char"/>
    <w:basedOn w:val="DefaultParagraphFont"/>
    <w:link w:val="Heading1"/>
    <w:uiPriority w:val="9"/>
    <w:rsid w:val="00E93984"/>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0371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719B"/>
  </w:style>
  <w:style w:type="paragraph" w:styleId="Footer">
    <w:name w:val="footer"/>
    <w:basedOn w:val="Normal"/>
    <w:link w:val="FooterChar"/>
    <w:unhideWhenUsed/>
    <w:rsid w:val="0003719B"/>
    <w:pPr>
      <w:tabs>
        <w:tab w:val="center" w:pos="4536"/>
        <w:tab w:val="right" w:pos="9072"/>
      </w:tabs>
      <w:spacing w:after="0" w:line="240" w:lineRule="auto"/>
    </w:pPr>
  </w:style>
  <w:style w:type="character" w:customStyle="1" w:styleId="FooterChar">
    <w:name w:val="Footer Char"/>
    <w:basedOn w:val="DefaultParagraphFont"/>
    <w:link w:val="Footer"/>
    <w:rsid w:val="0003719B"/>
  </w:style>
  <w:style w:type="character" w:styleId="PageNumber">
    <w:name w:val="page number"/>
    <w:basedOn w:val="DefaultParagraphFont"/>
    <w:unhideWhenUsed/>
    <w:rsid w:val="0003719B"/>
  </w:style>
  <w:style w:type="character" w:styleId="Hyperlink">
    <w:name w:val="Hyperlink"/>
    <w:uiPriority w:val="99"/>
    <w:rsid w:val="00EA6C6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rticipatory_vide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Archiv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3.0/igo/" TargetMode="External"/><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E9E66-4ECF-498F-BC33-64526BE9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Pages>
  <Words>825</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Kim, Dain</cp:lastModifiedBy>
  <cp:revision>29</cp:revision>
  <dcterms:created xsi:type="dcterms:W3CDTF">2015-08-07T08:21:00Z</dcterms:created>
  <dcterms:modified xsi:type="dcterms:W3CDTF">2018-03-26T12:32:00Z</dcterms:modified>
</cp:coreProperties>
</file>