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69" w:rsidRPr="006867EB" w:rsidRDefault="00110FBE" w:rsidP="006867EB">
      <w:pPr>
        <w:pStyle w:val="Chapitre"/>
        <w:keepLines w:val="0"/>
        <w:widowControl w:val="0"/>
        <w:pBdr>
          <w:bottom w:val="single" w:sz="4" w:space="14" w:color="3366FF"/>
        </w:pBdr>
        <w:tabs>
          <w:tab w:val="clear" w:pos="567"/>
        </w:tabs>
        <w:contextualSpacing/>
        <w:outlineLvl w:val="1"/>
        <w:rPr>
          <w:rFonts w:eastAsia="Calibri"/>
          <w:lang w:val="fr-FR"/>
        </w:rPr>
      </w:pPr>
      <w:bookmarkStart w:id="0" w:name="_GoBack"/>
      <w:bookmarkEnd w:id="0"/>
      <w:r w:rsidRPr="006867EB">
        <w:rPr>
          <w:rFonts w:eastAsia="Calibri"/>
          <w:lang w:val="fr-FR"/>
        </w:rPr>
        <w:t xml:space="preserve">Unité </w:t>
      </w:r>
      <w:r w:rsidR="00E038CA" w:rsidRPr="006867EB">
        <w:rPr>
          <w:rFonts w:eastAsia="Calibri"/>
          <w:lang w:val="fr-FR"/>
        </w:rPr>
        <w:t>23</w:t>
      </w:r>
    </w:p>
    <w:p w:rsidR="00152669" w:rsidRDefault="00152669" w:rsidP="006867EB">
      <w:pPr>
        <w:rPr>
          <w:rFonts w:ascii="Arial Bold" w:hAnsi="Arial Bold"/>
          <w:b/>
          <w:color w:val="0066FF"/>
          <w:sz w:val="32"/>
          <w:lang w:val="fr-FR"/>
        </w:rPr>
      </w:pPr>
      <w:r>
        <w:rPr>
          <w:rFonts w:ascii="Arial Bold" w:hAnsi="Arial Bold"/>
          <w:b/>
          <w:color w:val="0066FF"/>
          <w:sz w:val="32"/>
          <w:lang w:val="fr-FR"/>
        </w:rPr>
        <w:t>Imprimé 2 :</w:t>
      </w:r>
    </w:p>
    <w:p w:rsidR="00152669" w:rsidRPr="006867EB" w:rsidRDefault="00152669" w:rsidP="006867EB">
      <w:pPr>
        <w:rPr>
          <w:rFonts w:ascii="Arial Bold" w:hAnsi="Arial Bold"/>
          <w:caps/>
          <w:lang w:val="fr-FR"/>
        </w:rPr>
      </w:pPr>
      <w:r w:rsidRPr="006867EB">
        <w:rPr>
          <w:rFonts w:ascii="Arial Bold" w:hAnsi="Arial Bold"/>
          <w:b/>
          <w:caps/>
          <w:color w:val="0066FF"/>
          <w:sz w:val="32"/>
          <w:lang w:val="fr-FR"/>
        </w:rPr>
        <w:t>Glossaire de l’Unité 23</w:t>
      </w: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5816"/>
        <w:gridCol w:w="1559"/>
      </w:tblGrid>
      <w:tr w:rsidR="00812E25" w:rsidRPr="00C97553" w:rsidTr="0055255B">
        <w:trPr>
          <w:trHeight w:val="20"/>
          <w:tblHeader/>
        </w:trPr>
        <w:tc>
          <w:tcPr>
            <w:tcW w:w="1702" w:type="dxa"/>
            <w:shd w:val="clear" w:color="auto" w:fill="BAD0EE"/>
          </w:tcPr>
          <w:p w:rsidR="0055255B" w:rsidRPr="00354C74" w:rsidRDefault="0055255B" w:rsidP="003E2945">
            <w:pPr>
              <w:pStyle w:val="Tabltetiere"/>
              <w:spacing w:before="240"/>
              <w:rPr>
                <w:bCs/>
                <w:i/>
                <w:iCs/>
                <w:caps/>
                <w:color w:val="404040" w:themeColor="text1" w:themeTint="BF"/>
                <w:szCs w:val="22"/>
                <w:lang w:eastAsia="en-US"/>
              </w:rPr>
            </w:pPr>
            <w:r w:rsidRPr="00354C74">
              <w:t>Term</w:t>
            </w:r>
            <w:r w:rsidR="00812E25">
              <w:t>e</w:t>
            </w:r>
          </w:p>
        </w:tc>
        <w:tc>
          <w:tcPr>
            <w:tcW w:w="5816" w:type="dxa"/>
            <w:shd w:val="clear" w:color="auto" w:fill="BAD0EE"/>
          </w:tcPr>
          <w:p w:rsidR="0055255B" w:rsidRPr="00354C74" w:rsidRDefault="0055255B" w:rsidP="003E2945">
            <w:pPr>
              <w:pStyle w:val="Tabltetiere"/>
              <w:spacing w:before="240"/>
              <w:rPr>
                <w:bCs/>
                <w:i/>
                <w:iCs/>
                <w:caps/>
                <w:color w:val="404040" w:themeColor="text1" w:themeTint="BF"/>
                <w:szCs w:val="22"/>
                <w:lang w:eastAsia="en-US"/>
              </w:rPr>
            </w:pPr>
            <w:r w:rsidRPr="00354C74">
              <w:t>D</w:t>
            </w:r>
            <w:r w:rsidR="00812E25">
              <w:t>é</w:t>
            </w:r>
            <w:r w:rsidRPr="00354C74">
              <w:t>finition</w:t>
            </w:r>
          </w:p>
        </w:tc>
        <w:tc>
          <w:tcPr>
            <w:tcW w:w="1559" w:type="dxa"/>
            <w:shd w:val="clear" w:color="auto" w:fill="BAD0EE"/>
          </w:tcPr>
          <w:p w:rsidR="0055255B" w:rsidRPr="006867EB" w:rsidRDefault="00812E25" w:rsidP="003E2945">
            <w:pPr>
              <w:pStyle w:val="Tabltetiere"/>
              <w:spacing w:before="80"/>
              <w:rPr>
                <w:bCs/>
                <w:i/>
                <w:iCs/>
                <w:caps/>
                <w:color w:val="404040" w:themeColor="text1" w:themeTint="BF"/>
                <w:szCs w:val="22"/>
                <w:lang w:eastAsia="en-US"/>
              </w:rPr>
            </w:pPr>
            <w:r w:rsidRPr="006867EB">
              <w:t>Source (autre que le CTA/IFAD)</w:t>
            </w:r>
          </w:p>
        </w:tc>
      </w:tr>
      <w:tr w:rsidR="0055255B" w:rsidRPr="00C97553" w:rsidTr="006867EB">
        <w:trPr>
          <w:trHeight w:val="20"/>
        </w:trPr>
        <w:tc>
          <w:tcPr>
            <w:tcW w:w="1702" w:type="dxa"/>
          </w:tcPr>
          <w:p w:rsidR="0055255B" w:rsidRPr="00C40409" w:rsidRDefault="0055255B" w:rsidP="003E2945">
            <w:pPr>
              <w:pStyle w:val="Tabtxt"/>
              <w:ind w:left="113" w:right="113"/>
              <w:jc w:val="left"/>
              <w:rPr>
                <w:sz w:val="16"/>
                <w:szCs w:val="16"/>
              </w:rPr>
            </w:pPr>
            <w:r w:rsidRPr="00C40409">
              <w:rPr>
                <w:sz w:val="16"/>
                <w:szCs w:val="16"/>
              </w:rPr>
              <w:t>Archives</w:t>
            </w:r>
          </w:p>
        </w:tc>
        <w:tc>
          <w:tcPr>
            <w:tcW w:w="5816" w:type="dxa"/>
          </w:tcPr>
          <w:p w:rsidR="0055255B" w:rsidRPr="006867EB" w:rsidRDefault="00812E25" w:rsidP="003E2945">
            <w:pPr>
              <w:pStyle w:val="Tabtxt"/>
              <w:ind w:left="113" w:right="113"/>
              <w:jc w:val="both"/>
              <w:rPr>
                <w:sz w:val="16"/>
                <w:szCs w:val="16"/>
              </w:rPr>
            </w:pPr>
            <w:r w:rsidRPr="006867EB">
              <w:rPr>
                <w:sz w:val="16"/>
                <w:szCs w:val="16"/>
              </w:rPr>
              <w:t>Les archives sont des collections de documents historiques afférents à des personnes physiques ou morales. Les données qu’elles contiennent représentent des documents essentiels, tels que des lettres, des actes de naissance ou de décès, des enregistrements de mariage, des journaux ou des registres financiers.</w:t>
            </w:r>
          </w:p>
        </w:tc>
        <w:tc>
          <w:tcPr>
            <w:tcW w:w="1559" w:type="dxa"/>
          </w:tcPr>
          <w:p w:rsidR="0055255B" w:rsidRPr="006867EB" w:rsidRDefault="00113B56" w:rsidP="003E2945">
            <w:pPr>
              <w:pStyle w:val="Tabtxt"/>
              <w:ind w:left="113" w:right="113"/>
              <w:jc w:val="left"/>
              <w:rPr>
                <w:sz w:val="16"/>
                <w:szCs w:val="16"/>
              </w:rPr>
            </w:pPr>
            <w:r w:rsidRPr="006867EB">
              <w:rPr>
                <w:sz w:val="16"/>
                <w:szCs w:val="16"/>
              </w:rPr>
              <w:t>Wikipé</w:t>
            </w:r>
            <w:r w:rsidR="0055255B" w:rsidRPr="006867EB">
              <w:rPr>
                <w:sz w:val="16"/>
                <w:szCs w:val="16"/>
              </w:rPr>
              <w:t>dia (</w:t>
            </w:r>
            <w:hyperlink r:id="rId7" w:history="1">
              <w:r>
                <w:rPr>
                  <w:rStyle w:val="Hyperlink"/>
                </w:rPr>
                <w:t>https://fr.wikipedia.org/wiki/Archives</w:t>
              </w:r>
            </w:hyperlink>
            <w:r w:rsidR="0055255B" w:rsidRPr="006867EB">
              <w:rPr>
                <w:sz w:val="16"/>
                <w:szCs w:val="16"/>
              </w:rPr>
              <w:t>)</w:t>
            </w:r>
          </w:p>
        </w:tc>
      </w:tr>
      <w:tr w:rsidR="0055255B" w:rsidRPr="00C97553" w:rsidTr="006867EB">
        <w:trPr>
          <w:trHeight w:val="20"/>
        </w:trPr>
        <w:tc>
          <w:tcPr>
            <w:tcW w:w="1702" w:type="dxa"/>
          </w:tcPr>
          <w:p w:rsidR="0055255B" w:rsidRPr="00C40409" w:rsidRDefault="00812E25" w:rsidP="003E2945">
            <w:pPr>
              <w:pStyle w:val="Tabtxt"/>
              <w:ind w:left="113" w:right="113"/>
              <w:jc w:val="left"/>
              <w:rPr>
                <w:sz w:val="16"/>
                <w:szCs w:val="16"/>
              </w:rPr>
            </w:pPr>
            <w:proofErr w:type="spellStart"/>
            <w:r>
              <w:rPr>
                <w:sz w:val="16"/>
                <w:szCs w:val="16"/>
                <w:lang w:val="en-GB"/>
              </w:rPr>
              <w:t>Enregistrement</w:t>
            </w:r>
            <w:proofErr w:type="spellEnd"/>
            <w:r>
              <w:rPr>
                <w:sz w:val="16"/>
                <w:szCs w:val="16"/>
                <w:lang w:val="en-GB"/>
              </w:rPr>
              <w:t xml:space="preserve"> </w:t>
            </w:r>
            <w:proofErr w:type="spellStart"/>
            <w:r>
              <w:rPr>
                <w:sz w:val="16"/>
                <w:szCs w:val="16"/>
                <w:lang w:val="en-GB"/>
              </w:rPr>
              <w:t>sonore</w:t>
            </w:r>
            <w:proofErr w:type="spellEnd"/>
          </w:p>
        </w:tc>
        <w:tc>
          <w:tcPr>
            <w:tcW w:w="5816" w:type="dxa"/>
          </w:tcPr>
          <w:p w:rsidR="0055255B" w:rsidRPr="006867EB" w:rsidRDefault="00812E25" w:rsidP="003E2945">
            <w:pPr>
              <w:pStyle w:val="Tabtxt"/>
              <w:ind w:left="113" w:right="113"/>
              <w:jc w:val="both"/>
              <w:rPr>
                <w:bCs/>
                <w:sz w:val="16"/>
                <w:szCs w:val="16"/>
              </w:rPr>
            </w:pPr>
            <w:r w:rsidRPr="006867EB">
              <w:rPr>
                <w:bCs/>
                <w:sz w:val="16"/>
                <w:szCs w:val="16"/>
              </w:rPr>
              <w:t>L’enregistrement sonore est une technique applicable à diverses méthodes de production de l’information, qu’on utilise pour recueillir des éléments du PCI où le son est un aspect déterminant (entretien, musique, danse, chant, etc.).</w:t>
            </w:r>
          </w:p>
        </w:tc>
        <w:tc>
          <w:tcPr>
            <w:tcW w:w="1559" w:type="dxa"/>
          </w:tcPr>
          <w:p w:rsidR="0055255B" w:rsidRPr="006867EB" w:rsidRDefault="0055255B" w:rsidP="003E2945">
            <w:pPr>
              <w:pStyle w:val="Tabtxt"/>
              <w:ind w:left="113" w:right="113"/>
              <w:jc w:val="left"/>
              <w:rPr>
                <w:sz w:val="16"/>
                <w:szCs w:val="16"/>
              </w:rPr>
            </w:pPr>
          </w:p>
        </w:tc>
      </w:tr>
      <w:tr w:rsidR="0055255B" w:rsidRPr="00C97553" w:rsidTr="006867EB">
        <w:trPr>
          <w:trHeight w:val="20"/>
        </w:trPr>
        <w:tc>
          <w:tcPr>
            <w:tcW w:w="1702" w:type="dxa"/>
          </w:tcPr>
          <w:p w:rsidR="0055255B" w:rsidRPr="00C40409" w:rsidRDefault="00812E25" w:rsidP="003E2945">
            <w:pPr>
              <w:pStyle w:val="Tabtxt"/>
              <w:ind w:left="113" w:right="113"/>
              <w:jc w:val="left"/>
              <w:rPr>
                <w:sz w:val="16"/>
                <w:szCs w:val="16"/>
              </w:rPr>
            </w:pPr>
            <w:proofErr w:type="spellStart"/>
            <w:r>
              <w:rPr>
                <w:sz w:val="16"/>
                <w:szCs w:val="16"/>
                <w:lang w:val="en-GB"/>
              </w:rPr>
              <w:t>Groupe</w:t>
            </w:r>
            <w:proofErr w:type="spellEnd"/>
            <w:r>
              <w:rPr>
                <w:sz w:val="16"/>
                <w:szCs w:val="16"/>
                <w:lang w:val="en-GB"/>
              </w:rPr>
              <w:t xml:space="preserve"> </w:t>
            </w:r>
            <w:proofErr w:type="spellStart"/>
            <w:r>
              <w:rPr>
                <w:sz w:val="16"/>
                <w:szCs w:val="16"/>
                <w:lang w:val="en-GB"/>
              </w:rPr>
              <w:t>cible</w:t>
            </w:r>
            <w:proofErr w:type="spellEnd"/>
          </w:p>
        </w:tc>
        <w:tc>
          <w:tcPr>
            <w:tcW w:w="5816" w:type="dxa"/>
          </w:tcPr>
          <w:p w:rsidR="0055255B" w:rsidRPr="006867EB" w:rsidRDefault="00812E25" w:rsidP="003E2945">
            <w:pPr>
              <w:pStyle w:val="Tabtxt"/>
              <w:ind w:left="113" w:right="113"/>
              <w:jc w:val="both"/>
              <w:rPr>
                <w:sz w:val="16"/>
                <w:szCs w:val="16"/>
              </w:rPr>
            </w:pPr>
            <w:r w:rsidRPr="006867EB">
              <w:rPr>
                <w:sz w:val="16"/>
                <w:szCs w:val="16"/>
              </w:rPr>
              <w:t>La technique du « groupe cible » correspond à un entretien mené avec un petit groupe de personnes sur un thème précis. Il peut nécessiter la présence d’un modérateur et aura plus ou moins le même style qu’une séance de réflexion. Cette technique comporte en général l’utilisation de questions ouvertes et/ou de vastes thèmes de discussion.</w:t>
            </w:r>
          </w:p>
        </w:tc>
        <w:tc>
          <w:tcPr>
            <w:tcW w:w="1559" w:type="dxa"/>
          </w:tcPr>
          <w:p w:rsidR="0055255B" w:rsidRPr="006867EB" w:rsidRDefault="0055255B" w:rsidP="003E2945">
            <w:pPr>
              <w:pStyle w:val="Tabtxt"/>
              <w:ind w:left="113" w:right="113"/>
              <w:jc w:val="left"/>
              <w:rPr>
                <w:sz w:val="16"/>
                <w:szCs w:val="16"/>
              </w:rPr>
            </w:pPr>
          </w:p>
        </w:tc>
      </w:tr>
      <w:tr w:rsidR="0055255B" w:rsidRPr="00C97553" w:rsidTr="006867EB">
        <w:trPr>
          <w:trHeight w:val="20"/>
        </w:trPr>
        <w:tc>
          <w:tcPr>
            <w:tcW w:w="1702" w:type="dxa"/>
          </w:tcPr>
          <w:p w:rsidR="0055255B" w:rsidRPr="006867EB" w:rsidRDefault="00812E25" w:rsidP="003E2945">
            <w:pPr>
              <w:pStyle w:val="Tabtxt"/>
              <w:ind w:left="113" w:right="113"/>
              <w:jc w:val="left"/>
              <w:rPr>
                <w:sz w:val="16"/>
                <w:szCs w:val="16"/>
              </w:rPr>
            </w:pPr>
            <w:r w:rsidRPr="006867EB">
              <w:rPr>
                <w:sz w:val="16"/>
                <w:szCs w:val="16"/>
              </w:rPr>
              <w:t>CLPE (consentement libre, préalable et éclairé)</w:t>
            </w:r>
          </w:p>
        </w:tc>
        <w:tc>
          <w:tcPr>
            <w:tcW w:w="5816" w:type="dxa"/>
          </w:tcPr>
          <w:p w:rsidR="00812E25" w:rsidRPr="00812E25" w:rsidRDefault="00812E25" w:rsidP="00812E25">
            <w:pPr>
              <w:pStyle w:val="Tabtxt"/>
              <w:ind w:left="113" w:right="113"/>
              <w:jc w:val="both"/>
              <w:rPr>
                <w:sz w:val="16"/>
                <w:szCs w:val="16"/>
              </w:rPr>
            </w:pPr>
            <w:r w:rsidRPr="00812E25">
              <w:rPr>
                <w:sz w:val="16"/>
                <w:szCs w:val="16"/>
              </w:rPr>
              <w:t>Lorsque des communautés, groupes ou individus participent à l’élaboration d’un dossier de candidature pour l’inscription d’un élément de leur PCI sur l’une des Listes de la Convention, leur consentement libre, préalable et éclairé est requis pour la préparation et la soumission du dossier (DO 1, U.4 et DO 2, R.4). Sans preuve du consentement de la communauté (qui peut revêtir différentes formes, selon les cas), le Comité n’a pas le droit d’inscrire un élément sur une Liste de la Convention.</w:t>
            </w:r>
          </w:p>
          <w:p w:rsidR="00812E25" w:rsidRPr="00812E25" w:rsidRDefault="00812E25" w:rsidP="00812E25">
            <w:pPr>
              <w:pStyle w:val="Tabtxt"/>
              <w:ind w:left="113" w:right="113"/>
              <w:jc w:val="both"/>
              <w:rPr>
                <w:sz w:val="16"/>
                <w:szCs w:val="16"/>
              </w:rPr>
            </w:pPr>
            <w:r w:rsidRPr="00812E25">
              <w:rPr>
                <w:sz w:val="16"/>
                <w:szCs w:val="16"/>
              </w:rPr>
              <w:t>Le consentement de la communauté est également exigé dès lors qu’un État partie propose de sélectionner une pratique de sauvegarde comme meilleure pratique (DO 7, P.5) ou prépare une action de sensibilisation qui concerne le PCI d’un ou de plusieurs groupes spécifiques (DO 101 [b]).</w:t>
            </w:r>
          </w:p>
          <w:p w:rsidR="0055255B" w:rsidRPr="009E08DA" w:rsidRDefault="00812E25" w:rsidP="00812E25">
            <w:pPr>
              <w:pStyle w:val="Tabtxt"/>
              <w:ind w:left="113" w:right="113"/>
              <w:jc w:val="both"/>
              <w:rPr>
                <w:sz w:val="16"/>
                <w:szCs w:val="16"/>
                <w:lang w:val="en-US"/>
              </w:rPr>
            </w:pPr>
            <w:r w:rsidRPr="006867EB">
              <w:rPr>
                <w:sz w:val="16"/>
                <w:szCs w:val="16"/>
              </w:rPr>
              <w:t xml:space="preserve">La notion de consentement libre, préalable et éclairé devait initialement s’appliquer aux individus, mais elle s’étend désormais à des groupes de personnes dans des instruments tels que la Déclaration sur les droits des peuples autochtones, la Convention sur la diversité biologique (CDB), dans les DO de la Convention du patrimoine immatériel et dans plusieurs textes et recommandations de l’Organisation mondiale de la propriété intellectuelle (OMPI). </w:t>
            </w:r>
            <w:proofErr w:type="spellStart"/>
            <w:r w:rsidRPr="00812E25">
              <w:rPr>
                <w:sz w:val="16"/>
                <w:szCs w:val="16"/>
                <w:lang w:val="en-US"/>
              </w:rPr>
              <w:t>Voir</w:t>
            </w:r>
            <w:proofErr w:type="spellEnd"/>
            <w:r w:rsidRPr="00812E25">
              <w:rPr>
                <w:sz w:val="16"/>
                <w:szCs w:val="16"/>
                <w:lang w:val="en-US"/>
              </w:rPr>
              <w:t xml:space="preserve"> DO 1, 2, 7 et 101 (b).</w:t>
            </w:r>
          </w:p>
        </w:tc>
        <w:tc>
          <w:tcPr>
            <w:tcW w:w="1559" w:type="dxa"/>
          </w:tcPr>
          <w:p w:rsidR="0055255B" w:rsidRPr="00970598" w:rsidRDefault="00152669" w:rsidP="00970598">
            <w:pPr>
              <w:pStyle w:val="Tabtxt"/>
              <w:ind w:left="113" w:right="113"/>
              <w:jc w:val="left"/>
              <w:rPr>
                <w:sz w:val="16"/>
                <w:szCs w:val="16"/>
              </w:rPr>
            </w:pPr>
            <w:r>
              <w:rPr>
                <w:sz w:val="16"/>
                <w:szCs w:val="16"/>
              </w:rPr>
              <w:t xml:space="preserve">Texte du participant de l’Unité 3 : </w:t>
            </w:r>
            <w:r w:rsidR="00CC161E">
              <w:rPr>
                <w:sz w:val="16"/>
                <w:szCs w:val="16"/>
              </w:rPr>
              <w:t>Concepts clés</w:t>
            </w:r>
          </w:p>
        </w:tc>
      </w:tr>
      <w:tr w:rsidR="0055255B" w:rsidRPr="00C97553" w:rsidTr="006867EB">
        <w:trPr>
          <w:trHeight w:val="20"/>
        </w:trPr>
        <w:tc>
          <w:tcPr>
            <w:tcW w:w="1702" w:type="dxa"/>
          </w:tcPr>
          <w:p w:rsidR="0055255B" w:rsidRPr="00C40409" w:rsidRDefault="0055255B" w:rsidP="003E2945">
            <w:pPr>
              <w:pStyle w:val="Tabtxt"/>
              <w:ind w:left="113" w:right="113"/>
              <w:jc w:val="left"/>
              <w:rPr>
                <w:sz w:val="16"/>
                <w:szCs w:val="16"/>
                <w:lang w:val="en-GB"/>
              </w:rPr>
            </w:pPr>
            <w:r w:rsidRPr="00C40409">
              <w:rPr>
                <w:bCs/>
                <w:sz w:val="16"/>
                <w:szCs w:val="16"/>
                <w:lang w:val="en-GB"/>
              </w:rPr>
              <w:t>Observation</w:t>
            </w:r>
          </w:p>
        </w:tc>
        <w:tc>
          <w:tcPr>
            <w:tcW w:w="5816" w:type="dxa"/>
          </w:tcPr>
          <w:p w:rsidR="0055255B" w:rsidRPr="006867EB" w:rsidRDefault="00812E25" w:rsidP="003E2945">
            <w:pPr>
              <w:pStyle w:val="Tabtxt"/>
              <w:tabs>
                <w:tab w:val="clear" w:pos="567"/>
                <w:tab w:val="left" w:pos="1053"/>
              </w:tabs>
              <w:ind w:left="113" w:right="113"/>
              <w:jc w:val="both"/>
              <w:rPr>
                <w:sz w:val="16"/>
                <w:szCs w:val="16"/>
              </w:rPr>
            </w:pPr>
            <w:r w:rsidRPr="006867EB">
              <w:rPr>
                <w:sz w:val="16"/>
                <w:szCs w:val="16"/>
              </w:rPr>
              <w:t>L’observation est une méthode de production de l’information qui permet de se familiariser avec des groupes de population ou des personnes en les observant et en les écoutant. Parmi les pratiques qu’on peut observer figurent les fêtes, les cérémonies religieuses, les réunions ou les activités journalières.</w:t>
            </w:r>
          </w:p>
        </w:tc>
        <w:tc>
          <w:tcPr>
            <w:tcW w:w="1559" w:type="dxa"/>
          </w:tcPr>
          <w:p w:rsidR="0055255B" w:rsidRPr="006867EB" w:rsidRDefault="0055255B" w:rsidP="003E2945">
            <w:pPr>
              <w:pStyle w:val="Tabtxt"/>
              <w:ind w:left="113" w:right="113"/>
              <w:jc w:val="left"/>
              <w:rPr>
                <w:sz w:val="16"/>
                <w:szCs w:val="16"/>
              </w:rPr>
            </w:pPr>
          </w:p>
        </w:tc>
      </w:tr>
      <w:tr w:rsidR="0055255B" w:rsidRPr="00C97553" w:rsidTr="006867EB">
        <w:trPr>
          <w:trHeight w:val="20"/>
        </w:trPr>
        <w:tc>
          <w:tcPr>
            <w:tcW w:w="1702" w:type="dxa"/>
          </w:tcPr>
          <w:p w:rsidR="0055255B" w:rsidRPr="00C40409" w:rsidRDefault="00812E25" w:rsidP="003E2945">
            <w:pPr>
              <w:pStyle w:val="Tabtxt"/>
              <w:ind w:left="113" w:right="113"/>
              <w:jc w:val="left"/>
              <w:rPr>
                <w:bCs/>
                <w:sz w:val="16"/>
                <w:szCs w:val="16"/>
                <w:lang w:val="en-GB"/>
              </w:rPr>
            </w:pPr>
            <w:proofErr w:type="spellStart"/>
            <w:r>
              <w:rPr>
                <w:bCs/>
                <w:sz w:val="16"/>
                <w:szCs w:val="16"/>
                <w:lang w:val="en-GB"/>
              </w:rPr>
              <w:t>Vidéo</w:t>
            </w:r>
            <w:proofErr w:type="spellEnd"/>
            <w:r>
              <w:rPr>
                <w:bCs/>
                <w:sz w:val="16"/>
                <w:szCs w:val="16"/>
                <w:lang w:val="en-GB"/>
              </w:rPr>
              <w:t xml:space="preserve"> participative</w:t>
            </w:r>
          </w:p>
        </w:tc>
        <w:tc>
          <w:tcPr>
            <w:tcW w:w="5816" w:type="dxa"/>
          </w:tcPr>
          <w:p w:rsidR="0055255B" w:rsidRPr="006867EB" w:rsidRDefault="00812E25" w:rsidP="003E2945">
            <w:pPr>
              <w:pStyle w:val="Tabtxt"/>
              <w:tabs>
                <w:tab w:val="clear" w:pos="567"/>
                <w:tab w:val="left" w:pos="1053"/>
              </w:tabs>
              <w:ind w:left="113" w:right="113"/>
              <w:jc w:val="both"/>
              <w:rPr>
                <w:sz w:val="16"/>
                <w:szCs w:val="16"/>
              </w:rPr>
            </w:pPr>
            <w:r w:rsidRPr="006867EB">
              <w:rPr>
                <w:sz w:val="16"/>
                <w:szCs w:val="16"/>
              </w:rPr>
              <w:t>La vidéo participative est une méthode de production de l’information qui fait intervenir des individus et des membres de la communauté dans la création de leurs propres vidéos. La vidéo participative est considérée comme un processus de responsabilisation pour les membres de la communauté parce qu’elle les rassemble pour traiter leurs problèmes et enregistrer leurs connaissances dans une démarche collective.</w:t>
            </w:r>
          </w:p>
        </w:tc>
        <w:tc>
          <w:tcPr>
            <w:tcW w:w="1559" w:type="dxa"/>
          </w:tcPr>
          <w:p w:rsidR="0055255B" w:rsidRPr="006867EB" w:rsidRDefault="00812E25" w:rsidP="003E2945">
            <w:pPr>
              <w:pStyle w:val="Tabtxt"/>
              <w:ind w:left="113" w:right="113"/>
              <w:jc w:val="left"/>
              <w:rPr>
                <w:sz w:val="16"/>
                <w:szCs w:val="16"/>
              </w:rPr>
            </w:pPr>
            <w:r w:rsidRPr="006867EB">
              <w:rPr>
                <w:sz w:val="16"/>
                <w:szCs w:val="16"/>
              </w:rPr>
              <w:t>Wikipé</w:t>
            </w:r>
            <w:r w:rsidR="0055255B" w:rsidRPr="006867EB">
              <w:rPr>
                <w:sz w:val="16"/>
                <w:szCs w:val="16"/>
              </w:rPr>
              <w:t>dia (</w:t>
            </w:r>
            <w:hyperlink r:id="rId8" w:history="1">
              <w:r w:rsidR="0055255B" w:rsidRPr="006867EB">
                <w:rPr>
                  <w:rStyle w:val="Hyperlink"/>
                </w:rPr>
                <w:t>http://en.wikipedia.org/wiki/Participatory_video</w:t>
              </w:r>
            </w:hyperlink>
            <w:r w:rsidR="0055255B" w:rsidRPr="006867EB">
              <w:rPr>
                <w:sz w:val="16"/>
                <w:szCs w:val="16"/>
              </w:rPr>
              <w:t>)</w:t>
            </w:r>
          </w:p>
        </w:tc>
      </w:tr>
    </w:tbl>
    <w:p w:rsidR="00812E25" w:rsidRPr="006867EB" w:rsidRDefault="00812E25">
      <w:pPr>
        <w:rPr>
          <w:lang w:val="fr-FR"/>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959"/>
        <w:gridCol w:w="1559"/>
      </w:tblGrid>
      <w:tr w:rsidR="00812E25" w:rsidRPr="00354C74" w:rsidTr="006867EB">
        <w:trPr>
          <w:trHeight w:val="20"/>
          <w:tblHeader/>
        </w:trPr>
        <w:tc>
          <w:tcPr>
            <w:tcW w:w="1701" w:type="dxa"/>
            <w:shd w:val="clear" w:color="auto" w:fill="BAD0EE"/>
          </w:tcPr>
          <w:p w:rsidR="00812E25" w:rsidRPr="00354C74" w:rsidRDefault="00812E25" w:rsidP="003E2945">
            <w:pPr>
              <w:pStyle w:val="Tabltetiere"/>
              <w:spacing w:before="240"/>
              <w:rPr>
                <w:bCs/>
                <w:i/>
                <w:iCs/>
                <w:caps/>
                <w:color w:val="404040" w:themeColor="text1" w:themeTint="BF"/>
                <w:szCs w:val="22"/>
                <w:lang w:eastAsia="en-US"/>
              </w:rPr>
            </w:pPr>
            <w:proofErr w:type="spellStart"/>
            <w:r w:rsidRPr="00354C74">
              <w:lastRenderedPageBreak/>
              <w:t>Term</w:t>
            </w:r>
            <w:proofErr w:type="spellEnd"/>
          </w:p>
        </w:tc>
        <w:tc>
          <w:tcPr>
            <w:tcW w:w="5959" w:type="dxa"/>
            <w:shd w:val="clear" w:color="auto" w:fill="BAD0EE"/>
          </w:tcPr>
          <w:p w:rsidR="00812E25" w:rsidRPr="00354C74" w:rsidRDefault="00812E25" w:rsidP="003E2945">
            <w:pPr>
              <w:pStyle w:val="Tabltetiere"/>
              <w:spacing w:before="240"/>
              <w:rPr>
                <w:bCs/>
                <w:i/>
                <w:iCs/>
                <w:caps/>
                <w:color w:val="404040" w:themeColor="text1" w:themeTint="BF"/>
                <w:szCs w:val="22"/>
                <w:lang w:eastAsia="en-US"/>
              </w:rPr>
            </w:pPr>
            <w:proofErr w:type="spellStart"/>
            <w:r w:rsidRPr="00354C74">
              <w:t>D</w:t>
            </w:r>
            <w:r>
              <w:t>e</w:t>
            </w:r>
            <w:r w:rsidRPr="00354C74">
              <w:t>finition</w:t>
            </w:r>
            <w:proofErr w:type="spellEnd"/>
          </w:p>
        </w:tc>
        <w:tc>
          <w:tcPr>
            <w:tcW w:w="1559" w:type="dxa"/>
            <w:shd w:val="clear" w:color="auto" w:fill="BAD0EE"/>
          </w:tcPr>
          <w:p w:rsidR="00812E25" w:rsidRPr="00DB53FE" w:rsidRDefault="00812E25" w:rsidP="003E2945">
            <w:pPr>
              <w:pStyle w:val="Tabltetiere"/>
              <w:spacing w:before="80"/>
              <w:rPr>
                <w:bCs/>
                <w:i/>
                <w:iCs/>
                <w:caps/>
                <w:color w:val="404040" w:themeColor="text1" w:themeTint="BF"/>
                <w:szCs w:val="22"/>
                <w:lang w:val="en-US" w:eastAsia="en-US"/>
              </w:rPr>
            </w:pPr>
            <w:r w:rsidRPr="00DB53FE">
              <w:rPr>
                <w:lang w:val="en-US"/>
              </w:rPr>
              <w:t xml:space="preserve">Source </w:t>
            </w:r>
            <w:r w:rsidRPr="00DB53FE">
              <w:rPr>
                <w:lang w:val="en-US"/>
              </w:rPr>
              <w:br/>
              <w:t>(if other than CTA/IFAD)</w:t>
            </w:r>
          </w:p>
        </w:tc>
      </w:tr>
      <w:tr w:rsidR="00812E25" w:rsidRPr="00C97553" w:rsidTr="006867EB">
        <w:trPr>
          <w:trHeight w:val="20"/>
        </w:trPr>
        <w:tc>
          <w:tcPr>
            <w:tcW w:w="1701" w:type="dxa"/>
          </w:tcPr>
          <w:p w:rsidR="00812E25" w:rsidRPr="00C40409" w:rsidRDefault="00113B56" w:rsidP="003E2945">
            <w:pPr>
              <w:pStyle w:val="Tabtxt"/>
              <w:ind w:left="113" w:right="113"/>
              <w:jc w:val="left"/>
              <w:rPr>
                <w:bCs/>
                <w:sz w:val="16"/>
                <w:szCs w:val="16"/>
                <w:lang w:val="en-GB"/>
              </w:rPr>
            </w:pPr>
            <w:proofErr w:type="spellStart"/>
            <w:r>
              <w:rPr>
                <w:bCs/>
                <w:sz w:val="16"/>
                <w:szCs w:val="16"/>
                <w:lang w:val="en-GB"/>
              </w:rPr>
              <w:t>Cartographie</w:t>
            </w:r>
            <w:proofErr w:type="spellEnd"/>
            <w:r>
              <w:rPr>
                <w:bCs/>
                <w:sz w:val="16"/>
                <w:szCs w:val="16"/>
                <w:lang w:val="en-GB"/>
              </w:rPr>
              <w:t xml:space="preserve"> participative</w:t>
            </w:r>
          </w:p>
        </w:tc>
        <w:tc>
          <w:tcPr>
            <w:tcW w:w="5959" w:type="dxa"/>
          </w:tcPr>
          <w:p w:rsidR="00812E25" w:rsidRPr="006867EB" w:rsidRDefault="00113B56" w:rsidP="003E2945">
            <w:pPr>
              <w:pStyle w:val="Tabtxt"/>
              <w:tabs>
                <w:tab w:val="clear" w:pos="567"/>
                <w:tab w:val="left" w:pos="1053"/>
              </w:tabs>
              <w:ind w:left="113" w:right="113"/>
              <w:jc w:val="both"/>
              <w:rPr>
                <w:sz w:val="16"/>
                <w:szCs w:val="16"/>
              </w:rPr>
            </w:pPr>
            <w:r w:rsidRPr="006867EB">
              <w:rPr>
                <w:sz w:val="16"/>
                <w:szCs w:val="16"/>
              </w:rPr>
              <w:t>La cartographie participative peut être réalisée pour documenter le paysage culturel d’une communauté et les éléments du PCI qui s’y rapportent. Cartographier le paysage culturel se réfère aux aspects qui forgent les valeurs, les normes, les pratiques sociales et la spiritualité d’une communauté et l’élément du PCI qui y est associé. Il peut s’agir, par exemple, de lieux sacrés, de sites de danse et de sites de circoncision. La cartographie participative peut aider à recueillir des informations sur les modes d’interaction des communautés avec les éléments du PCI et elle peut être utile pour relayer l’information spatiale à des agences extérieures, mais aussi pour enregistrer et archiver les connaissances locales sur un élément particulier du PCI.</w:t>
            </w:r>
          </w:p>
        </w:tc>
        <w:tc>
          <w:tcPr>
            <w:tcW w:w="1559" w:type="dxa"/>
          </w:tcPr>
          <w:p w:rsidR="00812E25" w:rsidRPr="006867EB" w:rsidRDefault="00812E25" w:rsidP="003E2945">
            <w:pPr>
              <w:pStyle w:val="Tabtxt"/>
              <w:ind w:left="113" w:right="113"/>
              <w:jc w:val="left"/>
              <w:rPr>
                <w:sz w:val="16"/>
                <w:szCs w:val="16"/>
              </w:rPr>
            </w:pPr>
          </w:p>
        </w:tc>
      </w:tr>
      <w:tr w:rsidR="00812E25" w:rsidRPr="00C97553" w:rsidTr="006867EB">
        <w:trPr>
          <w:trHeight w:val="20"/>
        </w:trPr>
        <w:tc>
          <w:tcPr>
            <w:tcW w:w="1701" w:type="dxa"/>
          </w:tcPr>
          <w:p w:rsidR="00812E25" w:rsidRPr="00C40409" w:rsidRDefault="00113B56" w:rsidP="003E2945">
            <w:pPr>
              <w:pStyle w:val="Tabtxt"/>
              <w:ind w:left="113" w:right="113"/>
              <w:jc w:val="left"/>
              <w:rPr>
                <w:bCs/>
                <w:sz w:val="16"/>
                <w:szCs w:val="16"/>
                <w:lang w:val="en-GB"/>
              </w:rPr>
            </w:pPr>
            <w:proofErr w:type="spellStart"/>
            <w:r>
              <w:rPr>
                <w:bCs/>
                <w:sz w:val="16"/>
                <w:szCs w:val="16"/>
                <w:lang w:val="en-GB"/>
              </w:rPr>
              <w:t>Entretien</w:t>
            </w:r>
            <w:proofErr w:type="spellEnd"/>
            <w:r>
              <w:rPr>
                <w:bCs/>
                <w:sz w:val="16"/>
                <w:szCs w:val="16"/>
                <w:lang w:val="en-GB"/>
              </w:rPr>
              <w:t xml:space="preserve"> semi-</w:t>
            </w:r>
            <w:proofErr w:type="spellStart"/>
            <w:r>
              <w:rPr>
                <w:bCs/>
                <w:sz w:val="16"/>
                <w:szCs w:val="16"/>
                <w:lang w:val="en-GB"/>
              </w:rPr>
              <w:t>structuré</w:t>
            </w:r>
            <w:proofErr w:type="spellEnd"/>
          </w:p>
        </w:tc>
        <w:tc>
          <w:tcPr>
            <w:tcW w:w="5959" w:type="dxa"/>
          </w:tcPr>
          <w:p w:rsidR="00812E25" w:rsidRPr="006867EB" w:rsidRDefault="00113B56" w:rsidP="003E2945">
            <w:pPr>
              <w:pStyle w:val="Tabtxt"/>
              <w:tabs>
                <w:tab w:val="clear" w:pos="567"/>
                <w:tab w:val="left" w:pos="2280"/>
              </w:tabs>
              <w:ind w:left="113" w:right="113"/>
              <w:jc w:val="both"/>
              <w:rPr>
                <w:sz w:val="16"/>
                <w:szCs w:val="16"/>
              </w:rPr>
            </w:pPr>
            <w:r w:rsidRPr="006867EB">
              <w:rPr>
                <w:sz w:val="16"/>
                <w:szCs w:val="16"/>
              </w:rPr>
              <w:t>L’entretien semi-structuré est un type d’entretien qui fait appel à un jeu de questions ou de sujets prédéterminé. Toutefois, il est permis de s’écarter des questions et des sujets prescrits et les personnes interrogées sont encouragées à approfondir les sujets de discussion et à avancer des idées qui ne sont pas inscrites dans le programme d’entretien.</w:t>
            </w:r>
          </w:p>
        </w:tc>
        <w:tc>
          <w:tcPr>
            <w:tcW w:w="1559" w:type="dxa"/>
          </w:tcPr>
          <w:p w:rsidR="00812E25" w:rsidRPr="006867EB" w:rsidRDefault="00812E25" w:rsidP="003E2945">
            <w:pPr>
              <w:pStyle w:val="Tabtxt"/>
              <w:ind w:left="113" w:right="113"/>
              <w:jc w:val="left"/>
              <w:rPr>
                <w:sz w:val="16"/>
                <w:szCs w:val="16"/>
              </w:rPr>
            </w:pPr>
          </w:p>
        </w:tc>
      </w:tr>
      <w:tr w:rsidR="00812E25" w:rsidRPr="00C97553" w:rsidTr="006867EB">
        <w:trPr>
          <w:trHeight w:val="20"/>
        </w:trPr>
        <w:tc>
          <w:tcPr>
            <w:tcW w:w="1701" w:type="dxa"/>
          </w:tcPr>
          <w:p w:rsidR="00812E25" w:rsidRPr="00C40409" w:rsidRDefault="00113B56" w:rsidP="003E2945">
            <w:pPr>
              <w:pStyle w:val="Tabtxt"/>
              <w:ind w:left="113" w:right="113"/>
              <w:jc w:val="left"/>
              <w:rPr>
                <w:bCs/>
                <w:sz w:val="16"/>
                <w:szCs w:val="16"/>
                <w:lang w:val="en-GB"/>
              </w:rPr>
            </w:pPr>
            <w:proofErr w:type="spellStart"/>
            <w:r>
              <w:rPr>
                <w:bCs/>
                <w:sz w:val="16"/>
                <w:szCs w:val="16"/>
                <w:lang w:val="en-GB"/>
              </w:rPr>
              <w:t>Entretien</w:t>
            </w:r>
            <w:proofErr w:type="spellEnd"/>
            <w:r>
              <w:rPr>
                <w:bCs/>
                <w:sz w:val="16"/>
                <w:szCs w:val="16"/>
                <w:lang w:val="en-GB"/>
              </w:rPr>
              <w:t xml:space="preserve"> </w:t>
            </w:r>
            <w:proofErr w:type="spellStart"/>
            <w:r>
              <w:rPr>
                <w:bCs/>
                <w:sz w:val="16"/>
                <w:szCs w:val="16"/>
                <w:lang w:val="en-GB"/>
              </w:rPr>
              <w:t>structuré</w:t>
            </w:r>
            <w:proofErr w:type="spellEnd"/>
          </w:p>
        </w:tc>
        <w:tc>
          <w:tcPr>
            <w:tcW w:w="5959" w:type="dxa"/>
          </w:tcPr>
          <w:p w:rsidR="00812E25" w:rsidRPr="006867EB" w:rsidRDefault="00113B56" w:rsidP="003E2945">
            <w:pPr>
              <w:pStyle w:val="Tabtxt"/>
              <w:tabs>
                <w:tab w:val="clear" w:pos="567"/>
                <w:tab w:val="left" w:pos="2280"/>
              </w:tabs>
              <w:ind w:left="113" w:right="113"/>
              <w:jc w:val="both"/>
              <w:rPr>
                <w:sz w:val="16"/>
                <w:szCs w:val="16"/>
              </w:rPr>
            </w:pPr>
            <w:r w:rsidRPr="006867EB">
              <w:rPr>
                <w:sz w:val="16"/>
                <w:szCs w:val="16"/>
              </w:rPr>
              <w:t>Dans un entretien structuré, on pose exactement les mêmes questions exactement dans le même ordre à chaque interviewé. S’écarter de ces questions n’est pas préconisé. Ces types d’entretiens donnent en général des résultats fort comparables.</w:t>
            </w:r>
          </w:p>
        </w:tc>
        <w:tc>
          <w:tcPr>
            <w:tcW w:w="1559" w:type="dxa"/>
          </w:tcPr>
          <w:p w:rsidR="00812E25" w:rsidRPr="006867EB" w:rsidRDefault="00812E25" w:rsidP="003E2945">
            <w:pPr>
              <w:pStyle w:val="Tabtxt"/>
              <w:ind w:left="113" w:right="113"/>
              <w:jc w:val="left"/>
              <w:rPr>
                <w:sz w:val="16"/>
                <w:szCs w:val="16"/>
              </w:rPr>
            </w:pPr>
          </w:p>
        </w:tc>
      </w:tr>
      <w:tr w:rsidR="00812E25" w:rsidRPr="00C97553" w:rsidTr="006867EB">
        <w:trPr>
          <w:trHeight w:val="20"/>
        </w:trPr>
        <w:tc>
          <w:tcPr>
            <w:tcW w:w="1701" w:type="dxa"/>
          </w:tcPr>
          <w:p w:rsidR="00812E25" w:rsidRPr="00C40409" w:rsidRDefault="00113B56" w:rsidP="003E2945">
            <w:pPr>
              <w:pStyle w:val="Tabtxt"/>
              <w:ind w:left="113" w:right="113"/>
              <w:jc w:val="left"/>
              <w:rPr>
                <w:bCs/>
                <w:sz w:val="16"/>
                <w:szCs w:val="16"/>
                <w:lang w:val="en-GB"/>
              </w:rPr>
            </w:pPr>
            <w:proofErr w:type="spellStart"/>
            <w:r>
              <w:rPr>
                <w:sz w:val="16"/>
                <w:szCs w:val="16"/>
                <w:lang w:val="en-GB"/>
              </w:rPr>
              <w:t>Entretien</w:t>
            </w:r>
            <w:proofErr w:type="spellEnd"/>
            <w:r>
              <w:rPr>
                <w:sz w:val="16"/>
                <w:szCs w:val="16"/>
                <w:lang w:val="en-GB"/>
              </w:rPr>
              <w:t xml:space="preserve"> non </w:t>
            </w:r>
            <w:proofErr w:type="spellStart"/>
            <w:r>
              <w:rPr>
                <w:sz w:val="16"/>
                <w:szCs w:val="16"/>
                <w:lang w:val="en-GB"/>
              </w:rPr>
              <w:t>structuré</w:t>
            </w:r>
            <w:proofErr w:type="spellEnd"/>
          </w:p>
        </w:tc>
        <w:tc>
          <w:tcPr>
            <w:tcW w:w="5959" w:type="dxa"/>
          </w:tcPr>
          <w:p w:rsidR="00812E25" w:rsidRPr="006867EB" w:rsidRDefault="00113B56" w:rsidP="003E2945">
            <w:pPr>
              <w:pStyle w:val="Tabtxt"/>
              <w:tabs>
                <w:tab w:val="clear" w:pos="567"/>
                <w:tab w:val="left" w:pos="2280"/>
              </w:tabs>
              <w:ind w:left="113" w:right="113"/>
              <w:jc w:val="both"/>
              <w:rPr>
                <w:sz w:val="16"/>
                <w:szCs w:val="16"/>
              </w:rPr>
            </w:pPr>
            <w:r w:rsidRPr="006867EB">
              <w:rPr>
                <w:sz w:val="16"/>
                <w:szCs w:val="16"/>
              </w:rPr>
              <w:t>Les entretiens non structurés ne sont pas guidés par un jeu de questions mais par le flux naturel de la conversation entre l’intervieweur et la personne interrogée. Ils partent du principe que l’intervieweur n’a pas identifié les sujets de discussion les plus importants et doit donc s’appuyer sur les connaissances de l’interviewé.</w:t>
            </w:r>
          </w:p>
        </w:tc>
        <w:tc>
          <w:tcPr>
            <w:tcW w:w="1559" w:type="dxa"/>
          </w:tcPr>
          <w:p w:rsidR="00812E25" w:rsidRPr="006867EB" w:rsidRDefault="00812E25" w:rsidP="003E2945">
            <w:pPr>
              <w:pStyle w:val="Tabtxt"/>
              <w:ind w:left="113" w:right="113"/>
              <w:jc w:val="left"/>
              <w:rPr>
                <w:sz w:val="16"/>
                <w:szCs w:val="16"/>
              </w:rPr>
            </w:pPr>
          </w:p>
        </w:tc>
      </w:tr>
    </w:tbl>
    <w:p w:rsidR="00812E25" w:rsidRDefault="00812E25">
      <w:pPr>
        <w:rPr>
          <w:lang w:val="fr-FR"/>
        </w:rPr>
      </w:pPr>
    </w:p>
    <w:p w:rsidR="00C97553" w:rsidRPr="00C97553" w:rsidRDefault="00C97553">
      <w:pPr>
        <w:rPr>
          <w:sz w:val="16"/>
          <w:szCs w:val="16"/>
        </w:rPr>
      </w:pPr>
      <w:r w:rsidRPr="008411AB">
        <w:rPr>
          <w:sz w:val="16"/>
          <w:szCs w:val="16"/>
        </w:rPr>
        <w:t xml:space="preserve">Source; CTA. </w:t>
      </w:r>
      <w:proofErr w:type="gramStart"/>
      <w:r w:rsidRPr="008411AB">
        <w:rPr>
          <w:sz w:val="16"/>
          <w:szCs w:val="16"/>
        </w:rPr>
        <w:t>2010</w:t>
      </w:r>
      <w:proofErr w:type="gramEnd"/>
      <w:r w:rsidRPr="008411AB">
        <w:rPr>
          <w:sz w:val="16"/>
          <w:szCs w:val="16"/>
        </w:rPr>
        <w:t xml:space="preserve">, </w:t>
      </w:r>
      <w:r w:rsidRPr="00DC421D">
        <w:rPr>
          <w:i/>
          <w:sz w:val="16"/>
          <w:szCs w:val="16"/>
        </w:rPr>
        <w:t>Training Kit on Participatory Spatial Information Management and Communication</w:t>
      </w:r>
      <w:r w:rsidRPr="008411AB">
        <w:rPr>
          <w:sz w:val="16"/>
          <w:szCs w:val="16"/>
        </w:rPr>
        <w:t xml:space="preserve">. CTA, </w:t>
      </w:r>
      <w:proofErr w:type="gramStart"/>
      <w:r w:rsidRPr="008411AB">
        <w:rPr>
          <w:sz w:val="16"/>
          <w:szCs w:val="16"/>
        </w:rPr>
        <w:t>The</w:t>
      </w:r>
      <w:proofErr w:type="gramEnd"/>
      <w:r w:rsidRPr="008411AB">
        <w:rPr>
          <w:sz w:val="16"/>
          <w:szCs w:val="16"/>
        </w:rPr>
        <w:t xml:space="preserve"> Netherlands and IFAD, Italy (ISBN: 978-92-9081-446-7).</w:t>
      </w:r>
    </w:p>
    <w:sectPr w:rsidR="00C97553" w:rsidRPr="00C97553" w:rsidSect="006867EB">
      <w:headerReference w:type="even" r:id="rId9"/>
      <w:footerReference w:type="even"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0F9" w:rsidRDefault="00EC20F9" w:rsidP="00EC20F9">
      <w:pPr>
        <w:spacing w:before="0" w:after="0"/>
      </w:pPr>
      <w:r>
        <w:separator/>
      </w:r>
    </w:p>
  </w:endnote>
  <w:endnote w:type="continuationSeparator" w:id="0">
    <w:p w:rsidR="00EC20F9" w:rsidRDefault="00EC20F9" w:rsidP="00EC2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altName w:val="Arial"/>
    <w:panose1 w:val="00000000000000000000"/>
    <w:charset w:val="00"/>
    <w:family w:val="roman"/>
    <w:notTrueType/>
    <w:pitch w:val="default"/>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F9" w:rsidRPr="006867EB" w:rsidRDefault="008C4401" w:rsidP="009A0A6F">
    <w:pPr>
      <w:widowControl w:val="0"/>
      <w:tabs>
        <w:tab w:val="clear" w:pos="567"/>
        <w:tab w:val="center" w:pos="4423"/>
        <w:tab w:val="right" w:pos="8845"/>
      </w:tabs>
      <w:spacing w:before="0" w:after="0" w:line="280" w:lineRule="exact"/>
      <w:ind w:right="360" w:firstLine="360"/>
      <w:rPr>
        <w:snapToGrid w:val="0"/>
        <w:sz w:val="16"/>
        <w:szCs w:val="18"/>
        <w:lang w:val="fr-FR"/>
      </w:rPr>
    </w:pPr>
    <w:r w:rsidRPr="005F0158">
      <w:rPr>
        <w:noProof/>
        <w:lang w:val="fr-FR" w:eastAsia="ja-JP"/>
      </w:rPr>
      <w:drawing>
        <wp:anchor distT="0" distB="0" distL="114300" distR="114300" simplePos="0" relativeHeight="251676672" behindDoc="0" locked="0" layoutInCell="1" allowOverlap="1" wp14:anchorId="358CC88D" wp14:editId="74F69C8A">
          <wp:simplePos x="0" y="0"/>
          <wp:positionH relativeFrom="column">
            <wp:posOffset>2590800</wp:posOffset>
          </wp:positionH>
          <wp:positionV relativeFrom="paragraph">
            <wp:posOffset>8890</wp:posOffset>
          </wp:positionV>
          <wp:extent cx="565150" cy="198755"/>
          <wp:effectExtent l="0" t="0" r="635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y-nc-sa.eu.png"/>
                  <pic:cNvPicPr/>
                </pic:nvPicPr>
                <pic:blipFill>
                  <a:blip r:embed="rId1">
                    <a:extLst>
                      <a:ext uri="{28A0092B-C50C-407E-A947-70E740481C1C}">
                        <a14:useLocalDpi xmlns:a14="http://schemas.microsoft.com/office/drawing/2010/main" val="0"/>
                      </a:ext>
                    </a:extLst>
                  </a:blip>
                  <a:stretch>
                    <a:fillRect/>
                  </a:stretch>
                </pic:blipFill>
                <pic:spPr>
                  <a:xfrm>
                    <a:off x="0" y="0"/>
                    <a:ext cx="565150" cy="198755"/>
                  </a:xfrm>
                  <a:prstGeom prst="rect">
                    <a:avLst/>
                  </a:prstGeom>
                </pic:spPr>
              </pic:pic>
            </a:graphicData>
          </a:graphic>
          <wp14:sizeRelH relativeFrom="page">
            <wp14:pctWidth>0</wp14:pctWidth>
          </wp14:sizeRelH>
          <wp14:sizeRelV relativeFrom="page">
            <wp14:pctHeight>0</wp14:pctHeight>
          </wp14:sizeRelV>
        </wp:anchor>
      </w:drawing>
    </w:r>
    <w:r w:rsidR="006867EB">
      <w:rPr>
        <w:noProof/>
        <w:sz w:val="16"/>
        <w:szCs w:val="18"/>
        <w:lang w:val="fr-FR" w:eastAsia="ja-JP"/>
      </w:rPr>
      <w:drawing>
        <wp:anchor distT="0" distB="0" distL="114300" distR="114300" simplePos="0" relativeHeight="251664384" behindDoc="0" locked="0" layoutInCell="1" allowOverlap="1" wp14:anchorId="2979EBC7" wp14:editId="4556F374">
          <wp:simplePos x="0" y="0"/>
          <wp:positionH relativeFrom="column">
            <wp:posOffset>-114935</wp:posOffset>
          </wp:positionH>
          <wp:positionV relativeFrom="paragraph">
            <wp:posOffset>-133350</wp:posOffset>
          </wp:positionV>
          <wp:extent cx="766445" cy="57574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445" cy="575747"/>
                  </a:xfrm>
                  <a:prstGeom prst="rect">
                    <a:avLst/>
                  </a:prstGeom>
                </pic:spPr>
              </pic:pic>
            </a:graphicData>
          </a:graphic>
          <wp14:sizeRelH relativeFrom="page">
            <wp14:pctWidth>0</wp14:pctWidth>
          </wp14:sizeRelH>
          <wp14:sizeRelV relativeFrom="page">
            <wp14:pctHeight>0</wp14:pctHeight>
          </wp14:sizeRelV>
        </wp:anchor>
      </w:drawing>
    </w:r>
    <w:r w:rsidR="00EC20F9" w:rsidRPr="00EC20F9">
      <w:rPr>
        <w:snapToGrid w:val="0"/>
        <w:sz w:val="16"/>
        <w:szCs w:val="18"/>
        <w:lang w:val="fr-FR"/>
      </w:rPr>
      <w:tab/>
    </w:r>
    <w:r w:rsidR="00EC20F9">
      <w:rPr>
        <w:snapToGrid w:val="0"/>
        <w:sz w:val="16"/>
        <w:szCs w:val="18"/>
        <w:lang w:val="fr-FR"/>
      </w:rPr>
      <w:tab/>
      <w:t>U02</w:t>
    </w:r>
    <w:r w:rsidR="00EC20F9" w:rsidRPr="00EC20F9">
      <w:rPr>
        <w:snapToGrid w:val="0"/>
        <w:sz w:val="16"/>
        <w:szCs w:val="18"/>
        <w:lang w:val="fr-FR"/>
      </w:rPr>
      <w:t>3-v1.0-</w:t>
    </w:r>
    <w:r w:rsidR="00EC20F9">
      <w:rPr>
        <w:snapToGrid w:val="0"/>
        <w:sz w:val="16"/>
        <w:szCs w:val="18"/>
        <w:lang w:val="fr-FR"/>
      </w:rPr>
      <w:t>HO2</w:t>
    </w:r>
    <w:r w:rsidR="00EC20F9" w:rsidRPr="00EC20F9">
      <w:rPr>
        <w:snapToGrid w:val="0"/>
        <w:sz w:val="16"/>
        <w:szCs w:val="18"/>
        <w:lang w:val="fr-FR"/>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F9" w:rsidRPr="006867EB" w:rsidRDefault="008C4401" w:rsidP="009A0A6F">
    <w:pPr>
      <w:widowControl w:val="0"/>
      <w:tabs>
        <w:tab w:val="clear" w:pos="567"/>
        <w:tab w:val="center" w:pos="4423"/>
        <w:tab w:val="right" w:pos="8845"/>
      </w:tabs>
      <w:spacing w:before="0" w:after="0" w:line="280" w:lineRule="exact"/>
      <w:rPr>
        <w:snapToGrid w:val="0"/>
        <w:sz w:val="16"/>
        <w:szCs w:val="18"/>
        <w:lang w:val="fr-FR"/>
      </w:rPr>
    </w:pPr>
    <w:r w:rsidRPr="005F0158">
      <w:rPr>
        <w:noProof/>
        <w:lang w:val="fr-FR" w:eastAsia="ja-JP"/>
      </w:rPr>
      <w:drawing>
        <wp:anchor distT="0" distB="0" distL="114300" distR="114300" simplePos="0" relativeHeight="251674624" behindDoc="0" locked="0" layoutInCell="1" allowOverlap="1" wp14:anchorId="358CC88D" wp14:editId="74F69C8A">
          <wp:simplePos x="0" y="0"/>
          <wp:positionH relativeFrom="column">
            <wp:posOffset>2600325</wp:posOffset>
          </wp:positionH>
          <wp:positionV relativeFrom="paragraph">
            <wp:posOffset>8890</wp:posOffset>
          </wp:positionV>
          <wp:extent cx="565150" cy="198755"/>
          <wp:effectExtent l="0" t="0" r="6350" b="0"/>
          <wp:wrapTopAndBottom/>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y-nc-sa.eu.png"/>
                  <pic:cNvPicPr/>
                </pic:nvPicPr>
                <pic:blipFill>
                  <a:blip r:embed="rId1">
                    <a:extLst>
                      <a:ext uri="{28A0092B-C50C-407E-A947-70E740481C1C}">
                        <a14:useLocalDpi xmlns:a14="http://schemas.microsoft.com/office/drawing/2010/main" val="0"/>
                      </a:ext>
                    </a:extLst>
                  </a:blip>
                  <a:stretch>
                    <a:fillRect/>
                  </a:stretch>
                </pic:blipFill>
                <pic:spPr>
                  <a:xfrm>
                    <a:off x="0" y="0"/>
                    <a:ext cx="565150" cy="198755"/>
                  </a:xfrm>
                  <a:prstGeom prst="rect">
                    <a:avLst/>
                  </a:prstGeom>
                </pic:spPr>
              </pic:pic>
            </a:graphicData>
          </a:graphic>
          <wp14:sizeRelH relativeFrom="page">
            <wp14:pctWidth>0</wp14:pctWidth>
          </wp14:sizeRelH>
          <wp14:sizeRelV relativeFrom="page">
            <wp14:pctHeight>0</wp14:pctHeight>
          </wp14:sizeRelV>
        </wp:anchor>
      </w:drawing>
    </w:r>
    <w:r w:rsidR="006867EB">
      <w:rPr>
        <w:noProof/>
        <w:sz w:val="16"/>
        <w:szCs w:val="18"/>
        <w:lang w:val="fr-FR" w:eastAsia="ja-JP"/>
      </w:rPr>
      <w:drawing>
        <wp:anchor distT="0" distB="0" distL="114300" distR="114300" simplePos="0" relativeHeight="251662336" behindDoc="0" locked="0" layoutInCell="1" allowOverlap="1" wp14:anchorId="5489E440" wp14:editId="49064098">
          <wp:simplePos x="0" y="0"/>
          <wp:positionH relativeFrom="column">
            <wp:posOffset>4948554</wp:posOffset>
          </wp:positionH>
          <wp:positionV relativeFrom="paragraph">
            <wp:posOffset>-214590</wp:posOffset>
          </wp:positionV>
          <wp:extent cx="766445" cy="5757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5715" cy="575199"/>
                  </a:xfrm>
                  <a:prstGeom prst="rect">
                    <a:avLst/>
                  </a:prstGeom>
                </pic:spPr>
              </pic:pic>
            </a:graphicData>
          </a:graphic>
          <wp14:sizeRelH relativeFrom="page">
            <wp14:pctWidth>0</wp14:pctWidth>
          </wp14:sizeRelH>
          <wp14:sizeRelV relativeFrom="page">
            <wp14:pctHeight>0</wp14:pctHeight>
          </wp14:sizeRelV>
        </wp:anchor>
      </w:drawing>
    </w:r>
    <w:r w:rsidR="00EC20F9" w:rsidRPr="00EC20F9">
      <w:rPr>
        <w:snapToGrid w:val="0"/>
        <w:sz w:val="16"/>
        <w:szCs w:val="18"/>
        <w:lang w:val="fr-FR"/>
      </w:rPr>
      <w:t>U</w:t>
    </w:r>
    <w:r w:rsidR="00EC20F9">
      <w:rPr>
        <w:snapToGrid w:val="0"/>
        <w:sz w:val="16"/>
        <w:szCs w:val="18"/>
        <w:lang w:val="fr-FR"/>
      </w:rPr>
      <w:t>02</w:t>
    </w:r>
    <w:r w:rsidR="00EC20F9" w:rsidRPr="00EC20F9">
      <w:rPr>
        <w:snapToGrid w:val="0"/>
        <w:sz w:val="16"/>
        <w:szCs w:val="18"/>
        <w:lang w:val="fr-FR"/>
      </w:rPr>
      <w:t>3-v1.0-</w:t>
    </w:r>
    <w:r w:rsidR="00EC20F9">
      <w:rPr>
        <w:snapToGrid w:val="0"/>
        <w:sz w:val="16"/>
        <w:szCs w:val="18"/>
        <w:lang w:val="fr-FR"/>
      </w:rPr>
      <w:t>HO</w:t>
    </w:r>
    <w:r w:rsidR="003942BF">
      <w:rPr>
        <w:snapToGrid w:val="0"/>
        <w:sz w:val="16"/>
        <w:szCs w:val="18"/>
        <w:lang w:val="fr-FR"/>
      </w:rPr>
      <w:t>2</w:t>
    </w:r>
    <w:r w:rsidR="009A0A6F">
      <w:rPr>
        <w:snapToGrid w:val="0"/>
        <w:sz w:val="16"/>
        <w:szCs w:val="18"/>
        <w:lang w:val="fr-FR"/>
      </w:rPr>
      <w:t>-FR</w:t>
    </w:r>
    <w:r w:rsidR="00EC20F9" w:rsidRPr="00EC20F9">
      <w:rPr>
        <w:snapToGrid w:val="0"/>
        <w:sz w:val="16"/>
        <w:szCs w:val="18"/>
        <w:lang w:val="fr-FR"/>
      </w:rPr>
      <w:tab/>
    </w:r>
    <w:r w:rsidR="00EC20F9" w:rsidRPr="00EC20F9">
      <w:rPr>
        <w:snapToGrid w:val="0"/>
        <w:sz w:val="16"/>
        <w:szCs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0F9" w:rsidRDefault="00EC20F9" w:rsidP="00EC20F9">
      <w:pPr>
        <w:spacing w:before="0" w:after="0"/>
      </w:pPr>
      <w:r>
        <w:separator/>
      </w:r>
    </w:p>
  </w:footnote>
  <w:footnote w:type="continuationSeparator" w:id="0">
    <w:p w:rsidR="00EC20F9" w:rsidRDefault="00EC20F9" w:rsidP="00EC20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F9" w:rsidRPr="006867EB" w:rsidRDefault="00EC20F9" w:rsidP="006867EB">
    <w:pPr>
      <w:tabs>
        <w:tab w:val="clear" w:pos="567"/>
        <w:tab w:val="center" w:pos="4423"/>
        <w:tab w:val="right" w:pos="8845"/>
      </w:tabs>
      <w:snapToGrid/>
      <w:spacing w:before="0" w:after="200" w:line="276" w:lineRule="auto"/>
      <w:jc w:val="left"/>
      <w:rPr>
        <w:rFonts w:eastAsia="Calibri" w:cs="Times New Roman"/>
        <w:sz w:val="16"/>
        <w:szCs w:val="22"/>
        <w:lang w:val="it-IT" w:eastAsia="en-US"/>
      </w:rPr>
    </w:pPr>
    <w:r w:rsidRPr="00EC20F9">
      <w:rPr>
        <w:rFonts w:eastAsia="Calibri" w:cs="Times New Roman"/>
        <w:sz w:val="16"/>
        <w:szCs w:val="22"/>
        <w:lang w:val="it-IT" w:eastAsia="en-US"/>
      </w:rPr>
      <w:fldChar w:fldCharType="begin"/>
    </w:r>
    <w:r w:rsidRPr="00EC20F9">
      <w:rPr>
        <w:rFonts w:eastAsia="Calibri" w:cs="Times New Roman"/>
        <w:sz w:val="16"/>
        <w:szCs w:val="22"/>
        <w:lang w:val="it-IT" w:eastAsia="en-US"/>
      </w:rPr>
      <w:instrText xml:space="preserve"> PAGE </w:instrText>
    </w:r>
    <w:r w:rsidRPr="00EC20F9">
      <w:rPr>
        <w:rFonts w:eastAsia="Calibri" w:cs="Times New Roman"/>
        <w:sz w:val="16"/>
        <w:szCs w:val="22"/>
        <w:lang w:val="it-IT" w:eastAsia="en-US"/>
      </w:rPr>
      <w:fldChar w:fldCharType="separate"/>
    </w:r>
    <w:r w:rsidR="00C97553">
      <w:rPr>
        <w:rFonts w:eastAsia="Calibri" w:cs="Times New Roman"/>
        <w:noProof/>
        <w:sz w:val="16"/>
        <w:szCs w:val="22"/>
        <w:lang w:val="it-IT" w:eastAsia="en-US"/>
      </w:rPr>
      <w:t>2</w:t>
    </w:r>
    <w:r w:rsidRPr="00EC20F9">
      <w:rPr>
        <w:rFonts w:eastAsia="Calibri" w:cs="Times New Roman"/>
        <w:sz w:val="16"/>
        <w:szCs w:val="22"/>
        <w:lang w:val="it-IT" w:eastAsia="en-US"/>
      </w:rPr>
      <w:fldChar w:fldCharType="end"/>
    </w:r>
    <w:r w:rsidRPr="00EC20F9">
      <w:rPr>
        <w:rFonts w:eastAsia="Calibri" w:cs="Times New Roman"/>
        <w:sz w:val="16"/>
        <w:szCs w:val="22"/>
        <w:lang w:val="it-IT" w:eastAsia="en-US"/>
      </w:rPr>
      <w:tab/>
    </w:r>
    <w:r>
      <w:rPr>
        <w:rFonts w:eastAsia="Calibri" w:cs="Times New Roman"/>
        <w:sz w:val="16"/>
        <w:szCs w:val="22"/>
        <w:lang w:val="it-IT" w:eastAsia="en-US"/>
      </w:rPr>
      <w:t>Unité 23 :  Méthodes et techniques dans le travail d’inventaire</w:t>
    </w:r>
    <w:r w:rsidRPr="00EC20F9">
      <w:rPr>
        <w:rFonts w:eastAsia="Calibri" w:cs="Times New Roman"/>
        <w:sz w:val="16"/>
        <w:szCs w:val="22"/>
        <w:lang w:val="it-IT" w:eastAsia="en-US"/>
      </w:rPr>
      <w:tab/>
    </w:r>
    <w:r>
      <w:rPr>
        <w:rFonts w:eastAsia="Calibri" w:cs="Times New Roman"/>
        <w:sz w:val="16"/>
        <w:szCs w:val="22"/>
        <w:lang w:val="it-IT" w:eastAsia="en-US"/>
      </w:rPr>
      <w:t>Imprimé</w:t>
    </w:r>
    <w:r w:rsidRPr="00EC20F9">
      <w:rPr>
        <w:rFonts w:eastAsia="Calibri" w:cs="Times New Roman"/>
        <w:sz w:val="16"/>
        <w:szCs w:val="22"/>
        <w:lang w:val="it-IT" w:eastAsia="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F9" w:rsidRPr="006867EB" w:rsidRDefault="00EC20F9" w:rsidP="006867EB">
    <w:pPr>
      <w:pStyle w:val="Header"/>
      <w:jc w:val="center"/>
      <w:rPr>
        <w:sz w:val="16"/>
        <w:szCs w:val="16"/>
        <w:lang w:val="fr-FR"/>
      </w:rPr>
    </w:pPr>
    <w:r w:rsidRPr="006867EB">
      <w:rPr>
        <w:sz w:val="16"/>
        <w:szCs w:val="16"/>
        <w:lang w:val="fr-FR"/>
      </w:rPr>
      <w:t>Imprimé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BE"/>
    <w:rsid w:val="00110FBE"/>
    <w:rsid w:val="00113B56"/>
    <w:rsid w:val="00152669"/>
    <w:rsid w:val="003942BF"/>
    <w:rsid w:val="0055255B"/>
    <w:rsid w:val="00660044"/>
    <w:rsid w:val="006867EB"/>
    <w:rsid w:val="00812E25"/>
    <w:rsid w:val="008C4401"/>
    <w:rsid w:val="008D3C1E"/>
    <w:rsid w:val="0091596D"/>
    <w:rsid w:val="00970598"/>
    <w:rsid w:val="009A0A6F"/>
    <w:rsid w:val="00AB3658"/>
    <w:rsid w:val="00B607C4"/>
    <w:rsid w:val="00C97553"/>
    <w:rsid w:val="00CC161E"/>
    <w:rsid w:val="00E038CA"/>
    <w:rsid w:val="00EC20F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1F31B9"/>
  <w15:docId w15:val="{97A17AFE-0FC1-498A-A116-9E0757D0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FBE"/>
    <w:pPr>
      <w:tabs>
        <w:tab w:val="left" w:pos="567"/>
      </w:tabs>
      <w:snapToGrid w:val="0"/>
      <w:spacing w:before="120" w:after="120" w:line="240" w:lineRule="auto"/>
      <w:jc w:val="both"/>
    </w:pPr>
    <w:rPr>
      <w:rFonts w:ascii="Arial" w:eastAsia="SimSun" w:hAnsi="Arial" w:cs="Arial"/>
      <w:szCs w:val="24"/>
      <w:lang w:val="en-US" w:eastAsia="zh-CN"/>
    </w:rPr>
  </w:style>
  <w:style w:type="paragraph" w:styleId="Heading1">
    <w:name w:val="heading 1"/>
    <w:basedOn w:val="Normal"/>
    <w:next w:val="Normal"/>
    <w:link w:val="Heading1Char"/>
    <w:uiPriority w:val="99"/>
    <w:qFormat/>
    <w:rsid w:val="00110FBE"/>
    <w:pPr>
      <w:keepNext/>
      <w:keepLines/>
      <w:pBdr>
        <w:bottom w:val="single" w:sz="4" w:space="1" w:color="auto"/>
      </w:pBdr>
      <w:spacing w:before="240" w:after="240"/>
      <w:jc w:val="left"/>
      <w:outlineLvl w:val="0"/>
    </w:pPr>
    <w:rPr>
      <w:rFonts w:eastAsia="Times New Roman"/>
      <w:bCs/>
      <w:kern w:val="28"/>
      <w:sz w:val="52"/>
      <w:szCs w:val="5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0FBE"/>
    <w:rPr>
      <w:rFonts w:ascii="Arial" w:eastAsia="Times New Roman" w:hAnsi="Arial" w:cs="Arial"/>
      <w:bCs/>
      <w:kern w:val="28"/>
      <w:sz w:val="52"/>
      <w:szCs w:val="52"/>
      <w:lang w:val="en-GB" w:eastAsia="zh-CN"/>
    </w:rPr>
  </w:style>
  <w:style w:type="character" w:styleId="Hyperlink">
    <w:name w:val="Hyperlink"/>
    <w:uiPriority w:val="99"/>
    <w:rsid w:val="00110FBE"/>
    <w:rPr>
      <w:rFonts w:cs="Times New Roman"/>
      <w:color w:val="0000FF"/>
      <w:u w:val="single"/>
    </w:rPr>
  </w:style>
  <w:style w:type="character" w:styleId="CommentReference">
    <w:name w:val="annotation reference"/>
    <w:uiPriority w:val="99"/>
    <w:semiHidden/>
    <w:rsid w:val="00110FBE"/>
    <w:rPr>
      <w:rFonts w:cs="Times New Roman"/>
      <w:sz w:val="16"/>
      <w:szCs w:val="16"/>
    </w:rPr>
  </w:style>
  <w:style w:type="paragraph" w:styleId="CommentText">
    <w:name w:val="annotation text"/>
    <w:basedOn w:val="Normal"/>
    <w:link w:val="CommentTextChar"/>
    <w:uiPriority w:val="99"/>
    <w:rsid w:val="00110FBE"/>
    <w:rPr>
      <w:sz w:val="20"/>
      <w:szCs w:val="20"/>
    </w:rPr>
  </w:style>
  <w:style w:type="character" w:customStyle="1" w:styleId="CommentTextChar">
    <w:name w:val="Comment Text Char"/>
    <w:basedOn w:val="DefaultParagraphFont"/>
    <w:link w:val="CommentText"/>
    <w:uiPriority w:val="99"/>
    <w:rsid w:val="00110FBE"/>
    <w:rPr>
      <w:rFonts w:ascii="Arial" w:eastAsia="SimSun" w:hAnsi="Arial" w:cs="Arial"/>
      <w:sz w:val="20"/>
      <w:szCs w:val="20"/>
      <w:lang w:val="en-US" w:eastAsia="zh-CN"/>
    </w:rPr>
  </w:style>
  <w:style w:type="paragraph" w:styleId="BalloonText">
    <w:name w:val="Balloon Text"/>
    <w:basedOn w:val="Normal"/>
    <w:link w:val="BalloonTextChar"/>
    <w:uiPriority w:val="99"/>
    <w:semiHidden/>
    <w:unhideWhenUsed/>
    <w:rsid w:val="00110FB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FBE"/>
    <w:rPr>
      <w:rFonts w:ascii="Tahoma" w:eastAsia="SimSun" w:hAnsi="Tahoma" w:cs="Tahoma"/>
      <w:sz w:val="16"/>
      <w:szCs w:val="16"/>
      <w:lang w:val="en-US" w:eastAsia="zh-CN"/>
    </w:rPr>
  </w:style>
  <w:style w:type="paragraph" w:customStyle="1" w:styleId="Tabltetiere">
    <w:name w:val="Tabltetiere"/>
    <w:basedOn w:val="Normal"/>
    <w:rsid w:val="0055255B"/>
    <w:pPr>
      <w:keepNext/>
      <w:spacing w:before="60" w:after="60" w:line="200" w:lineRule="exact"/>
      <w:jc w:val="center"/>
    </w:pPr>
    <w:rPr>
      <w:b/>
      <w:sz w:val="18"/>
      <w:szCs w:val="20"/>
      <w:lang w:val="fr-FR"/>
    </w:rPr>
  </w:style>
  <w:style w:type="paragraph" w:customStyle="1" w:styleId="Tabtxt">
    <w:name w:val="Tabtxt"/>
    <w:basedOn w:val="Normal"/>
    <w:rsid w:val="0055255B"/>
    <w:pPr>
      <w:keepNext/>
      <w:spacing w:before="60" w:after="60" w:line="200" w:lineRule="exact"/>
      <w:jc w:val="center"/>
    </w:pPr>
    <w:rPr>
      <w:sz w:val="18"/>
      <w:szCs w:val="18"/>
      <w:lang w:val="fr-FR" w:eastAsia="fr-FR"/>
    </w:rPr>
  </w:style>
  <w:style w:type="paragraph" w:styleId="CommentSubject">
    <w:name w:val="annotation subject"/>
    <w:basedOn w:val="CommentText"/>
    <w:next w:val="CommentText"/>
    <w:link w:val="CommentSubjectChar"/>
    <w:uiPriority w:val="99"/>
    <w:semiHidden/>
    <w:unhideWhenUsed/>
    <w:rsid w:val="00812E25"/>
    <w:rPr>
      <w:b/>
      <w:bCs/>
    </w:rPr>
  </w:style>
  <w:style w:type="character" w:customStyle="1" w:styleId="CommentSubjectChar">
    <w:name w:val="Comment Subject Char"/>
    <w:basedOn w:val="CommentTextChar"/>
    <w:link w:val="CommentSubject"/>
    <w:uiPriority w:val="99"/>
    <w:semiHidden/>
    <w:rsid w:val="00812E25"/>
    <w:rPr>
      <w:rFonts w:ascii="Arial" w:eastAsia="SimSun" w:hAnsi="Arial" w:cs="Arial"/>
      <w:b/>
      <w:bCs/>
      <w:sz w:val="20"/>
      <w:szCs w:val="20"/>
      <w:lang w:val="en-US" w:eastAsia="zh-CN"/>
    </w:rPr>
  </w:style>
  <w:style w:type="paragraph" w:styleId="Revision">
    <w:name w:val="Revision"/>
    <w:hidden/>
    <w:uiPriority w:val="99"/>
    <w:semiHidden/>
    <w:rsid w:val="00812E25"/>
    <w:pPr>
      <w:spacing w:after="0" w:line="240" w:lineRule="auto"/>
    </w:pPr>
    <w:rPr>
      <w:rFonts w:ascii="Arial" w:eastAsia="SimSun" w:hAnsi="Arial" w:cs="Arial"/>
      <w:szCs w:val="24"/>
      <w:lang w:val="en-US" w:eastAsia="zh-CN"/>
    </w:rPr>
  </w:style>
  <w:style w:type="character" w:styleId="FollowedHyperlink">
    <w:name w:val="FollowedHyperlink"/>
    <w:basedOn w:val="DefaultParagraphFont"/>
    <w:uiPriority w:val="99"/>
    <w:semiHidden/>
    <w:unhideWhenUsed/>
    <w:rsid w:val="00113B56"/>
    <w:rPr>
      <w:color w:val="800080" w:themeColor="followedHyperlink"/>
      <w:u w:val="single"/>
    </w:rPr>
  </w:style>
  <w:style w:type="paragraph" w:styleId="Header">
    <w:name w:val="header"/>
    <w:basedOn w:val="Normal"/>
    <w:link w:val="HeaderChar"/>
    <w:uiPriority w:val="99"/>
    <w:unhideWhenUsed/>
    <w:rsid w:val="00EC20F9"/>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EC20F9"/>
    <w:rPr>
      <w:rFonts w:ascii="Arial" w:eastAsia="SimSun" w:hAnsi="Arial" w:cs="Arial"/>
      <w:szCs w:val="24"/>
      <w:lang w:val="en-US" w:eastAsia="zh-CN"/>
    </w:rPr>
  </w:style>
  <w:style w:type="paragraph" w:styleId="Footer">
    <w:name w:val="footer"/>
    <w:basedOn w:val="Normal"/>
    <w:link w:val="FooterChar"/>
    <w:uiPriority w:val="99"/>
    <w:unhideWhenUsed/>
    <w:rsid w:val="00EC20F9"/>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EC20F9"/>
    <w:rPr>
      <w:rFonts w:ascii="Arial" w:eastAsia="SimSun" w:hAnsi="Arial" w:cs="Arial"/>
      <w:szCs w:val="24"/>
      <w:lang w:val="en-US" w:eastAsia="zh-CN"/>
    </w:rPr>
  </w:style>
  <w:style w:type="paragraph" w:customStyle="1" w:styleId="Chapitre">
    <w:name w:val="Chapitre"/>
    <w:basedOn w:val="Heading1"/>
    <w:link w:val="ChapitreCar"/>
    <w:rsid w:val="00AB3658"/>
    <w:pPr>
      <w:spacing w:after="480" w:line="840" w:lineRule="exact"/>
    </w:pPr>
    <w:rPr>
      <w:rFonts w:ascii="Arial Gras" w:hAnsi="Arial Gras"/>
      <w:b/>
      <w:caps/>
      <w:noProof/>
      <w:snapToGrid w:val="0"/>
      <w:color w:val="3366FF"/>
      <w:sz w:val="70"/>
      <w:szCs w:val="70"/>
    </w:rPr>
  </w:style>
  <w:style w:type="character" w:customStyle="1" w:styleId="ChapitreCar">
    <w:name w:val="Chapitre Car"/>
    <w:link w:val="Chapitre"/>
    <w:rsid w:val="00AB3658"/>
    <w:rPr>
      <w:rFonts w:ascii="Arial Gras" w:eastAsia="Times New Roman" w:hAnsi="Arial Gras" w:cs="Arial"/>
      <w:b/>
      <w:bCs/>
      <w:caps/>
      <w:noProof/>
      <w:snapToGrid w:val="0"/>
      <w:color w:val="3366FF"/>
      <w:kern w:val="28"/>
      <w:sz w:val="70"/>
      <w:szCs w:val="70"/>
      <w:lang w:val="en-GB" w:eastAsia="zh-CN"/>
    </w:rPr>
  </w:style>
  <w:style w:type="paragraph" w:customStyle="1" w:styleId="Titcoul">
    <w:name w:val="Titcoul"/>
    <w:basedOn w:val="Heading1"/>
    <w:link w:val="TitcoulCar"/>
    <w:rsid w:val="00AB3658"/>
    <w:pPr>
      <w:pBdr>
        <w:bottom w:val="none" w:sz="0" w:space="0" w:color="auto"/>
      </w:pBdr>
      <w:spacing w:before="480" w:after="480" w:line="480" w:lineRule="exact"/>
    </w:pPr>
    <w:rPr>
      <w:rFonts w:ascii="Arial Gras" w:hAnsi="Arial Gras"/>
      <w:b/>
      <w:caps/>
      <w:noProof/>
      <w:snapToGrid w:val="0"/>
      <w:color w:val="3366FF"/>
      <w:sz w:val="32"/>
      <w:szCs w:val="32"/>
    </w:rPr>
  </w:style>
  <w:style w:type="character" w:customStyle="1" w:styleId="TitcoulCar">
    <w:name w:val="Titcoul Car"/>
    <w:link w:val="Titcoul"/>
    <w:rsid w:val="00AB3658"/>
    <w:rPr>
      <w:rFonts w:ascii="Arial Gras" w:eastAsia="Times New Roman" w:hAnsi="Arial Gras" w:cs="Arial"/>
      <w:b/>
      <w:bCs/>
      <w:caps/>
      <w:noProof/>
      <w:snapToGrid w:val="0"/>
      <w:color w:val="3366FF"/>
      <w:kern w:val="28"/>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rticipatory_vide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Archiv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11E4-CA0F-47AC-A7DF-1A15E40C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828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Kim, Dain</cp:lastModifiedBy>
  <cp:revision>14</cp:revision>
  <dcterms:created xsi:type="dcterms:W3CDTF">2015-08-04T14:45:00Z</dcterms:created>
  <dcterms:modified xsi:type="dcterms:W3CDTF">2018-03-20T13:10:00Z</dcterms:modified>
</cp:coreProperties>
</file>