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3B" w:rsidRPr="003A703B" w:rsidRDefault="00A14E77" w:rsidP="003A703B">
      <w:pPr>
        <w:pStyle w:val="Chapitre"/>
      </w:pPr>
      <w:bookmarkStart w:id="0" w:name="_GoBack"/>
      <w:bookmarkEnd w:id="0"/>
      <w:r w:rsidRPr="003A703B">
        <w:t xml:space="preserve">Unité </w:t>
      </w:r>
      <w:r w:rsidR="0012449F" w:rsidRPr="003A703B">
        <w:t>34</w:t>
      </w:r>
    </w:p>
    <w:p w:rsidR="00A14E77" w:rsidRDefault="00A14E77" w:rsidP="003A703B">
      <w:pPr>
        <w:keepNext/>
        <w:keepLines/>
        <w:tabs>
          <w:tab w:val="left" w:pos="567"/>
        </w:tabs>
        <w:snapToGrid w:val="0"/>
        <w:spacing w:before="240" w:after="240" w:line="240" w:lineRule="auto"/>
        <w:outlineLvl w:val="0"/>
        <w:rPr>
          <w:rFonts w:ascii="Arial Gras" w:eastAsia="Times New Roman" w:hAnsi="Arial Gras" w:cs="Arial"/>
          <w:b/>
          <w:bCs/>
          <w:caps/>
          <w:noProof/>
          <w:snapToGrid w:val="0"/>
          <w:color w:val="3366FF"/>
          <w:kern w:val="28"/>
          <w:sz w:val="32"/>
          <w:szCs w:val="32"/>
          <w:lang w:val="en-GB" w:eastAsia="zh-CN"/>
        </w:rPr>
      </w:pPr>
      <w:r w:rsidRPr="003A703B">
        <w:rPr>
          <w:rFonts w:ascii="Arial Bold" w:eastAsia="Times New Roman" w:hAnsi="Arial Bold" w:cs="Arial"/>
          <w:b/>
          <w:bCs/>
          <w:noProof/>
          <w:snapToGrid w:val="0"/>
          <w:color w:val="3366FF"/>
          <w:kern w:val="28"/>
          <w:sz w:val="32"/>
          <w:szCs w:val="32"/>
          <w:lang w:val="en-GB" w:eastAsia="zh-CN"/>
        </w:rPr>
        <w:t>Document à distribuer</w:t>
      </w:r>
      <w:r w:rsidR="00056B62" w:rsidRPr="003A703B">
        <w:rPr>
          <w:rFonts w:ascii="Arial Bold" w:eastAsia="Times New Roman" w:hAnsi="Arial Bold" w:cs="Arial"/>
          <w:b/>
          <w:bCs/>
          <w:noProof/>
          <w:snapToGrid w:val="0"/>
          <w:color w:val="3366FF"/>
          <w:kern w:val="28"/>
          <w:sz w:val="32"/>
          <w:szCs w:val="32"/>
          <w:lang w:val="en-GB" w:eastAsia="zh-CN"/>
        </w:rPr>
        <w:t> </w:t>
      </w:r>
      <w:r w:rsidR="00371C80" w:rsidRPr="003A703B">
        <w:rPr>
          <w:rFonts w:ascii="Arial Bold" w:eastAsia="Times New Roman" w:hAnsi="Arial Bold" w:cs="Arial"/>
          <w:b/>
          <w:bCs/>
          <w:noProof/>
          <w:snapToGrid w:val="0"/>
          <w:color w:val="3366FF"/>
          <w:kern w:val="28"/>
          <w:sz w:val="32"/>
          <w:szCs w:val="32"/>
          <w:lang w:val="en-GB" w:eastAsia="zh-CN"/>
        </w:rPr>
        <w:t>:</w:t>
      </w:r>
      <w:r w:rsidR="00371C80">
        <w:rPr>
          <w:rFonts w:ascii="Arial" w:eastAsia="Times New Roman" w:hAnsi="Arial" w:cs="Times New Roman"/>
          <w:bCs/>
          <w:snapToGrid w:val="0"/>
          <w:kern w:val="28"/>
          <w:sz w:val="52"/>
          <w:szCs w:val="52"/>
          <w:lang w:eastAsia="zh-CN"/>
        </w:rPr>
        <w:t xml:space="preserve"> </w:t>
      </w:r>
      <w:r w:rsidR="003A703B">
        <w:rPr>
          <w:rFonts w:ascii="Arial" w:eastAsia="Times New Roman" w:hAnsi="Arial" w:cs="Times New Roman"/>
          <w:bCs/>
          <w:snapToGrid w:val="0"/>
          <w:kern w:val="28"/>
          <w:sz w:val="52"/>
          <w:szCs w:val="52"/>
          <w:lang w:eastAsia="zh-CN"/>
        </w:rPr>
        <w:br/>
      </w:r>
      <w:r w:rsidRPr="003A703B">
        <w:rPr>
          <w:rFonts w:ascii="Arial Gras" w:eastAsia="Times New Roman" w:hAnsi="Arial Gras" w:cs="Arial"/>
          <w:b/>
          <w:bCs/>
          <w:caps/>
          <w:noProof/>
          <w:snapToGrid w:val="0"/>
          <w:color w:val="3366FF"/>
          <w:kern w:val="28"/>
          <w:sz w:val="32"/>
          <w:szCs w:val="32"/>
          <w:lang w:val="en-GB" w:eastAsia="zh-CN"/>
        </w:rPr>
        <w:t>Questionnaire à choix multiple</w:t>
      </w:r>
    </w:p>
    <w:p w:rsidR="00A14E77" w:rsidRPr="003A703B" w:rsidRDefault="00A14E77" w:rsidP="003A703B">
      <w:pPr>
        <w:keepNext/>
        <w:keepLines/>
        <w:spacing w:before="360" w:after="120" w:line="300" w:lineRule="exact"/>
        <w:outlineLvl w:val="3"/>
        <w:rPr>
          <w:rFonts w:ascii="Arial" w:eastAsia="SimSun" w:hAnsi="Arial" w:cs="Times New Roman"/>
          <w:b/>
          <w:bCs/>
          <w:caps/>
          <w:sz w:val="20"/>
          <w:szCs w:val="24"/>
          <w:lang w:val="it-IT"/>
        </w:rPr>
      </w:pPr>
      <w:r w:rsidRPr="003A703B">
        <w:rPr>
          <w:rFonts w:ascii="Arial" w:eastAsia="SimSun" w:hAnsi="Arial" w:cs="Times New Roman"/>
          <w:b/>
          <w:bCs/>
          <w:caps/>
          <w:sz w:val="20"/>
          <w:szCs w:val="24"/>
          <w:lang w:val="it-IT"/>
        </w:rPr>
        <w:t>Question 1</w:t>
      </w:r>
    </w:p>
    <w:p w:rsidR="00A14E77" w:rsidRPr="007B6194" w:rsidRDefault="00A14E77" w:rsidP="003A703B">
      <w:pPr>
        <w:tabs>
          <w:tab w:val="left" w:pos="567"/>
        </w:tabs>
        <w:snapToGrid w:val="0"/>
        <w:spacing w:after="60" w:line="280" w:lineRule="exact"/>
        <w:ind w:left="851"/>
        <w:jc w:val="both"/>
        <w:rPr>
          <w:rFonts w:ascii="Arial" w:eastAsia="SimSun" w:hAnsi="Arial" w:cs="Arial"/>
          <w:sz w:val="20"/>
          <w:szCs w:val="24"/>
          <w:lang w:eastAsia="zh-CN"/>
        </w:rPr>
      </w:pPr>
      <w:r w:rsidRPr="007B6194">
        <w:rPr>
          <w:rFonts w:ascii="Arial" w:eastAsia="SimSun" w:hAnsi="Arial" w:cs="Arial"/>
          <w:sz w:val="20"/>
          <w:szCs w:val="24"/>
          <w:lang w:eastAsia="zh-CN"/>
        </w:rPr>
        <w:t>Quelles sont les raisons qui peuvent amener à opter pour une approche d’inventaire participatif dans le contexte de la mise en œuvre de la Convention pour la sauvegarde du patrimoine culturel immatériel ?</w:t>
      </w:r>
      <w:r w:rsidR="001E70A3" w:rsidRPr="003A703B">
        <w:rPr>
          <w:rFonts w:ascii="Arial" w:eastAsia="SimSun" w:hAnsi="Arial" w:cs="Arial"/>
          <w:sz w:val="20"/>
          <w:szCs w:val="24"/>
          <w:vertAlign w:val="superscript"/>
          <w:lang w:val="en-US" w:eastAsia="zh-CN"/>
        </w:rPr>
        <w:footnoteReference w:id="1"/>
      </w:r>
    </w:p>
    <w:p w:rsidR="00A14E77" w:rsidRPr="003A703B" w:rsidRDefault="00A14E77" w:rsidP="003A703B">
      <w:pPr>
        <w:numPr>
          <w:ilvl w:val="0"/>
          <w:numId w:val="1"/>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 xml:space="preserve">Parce que la participation des communautés à l’identification et à la définition du </w:t>
      </w:r>
      <w:r w:rsidR="00231209" w:rsidRPr="003A703B">
        <w:rPr>
          <w:rFonts w:ascii="Arial" w:eastAsia="SimSun" w:hAnsi="Arial" w:cs="Arial"/>
          <w:noProof/>
          <w:sz w:val="20"/>
          <w:szCs w:val="24"/>
          <w:lang w:val="en-US"/>
        </w:rPr>
        <w:t xml:space="preserve">patrimoine culturel immatériel </w:t>
      </w:r>
      <w:r w:rsidRPr="003A703B">
        <w:rPr>
          <w:rFonts w:ascii="Arial" w:eastAsia="SimSun" w:hAnsi="Arial" w:cs="Arial"/>
          <w:noProof/>
          <w:sz w:val="20"/>
          <w:szCs w:val="24"/>
          <w:lang w:val="en-US"/>
        </w:rPr>
        <w:t>est une prescription de la Convention et de ses Directives opérationnelles (articles 2.1 et 11 [b], DO 80).</w:t>
      </w:r>
    </w:p>
    <w:p w:rsidR="00A14E77" w:rsidRPr="003A703B" w:rsidRDefault="00A14E77" w:rsidP="003A703B">
      <w:pPr>
        <w:numPr>
          <w:ilvl w:val="0"/>
          <w:numId w:val="1"/>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Sachant que le patrimoine immatériel n’existe pas indépendamment des personnes qui le créent et l’entretiennent, toute tentative de sauvegarde (y compris l’inventaire) sera vouée à l’échec sans leur consentement, leur présence et leur engagement.</w:t>
      </w:r>
    </w:p>
    <w:p w:rsidR="00A14E77" w:rsidRPr="003A703B" w:rsidRDefault="00A14E77" w:rsidP="003A703B">
      <w:pPr>
        <w:numPr>
          <w:ilvl w:val="0"/>
          <w:numId w:val="1"/>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Parce qu’un inventaire participatif permettra d’instaurer des relations entre les communautés, l’État et d’autres instances afin d’assurer la promotion, la gestion et la sauvegarde du PCI.</w:t>
      </w:r>
    </w:p>
    <w:p w:rsidR="00A14E77" w:rsidRPr="003A703B" w:rsidRDefault="00A14E77" w:rsidP="003A703B">
      <w:pPr>
        <w:keepNext/>
        <w:keepLines/>
        <w:spacing w:before="360" w:after="120" w:line="300" w:lineRule="exact"/>
        <w:outlineLvl w:val="3"/>
        <w:rPr>
          <w:rFonts w:ascii="Arial" w:eastAsia="SimSun" w:hAnsi="Arial" w:cs="Times New Roman"/>
          <w:b/>
          <w:bCs/>
          <w:caps/>
          <w:sz w:val="20"/>
          <w:szCs w:val="24"/>
          <w:lang w:val="it-IT"/>
        </w:rPr>
      </w:pPr>
      <w:r w:rsidRPr="003A703B">
        <w:rPr>
          <w:rFonts w:ascii="Arial" w:eastAsia="SimSun" w:hAnsi="Arial" w:cs="Times New Roman"/>
          <w:b/>
          <w:bCs/>
          <w:caps/>
          <w:sz w:val="20"/>
          <w:szCs w:val="24"/>
          <w:lang w:val="it-IT"/>
        </w:rPr>
        <w:t>Question 2</w:t>
      </w:r>
    </w:p>
    <w:p w:rsidR="00A14E77" w:rsidRPr="003A703B" w:rsidRDefault="00A14E77" w:rsidP="003A703B">
      <w:pPr>
        <w:tabs>
          <w:tab w:val="left" w:pos="567"/>
        </w:tabs>
        <w:snapToGrid w:val="0"/>
        <w:spacing w:after="60" w:line="280" w:lineRule="exact"/>
        <w:ind w:left="851"/>
        <w:jc w:val="both"/>
        <w:rPr>
          <w:rFonts w:ascii="Arial" w:eastAsia="SimSun" w:hAnsi="Arial" w:cs="Arial"/>
          <w:sz w:val="20"/>
          <w:szCs w:val="24"/>
          <w:lang w:val="en-US" w:eastAsia="zh-CN"/>
        </w:rPr>
      </w:pPr>
      <w:proofErr w:type="spellStart"/>
      <w:r w:rsidRPr="003A703B">
        <w:rPr>
          <w:rFonts w:ascii="Arial" w:eastAsia="SimSun" w:hAnsi="Arial" w:cs="Arial"/>
          <w:sz w:val="20"/>
          <w:szCs w:val="24"/>
          <w:lang w:val="en-US" w:eastAsia="zh-CN"/>
        </w:rPr>
        <w:t>Quel</w:t>
      </w:r>
      <w:proofErr w:type="spellEnd"/>
      <w:r w:rsidRPr="003A703B">
        <w:rPr>
          <w:rFonts w:ascii="Arial" w:eastAsia="SimSun" w:hAnsi="Arial" w:cs="Arial"/>
          <w:sz w:val="20"/>
          <w:szCs w:val="24"/>
          <w:lang w:val="en-US" w:eastAsia="zh-CN"/>
        </w:rPr>
        <w:t xml:space="preserve"> rapport y a-t-</w:t>
      </w:r>
      <w:proofErr w:type="spellStart"/>
      <w:r w:rsidRPr="003A703B">
        <w:rPr>
          <w:rFonts w:ascii="Arial" w:eastAsia="SimSun" w:hAnsi="Arial" w:cs="Arial"/>
          <w:sz w:val="20"/>
          <w:szCs w:val="24"/>
          <w:lang w:val="en-US" w:eastAsia="zh-CN"/>
        </w:rPr>
        <w:t>il</w:t>
      </w:r>
      <w:proofErr w:type="spellEnd"/>
      <w:r w:rsidRPr="003A703B">
        <w:rPr>
          <w:rFonts w:ascii="Arial" w:eastAsia="SimSun" w:hAnsi="Arial" w:cs="Arial"/>
          <w:sz w:val="20"/>
          <w:szCs w:val="24"/>
          <w:lang w:val="en-US" w:eastAsia="zh-CN"/>
        </w:rPr>
        <w:t xml:space="preserve"> entre la </w:t>
      </w:r>
      <w:proofErr w:type="spellStart"/>
      <w:r w:rsidRPr="003A703B">
        <w:rPr>
          <w:rFonts w:ascii="Arial" w:eastAsia="SimSun" w:hAnsi="Arial" w:cs="Arial"/>
          <w:sz w:val="20"/>
          <w:szCs w:val="24"/>
          <w:lang w:val="en-US" w:eastAsia="zh-CN"/>
        </w:rPr>
        <w:t>sauvegarde</w:t>
      </w:r>
      <w:proofErr w:type="spellEnd"/>
      <w:r w:rsidRPr="003A703B">
        <w:rPr>
          <w:rFonts w:ascii="Arial" w:eastAsia="SimSun" w:hAnsi="Arial" w:cs="Arial"/>
          <w:sz w:val="20"/>
          <w:szCs w:val="24"/>
          <w:lang w:val="en-US" w:eastAsia="zh-CN"/>
        </w:rPr>
        <w:t xml:space="preserve"> du </w:t>
      </w:r>
      <w:proofErr w:type="spellStart"/>
      <w:r w:rsidRPr="003A703B">
        <w:rPr>
          <w:rFonts w:ascii="Arial" w:eastAsia="SimSun" w:hAnsi="Arial" w:cs="Arial"/>
          <w:sz w:val="20"/>
          <w:szCs w:val="24"/>
          <w:lang w:val="en-US" w:eastAsia="zh-CN"/>
        </w:rPr>
        <w:t>patrimoine</w:t>
      </w:r>
      <w:proofErr w:type="spellEnd"/>
      <w:r w:rsidRPr="003A703B">
        <w:rPr>
          <w:rFonts w:ascii="Arial" w:eastAsia="SimSun" w:hAnsi="Arial" w:cs="Arial"/>
          <w:sz w:val="20"/>
          <w:szCs w:val="24"/>
          <w:lang w:val="en-US" w:eastAsia="zh-CN"/>
        </w:rPr>
        <w:t xml:space="preserve"> </w:t>
      </w:r>
      <w:proofErr w:type="spellStart"/>
      <w:r w:rsidRPr="003A703B">
        <w:rPr>
          <w:rFonts w:ascii="Arial" w:eastAsia="SimSun" w:hAnsi="Arial" w:cs="Arial"/>
          <w:sz w:val="20"/>
          <w:szCs w:val="24"/>
          <w:lang w:val="en-US" w:eastAsia="zh-CN"/>
        </w:rPr>
        <w:t>culturel</w:t>
      </w:r>
      <w:proofErr w:type="spellEnd"/>
      <w:r w:rsidRPr="003A703B">
        <w:rPr>
          <w:rFonts w:ascii="Arial" w:eastAsia="SimSun" w:hAnsi="Arial" w:cs="Arial"/>
          <w:sz w:val="20"/>
          <w:szCs w:val="24"/>
          <w:lang w:val="en-US" w:eastAsia="zh-CN"/>
        </w:rPr>
        <w:t xml:space="preserve"> immatériel et l’inventaire dans le contexte de la Convention ?</w:t>
      </w:r>
    </w:p>
    <w:p w:rsidR="00A14E77" w:rsidRPr="003A703B" w:rsidRDefault="00A14E77" w:rsidP="003A703B">
      <w:pPr>
        <w:numPr>
          <w:ilvl w:val="0"/>
          <w:numId w:val="2"/>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L’inventaire n’est pas une fin en soi mais une étape décisive dans l’instauration d’un dialogue pour la sauvegarde du PCI.</w:t>
      </w:r>
    </w:p>
    <w:p w:rsidR="00A14E77" w:rsidRPr="003A703B" w:rsidRDefault="00A14E77" w:rsidP="003A703B">
      <w:pPr>
        <w:numPr>
          <w:ilvl w:val="0"/>
          <w:numId w:val="2"/>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Un plan de sauvegarde est un préalable à l’établissement d’un inventaire du patrimoine culturel immatériel.</w:t>
      </w:r>
    </w:p>
    <w:p w:rsidR="00A14E77" w:rsidRPr="003A703B" w:rsidRDefault="00A14E77" w:rsidP="003A703B">
      <w:pPr>
        <w:numPr>
          <w:ilvl w:val="0"/>
          <w:numId w:val="2"/>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Il n’y a pas de rapport direct entre inventaire et sauvegarde. L’inventaire peut être un exercice autonome.</w:t>
      </w:r>
    </w:p>
    <w:p w:rsidR="00A14E77" w:rsidRPr="003A703B" w:rsidRDefault="00A14E77" w:rsidP="003A703B">
      <w:pPr>
        <w:keepNext/>
        <w:keepLines/>
        <w:spacing w:before="360" w:after="120" w:line="300" w:lineRule="exact"/>
        <w:outlineLvl w:val="3"/>
        <w:rPr>
          <w:rFonts w:ascii="Arial" w:eastAsia="SimSun" w:hAnsi="Arial" w:cs="Times New Roman"/>
          <w:b/>
          <w:bCs/>
          <w:caps/>
          <w:sz w:val="20"/>
          <w:szCs w:val="24"/>
          <w:lang w:val="it-IT"/>
        </w:rPr>
      </w:pPr>
      <w:r w:rsidRPr="003A703B">
        <w:rPr>
          <w:rFonts w:ascii="Arial" w:eastAsia="SimSun" w:hAnsi="Arial" w:cs="Times New Roman"/>
          <w:b/>
          <w:bCs/>
          <w:caps/>
          <w:sz w:val="20"/>
          <w:szCs w:val="24"/>
          <w:lang w:val="it-IT"/>
        </w:rPr>
        <w:t>Question 3</w:t>
      </w:r>
    </w:p>
    <w:p w:rsidR="00A14E77" w:rsidRPr="003A703B" w:rsidRDefault="00A14E77" w:rsidP="003A703B">
      <w:pPr>
        <w:tabs>
          <w:tab w:val="left" w:pos="567"/>
        </w:tabs>
        <w:snapToGrid w:val="0"/>
        <w:spacing w:after="60" w:line="280" w:lineRule="exact"/>
        <w:ind w:left="851"/>
        <w:jc w:val="both"/>
        <w:rPr>
          <w:rFonts w:ascii="Arial" w:eastAsia="SimSun" w:hAnsi="Arial" w:cs="Arial"/>
          <w:sz w:val="20"/>
          <w:szCs w:val="24"/>
          <w:lang w:val="en-US" w:eastAsia="zh-CN"/>
        </w:rPr>
      </w:pPr>
      <w:r w:rsidRPr="003A703B">
        <w:rPr>
          <w:rFonts w:ascii="Arial" w:eastAsia="SimSun" w:hAnsi="Arial" w:cs="Arial"/>
          <w:sz w:val="20"/>
          <w:szCs w:val="24"/>
          <w:lang w:val="en-US" w:eastAsia="zh-CN"/>
        </w:rPr>
        <w:t>Laquelle de ces caractéristiques ne s’applique PAS à l’inventaire participatif ?</w:t>
      </w:r>
    </w:p>
    <w:p w:rsidR="00A14E77" w:rsidRPr="003A703B" w:rsidRDefault="003A703B" w:rsidP="003A703B">
      <w:pPr>
        <w:numPr>
          <w:ilvl w:val="0"/>
          <w:numId w:val="3"/>
        </w:numPr>
        <w:tabs>
          <w:tab w:val="left" w:pos="567"/>
        </w:tabs>
        <w:snapToGrid w:val="0"/>
        <w:spacing w:before="120" w:after="60" w:line="280" w:lineRule="exact"/>
        <w:ind w:left="1571" w:hanging="360"/>
        <w:jc w:val="both"/>
        <w:rPr>
          <w:rFonts w:ascii="Arial" w:eastAsia="SimSun" w:hAnsi="Arial" w:cs="Arial"/>
          <w:noProof/>
          <w:sz w:val="20"/>
          <w:szCs w:val="24"/>
          <w:lang w:val="en-US"/>
        </w:rPr>
      </w:pPr>
      <w:r>
        <w:rPr>
          <w:rFonts w:ascii="Arial" w:eastAsia="SimSun" w:hAnsi="Arial" w:cs="Arial"/>
          <w:noProof/>
          <w:sz w:val="20"/>
          <w:szCs w:val="24"/>
          <w:lang w:val="en-US"/>
        </w:rPr>
        <w:t>Le</w:t>
      </w:r>
      <w:r w:rsidR="00506A12" w:rsidRPr="003A703B">
        <w:rPr>
          <w:rFonts w:ascii="Arial" w:eastAsia="SimSun" w:hAnsi="Arial" w:cs="Arial"/>
          <w:noProof/>
          <w:sz w:val="20"/>
          <w:szCs w:val="24"/>
          <w:lang w:val="en-US"/>
        </w:rPr>
        <w:t xml:space="preserve"> Travail d’Inventaire Participatif </w:t>
      </w:r>
      <w:r w:rsidR="00A14E77" w:rsidRPr="003A703B">
        <w:rPr>
          <w:rFonts w:ascii="Arial" w:eastAsia="SimSun" w:hAnsi="Arial" w:cs="Arial"/>
          <w:noProof/>
          <w:sz w:val="20"/>
          <w:szCs w:val="24"/>
          <w:lang w:val="en-US"/>
        </w:rPr>
        <w:t>est un processus créatif de production et de systématisation de l’information avec et au sein de la communauté.</w:t>
      </w:r>
    </w:p>
    <w:p w:rsidR="00A14E77" w:rsidRPr="003A703B" w:rsidRDefault="00A14E77" w:rsidP="003A703B">
      <w:pPr>
        <w:numPr>
          <w:ilvl w:val="0"/>
          <w:numId w:val="3"/>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3A703B">
        <w:rPr>
          <w:rFonts w:ascii="Arial" w:eastAsia="SimSun" w:hAnsi="Arial" w:cs="Arial"/>
          <w:noProof/>
          <w:sz w:val="20"/>
          <w:szCs w:val="24"/>
          <w:lang w:val="en-US"/>
        </w:rPr>
        <w:t xml:space="preserve">Le </w:t>
      </w:r>
      <w:r w:rsidR="00506A12" w:rsidRPr="003A703B">
        <w:rPr>
          <w:rFonts w:ascii="Arial" w:eastAsia="SimSun" w:hAnsi="Arial" w:cs="Arial"/>
          <w:noProof/>
          <w:sz w:val="20"/>
          <w:szCs w:val="24"/>
          <w:lang w:val="en-US"/>
        </w:rPr>
        <w:t xml:space="preserve">Travail d’Inventaire Participatif </w:t>
      </w:r>
      <w:r w:rsidRPr="003A703B">
        <w:rPr>
          <w:rFonts w:ascii="Arial" w:eastAsia="SimSun" w:hAnsi="Arial" w:cs="Arial"/>
          <w:noProof/>
          <w:sz w:val="20"/>
          <w:szCs w:val="24"/>
          <w:lang w:val="en-US"/>
        </w:rPr>
        <w:t xml:space="preserve"> reconnaît les experts et les chercheurs extérieurs comme des protagonistes au cœur du processus ; la documentation dans le contexte du TIP repose avant tout sur les textes universitaires.</w:t>
      </w:r>
    </w:p>
    <w:p w:rsidR="00A14E77" w:rsidRPr="003A703B" w:rsidRDefault="00A14E77" w:rsidP="003A703B">
      <w:pPr>
        <w:numPr>
          <w:ilvl w:val="0"/>
          <w:numId w:val="3"/>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3A703B">
        <w:rPr>
          <w:rFonts w:ascii="Arial" w:eastAsia="SimSun" w:hAnsi="Arial" w:cs="Arial"/>
          <w:noProof/>
          <w:sz w:val="20"/>
          <w:szCs w:val="24"/>
          <w:lang w:val="en-US"/>
        </w:rPr>
        <w:lastRenderedPageBreak/>
        <w:t xml:space="preserve">Le </w:t>
      </w:r>
      <w:r w:rsidR="00506A12" w:rsidRPr="003A703B">
        <w:rPr>
          <w:rFonts w:ascii="Arial" w:eastAsia="SimSun" w:hAnsi="Arial" w:cs="Arial"/>
          <w:noProof/>
          <w:sz w:val="20"/>
          <w:szCs w:val="24"/>
          <w:lang w:val="en-US"/>
        </w:rPr>
        <w:t xml:space="preserve">Travail d’Inventaire Participatif </w:t>
      </w:r>
      <w:r w:rsidRPr="003A703B">
        <w:rPr>
          <w:rFonts w:ascii="Arial" w:eastAsia="SimSun" w:hAnsi="Arial" w:cs="Arial"/>
          <w:noProof/>
          <w:sz w:val="20"/>
          <w:szCs w:val="24"/>
          <w:lang w:val="en-US"/>
        </w:rPr>
        <w:t xml:space="preserve"> reconnaît la diversité au sein d’une communauté par rapport à son PCI ; il respecte les différences et les divergences d’opinion.</w:t>
      </w:r>
    </w:p>
    <w:p w:rsidR="00A14E77" w:rsidRPr="003A703B" w:rsidRDefault="00A14E77" w:rsidP="003A703B">
      <w:pPr>
        <w:keepNext/>
        <w:keepLines/>
        <w:spacing w:before="360" w:after="120" w:line="300" w:lineRule="exact"/>
        <w:outlineLvl w:val="3"/>
        <w:rPr>
          <w:rFonts w:ascii="Arial" w:eastAsia="SimSun" w:hAnsi="Arial" w:cs="Times New Roman"/>
          <w:b/>
          <w:bCs/>
          <w:caps/>
          <w:sz w:val="20"/>
          <w:szCs w:val="24"/>
          <w:lang w:val="it-IT"/>
        </w:rPr>
      </w:pPr>
      <w:r w:rsidRPr="003A703B">
        <w:rPr>
          <w:rFonts w:ascii="Arial" w:eastAsia="SimSun" w:hAnsi="Arial" w:cs="Times New Roman"/>
          <w:b/>
          <w:bCs/>
          <w:caps/>
          <w:sz w:val="20"/>
          <w:szCs w:val="24"/>
          <w:lang w:val="it-IT"/>
        </w:rPr>
        <w:t>Question 4</w:t>
      </w:r>
    </w:p>
    <w:p w:rsidR="00A14E77" w:rsidRPr="003A703B" w:rsidRDefault="00A14E77" w:rsidP="003A703B">
      <w:pPr>
        <w:tabs>
          <w:tab w:val="left" w:pos="567"/>
        </w:tabs>
        <w:snapToGrid w:val="0"/>
        <w:spacing w:after="60" w:line="280" w:lineRule="exact"/>
        <w:ind w:left="851"/>
        <w:jc w:val="both"/>
        <w:rPr>
          <w:rFonts w:ascii="Arial" w:eastAsia="SimSun" w:hAnsi="Arial" w:cs="Arial"/>
          <w:sz w:val="20"/>
          <w:szCs w:val="24"/>
          <w:lang w:val="en-US" w:eastAsia="zh-CN"/>
        </w:rPr>
      </w:pPr>
      <w:r w:rsidRPr="003A703B">
        <w:rPr>
          <w:rFonts w:ascii="Arial" w:eastAsia="SimSun" w:hAnsi="Arial" w:cs="Arial"/>
          <w:sz w:val="20"/>
          <w:szCs w:val="24"/>
          <w:lang w:val="en-US" w:eastAsia="zh-CN"/>
        </w:rPr>
        <w:t>En élaborant leur cadre d’inventaire, les États parties :</w:t>
      </w:r>
    </w:p>
    <w:p w:rsidR="00A14E77" w:rsidRPr="003A703B" w:rsidRDefault="00A14E77" w:rsidP="003A703B">
      <w:pPr>
        <w:numPr>
          <w:ilvl w:val="0"/>
          <w:numId w:val="4"/>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sont tenus d’utiliser le modèle de cadre UNESCO dans son intégralité ;</w:t>
      </w:r>
    </w:p>
    <w:p w:rsidR="00A14E77" w:rsidRPr="003A703B" w:rsidRDefault="00A14E77" w:rsidP="003A703B">
      <w:pPr>
        <w:numPr>
          <w:ilvl w:val="0"/>
          <w:numId w:val="4"/>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peuvent organiser des inventaires du PCI de la façon qui semble la plus adaptée à leur situation ;</w:t>
      </w:r>
    </w:p>
    <w:p w:rsidR="00A14E77" w:rsidRPr="003A703B" w:rsidRDefault="00A14E77" w:rsidP="003A703B">
      <w:pPr>
        <w:numPr>
          <w:ilvl w:val="0"/>
          <w:numId w:val="4"/>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peuvent organiser des inventaires du PCI de la manière qui leur paraît la plus appropriée ; toutefois, la Convention et les DO prescrivent un certain nombre d’obligations à prendre en compte, s’agissant notamment de la participation des communautés concernées, des pratiques coutumières régissant l’accès au PCI et du consentement libre, préalable et éclairé.</w:t>
      </w:r>
    </w:p>
    <w:p w:rsidR="00A14E77" w:rsidRPr="003A703B" w:rsidRDefault="00A14E77" w:rsidP="003A703B">
      <w:pPr>
        <w:keepNext/>
        <w:keepLines/>
        <w:spacing w:before="360" w:after="120" w:line="300" w:lineRule="exact"/>
        <w:outlineLvl w:val="3"/>
        <w:rPr>
          <w:rFonts w:ascii="Arial" w:eastAsia="SimSun" w:hAnsi="Arial" w:cs="Times New Roman"/>
          <w:b/>
          <w:bCs/>
          <w:caps/>
          <w:sz w:val="20"/>
          <w:szCs w:val="24"/>
          <w:lang w:val="it-IT"/>
        </w:rPr>
      </w:pPr>
      <w:r w:rsidRPr="003A703B">
        <w:rPr>
          <w:rFonts w:ascii="Arial" w:eastAsia="SimSun" w:hAnsi="Arial" w:cs="Times New Roman"/>
          <w:b/>
          <w:bCs/>
          <w:caps/>
          <w:sz w:val="20"/>
          <w:szCs w:val="24"/>
          <w:lang w:val="it-IT"/>
        </w:rPr>
        <w:t>Question 5</w:t>
      </w:r>
    </w:p>
    <w:p w:rsidR="00A14E77" w:rsidRPr="003A703B" w:rsidRDefault="00A14E77" w:rsidP="003A703B">
      <w:pPr>
        <w:tabs>
          <w:tab w:val="left" w:pos="567"/>
        </w:tabs>
        <w:snapToGrid w:val="0"/>
        <w:spacing w:after="60" w:line="280" w:lineRule="exact"/>
        <w:ind w:left="851"/>
        <w:jc w:val="both"/>
        <w:rPr>
          <w:rFonts w:ascii="Arial" w:eastAsia="SimSun" w:hAnsi="Arial" w:cs="Arial"/>
          <w:sz w:val="20"/>
          <w:szCs w:val="24"/>
          <w:lang w:val="en-US" w:eastAsia="zh-CN"/>
        </w:rPr>
      </w:pPr>
      <w:r w:rsidRPr="003A703B">
        <w:rPr>
          <w:rFonts w:ascii="Arial" w:eastAsia="SimSun" w:hAnsi="Arial" w:cs="Arial"/>
          <w:sz w:val="20"/>
          <w:szCs w:val="24"/>
          <w:lang w:val="en-US" w:eastAsia="zh-CN"/>
        </w:rPr>
        <w:t>Vrai ou faux ? Le consentement libre, préalable et éclairé dans le contexte de l’inventaire participatif du PCI :</w:t>
      </w:r>
    </w:p>
    <w:p w:rsidR="00A14E77" w:rsidRPr="003A703B" w:rsidRDefault="00A14E77" w:rsidP="003A703B">
      <w:pPr>
        <w:numPr>
          <w:ilvl w:val="0"/>
          <w:numId w:val="5"/>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doit toujours être démontré par une preuve écrite ;</w:t>
      </w:r>
    </w:p>
    <w:p w:rsidR="00A14E77" w:rsidRPr="003A703B" w:rsidRDefault="00A14E77" w:rsidP="003A703B">
      <w:pPr>
        <w:numPr>
          <w:ilvl w:val="0"/>
          <w:numId w:val="5"/>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doit être sollicité de préférence dans la phase initiale du processus ;</w:t>
      </w:r>
    </w:p>
    <w:p w:rsidR="00A14E77" w:rsidRPr="003A703B" w:rsidRDefault="00A14E77" w:rsidP="003A703B">
      <w:pPr>
        <w:numPr>
          <w:ilvl w:val="0"/>
          <w:numId w:val="5"/>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doit être fondé sur la conscience des risques et des conséquences imprévisibles des travaux d’inventaire au nom des membres de la communauté ;</w:t>
      </w:r>
    </w:p>
    <w:p w:rsidR="00A14E77" w:rsidRPr="003A703B" w:rsidRDefault="00A14E77" w:rsidP="003A703B">
      <w:pPr>
        <w:numPr>
          <w:ilvl w:val="0"/>
          <w:numId w:val="5"/>
        </w:numPr>
        <w:tabs>
          <w:tab w:val="left" w:pos="567"/>
        </w:tabs>
        <w:snapToGrid w:val="0"/>
        <w:spacing w:before="120" w:after="60" w:line="280" w:lineRule="exact"/>
        <w:ind w:left="1571"/>
        <w:jc w:val="both"/>
        <w:rPr>
          <w:rFonts w:ascii="Arial" w:eastAsia="SimSun" w:hAnsi="Arial" w:cs="Arial"/>
          <w:noProof/>
          <w:sz w:val="20"/>
          <w:szCs w:val="24"/>
          <w:lang w:val="en-US"/>
        </w:rPr>
      </w:pPr>
      <w:r w:rsidRPr="003A703B">
        <w:rPr>
          <w:rFonts w:ascii="Arial" w:eastAsia="SimSun" w:hAnsi="Arial" w:cs="Arial"/>
          <w:noProof/>
          <w:sz w:val="20"/>
          <w:szCs w:val="24"/>
          <w:lang w:val="en-US"/>
        </w:rPr>
        <w:t>doit être octroyé par les autorités étatiques ou municipales pertinentes (tels les élus) au nom de la communauté concernée.</w:t>
      </w:r>
    </w:p>
    <w:p w:rsidR="00A14E77" w:rsidRPr="003A703B" w:rsidRDefault="00A14E77" w:rsidP="003A703B">
      <w:pPr>
        <w:keepNext/>
        <w:keepLines/>
        <w:spacing w:before="360" w:after="120" w:line="300" w:lineRule="exact"/>
        <w:outlineLvl w:val="3"/>
        <w:rPr>
          <w:rFonts w:ascii="Arial" w:eastAsia="SimSun" w:hAnsi="Arial" w:cs="Times New Roman"/>
          <w:b/>
          <w:bCs/>
          <w:caps/>
          <w:sz w:val="20"/>
          <w:szCs w:val="24"/>
          <w:lang w:val="it-IT"/>
        </w:rPr>
      </w:pPr>
      <w:r w:rsidRPr="003A703B">
        <w:rPr>
          <w:rFonts w:ascii="Arial" w:eastAsia="SimSun" w:hAnsi="Arial" w:cs="Times New Roman"/>
          <w:b/>
          <w:bCs/>
          <w:caps/>
          <w:sz w:val="20"/>
          <w:szCs w:val="24"/>
          <w:lang w:val="it-IT"/>
        </w:rPr>
        <w:t>Question 6</w:t>
      </w:r>
    </w:p>
    <w:p w:rsidR="00A14E77" w:rsidRPr="003A703B" w:rsidRDefault="00A14E77" w:rsidP="003A703B">
      <w:pPr>
        <w:tabs>
          <w:tab w:val="left" w:pos="567"/>
        </w:tabs>
        <w:snapToGrid w:val="0"/>
        <w:spacing w:after="60" w:line="280" w:lineRule="exact"/>
        <w:ind w:left="851"/>
        <w:jc w:val="both"/>
        <w:rPr>
          <w:rFonts w:ascii="Arial" w:eastAsia="SimSun" w:hAnsi="Arial" w:cs="Arial"/>
          <w:sz w:val="20"/>
          <w:szCs w:val="24"/>
          <w:lang w:val="en-US" w:eastAsia="zh-CN"/>
        </w:rPr>
      </w:pPr>
      <w:r w:rsidRPr="003A703B">
        <w:rPr>
          <w:rFonts w:ascii="Arial" w:eastAsia="SimSun" w:hAnsi="Arial" w:cs="Arial"/>
          <w:sz w:val="20"/>
          <w:szCs w:val="24"/>
          <w:lang w:val="en-US" w:eastAsia="zh-CN"/>
        </w:rPr>
        <w:t>Vous faites partie d’une équipe qui travaille sur l’inventaire d’une certaine forme d’expression orale présente dans le pays A, avec un petit budget et sans accès à un ordinateur. Il y a des restrictions coutumières précisant qui peut avoir accès à l’élément. Laquelle de ces techniques de documentation conviendrait le mieux dans ce contexte ?</w:t>
      </w:r>
    </w:p>
    <w:p w:rsidR="00A14E77" w:rsidRPr="003A703B" w:rsidRDefault="00A14E77" w:rsidP="003A703B">
      <w:pPr>
        <w:numPr>
          <w:ilvl w:val="0"/>
          <w:numId w:val="6"/>
        </w:numPr>
        <w:tabs>
          <w:tab w:val="left" w:pos="567"/>
        </w:tabs>
        <w:snapToGrid w:val="0"/>
        <w:spacing w:before="120" w:after="60" w:line="280" w:lineRule="exact"/>
        <w:ind w:left="1571"/>
        <w:jc w:val="both"/>
        <w:rPr>
          <w:rFonts w:ascii="Arial" w:eastAsia="SimSun" w:hAnsi="Arial" w:cs="Arial"/>
          <w:noProof/>
          <w:sz w:val="20"/>
          <w:szCs w:val="24"/>
        </w:rPr>
      </w:pPr>
      <w:r w:rsidRPr="003A703B">
        <w:rPr>
          <w:rFonts w:ascii="Arial" w:eastAsia="SimSun" w:hAnsi="Arial" w:cs="Arial"/>
          <w:noProof/>
          <w:sz w:val="20"/>
          <w:szCs w:val="24"/>
        </w:rPr>
        <w:t>L’enregistrement audio.</w:t>
      </w:r>
    </w:p>
    <w:p w:rsidR="00A14E77" w:rsidRPr="003A703B" w:rsidRDefault="00A14E77" w:rsidP="003A703B">
      <w:pPr>
        <w:numPr>
          <w:ilvl w:val="0"/>
          <w:numId w:val="6"/>
        </w:numPr>
        <w:tabs>
          <w:tab w:val="left" w:pos="567"/>
        </w:tabs>
        <w:snapToGrid w:val="0"/>
        <w:spacing w:before="120" w:after="60" w:line="280" w:lineRule="exact"/>
        <w:ind w:left="1571"/>
        <w:jc w:val="both"/>
        <w:rPr>
          <w:rFonts w:ascii="Arial" w:eastAsia="SimSun" w:hAnsi="Arial" w:cs="Arial"/>
          <w:noProof/>
          <w:sz w:val="20"/>
          <w:szCs w:val="24"/>
        </w:rPr>
      </w:pPr>
      <w:r w:rsidRPr="003A703B">
        <w:rPr>
          <w:rFonts w:ascii="Arial" w:eastAsia="SimSun" w:hAnsi="Arial" w:cs="Arial"/>
          <w:noProof/>
          <w:sz w:val="20"/>
          <w:szCs w:val="24"/>
        </w:rPr>
        <w:t>L’entretien.</w:t>
      </w:r>
    </w:p>
    <w:p w:rsidR="00A14E77" w:rsidRPr="003A703B" w:rsidRDefault="00A14E77" w:rsidP="003A703B">
      <w:pPr>
        <w:numPr>
          <w:ilvl w:val="0"/>
          <w:numId w:val="6"/>
        </w:numPr>
        <w:tabs>
          <w:tab w:val="left" w:pos="567"/>
        </w:tabs>
        <w:snapToGrid w:val="0"/>
        <w:spacing w:before="120" w:after="60" w:line="280" w:lineRule="exact"/>
        <w:ind w:left="1571"/>
        <w:jc w:val="both"/>
        <w:rPr>
          <w:rFonts w:ascii="Arial" w:eastAsia="SimSun" w:hAnsi="Arial" w:cs="Arial"/>
          <w:noProof/>
          <w:sz w:val="20"/>
          <w:szCs w:val="24"/>
        </w:rPr>
      </w:pPr>
      <w:r w:rsidRPr="003A703B">
        <w:rPr>
          <w:rFonts w:ascii="Arial" w:eastAsia="SimSun" w:hAnsi="Arial" w:cs="Arial"/>
          <w:noProof/>
          <w:sz w:val="20"/>
          <w:szCs w:val="24"/>
        </w:rPr>
        <w:t>La prise de notes.</w:t>
      </w:r>
    </w:p>
    <w:p w:rsidR="00A14E77" w:rsidRPr="003A703B" w:rsidRDefault="00A14E77" w:rsidP="003A703B">
      <w:pPr>
        <w:numPr>
          <w:ilvl w:val="0"/>
          <w:numId w:val="6"/>
        </w:numPr>
        <w:tabs>
          <w:tab w:val="left" w:pos="567"/>
        </w:tabs>
        <w:snapToGrid w:val="0"/>
        <w:spacing w:before="120" w:after="60" w:line="280" w:lineRule="exact"/>
        <w:ind w:left="1571"/>
        <w:jc w:val="both"/>
        <w:rPr>
          <w:rFonts w:ascii="Arial" w:eastAsia="SimSun" w:hAnsi="Arial" w:cs="Arial"/>
          <w:noProof/>
          <w:sz w:val="20"/>
          <w:szCs w:val="24"/>
        </w:rPr>
      </w:pPr>
      <w:r w:rsidRPr="003A703B">
        <w:rPr>
          <w:rFonts w:ascii="Arial" w:eastAsia="SimSun" w:hAnsi="Arial" w:cs="Arial"/>
          <w:noProof/>
          <w:sz w:val="20"/>
          <w:szCs w:val="24"/>
        </w:rPr>
        <w:t>La vidéo participative.</w:t>
      </w:r>
    </w:p>
    <w:p w:rsidR="00A14E77" w:rsidRPr="003A703B" w:rsidRDefault="00A14E77" w:rsidP="003A703B">
      <w:pPr>
        <w:numPr>
          <w:ilvl w:val="0"/>
          <w:numId w:val="6"/>
        </w:numPr>
        <w:tabs>
          <w:tab w:val="left" w:pos="567"/>
        </w:tabs>
        <w:snapToGrid w:val="0"/>
        <w:spacing w:before="120" w:after="60" w:line="280" w:lineRule="exact"/>
        <w:ind w:left="1571"/>
        <w:jc w:val="both"/>
        <w:rPr>
          <w:rFonts w:ascii="Arial" w:eastAsia="SimSun" w:hAnsi="Arial" w:cs="Arial"/>
          <w:noProof/>
          <w:sz w:val="20"/>
          <w:szCs w:val="24"/>
        </w:rPr>
      </w:pPr>
      <w:r w:rsidRPr="003A703B">
        <w:rPr>
          <w:rFonts w:ascii="Arial" w:eastAsia="SimSun" w:hAnsi="Arial" w:cs="Arial"/>
          <w:noProof/>
          <w:sz w:val="20"/>
          <w:szCs w:val="24"/>
        </w:rPr>
        <w:t>L’observation directe.</w:t>
      </w:r>
    </w:p>
    <w:p w:rsidR="00A14E77" w:rsidRPr="009530E2" w:rsidRDefault="00A14E77" w:rsidP="009530E2">
      <w:pPr>
        <w:keepNext/>
        <w:keepLines/>
        <w:spacing w:before="360" w:after="120" w:line="300" w:lineRule="exact"/>
        <w:outlineLvl w:val="3"/>
        <w:rPr>
          <w:rFonts w:ascii="Arial" w:eastAsia="SimSun" w:hAnsi="Arial" w:cs="Times New Roman"/>
          <w:b/>
          <w:bCs/>
          <w:caps/>
          <w:sz w:val="20"/>
          <w:szCs w:val="24"/>
          <w:lang w:val="it-IT"/>
        </w:rPr>
      </w:pPr>
      <w:r w:rsidRPr="009530E2">
        <w:rPr>
          <w:rFonts w:ascii="Arial" w:eastAsia="SimSun" w:hAnsi="Arial" w:cs="Times New Roman"/>
          <w:b/>
          <w:bCs/>
          <w:caps/>
          <w:sz w:val="20"/>
          <w:szCs w:val="24"/>
          <w:lang w:val="it-IT"/>
        </w:rPr>
        <w:t>Question 7</w:t>
      </w:r>
    </w:p>
    <w:p w:rsidR="00A14E77" w:rsidRPr="009530E2" w:rsidRDefault="00A14E77" w:rsidP="009530E2">
      <w:pPr>
        <w:tabs>
          <w:tab w:val="left" w:pos="567"/>
        </w:tabs>
        <w:snapToGrid w:val="0"/>
        <w:spacing w:after="60" w:line="280" w:lineRule="exact"/>
        <w:ind w:left="851"/>
        <w:jc w:val="both"/>
        <w:rPr>
          <w:rFonts w:ascii="Arial" w:eastAsia="SimSun" w:hAnsi="Arial" w:cs="Arial"/>
          <w:sz w:val="20"/>
          <w:szCs w:val="24"/>
          <w:lang w:val="en-US" w:eastAsia="zh-CN"/>
        </w:rPr>
      </w:pPr>
      <w:r w:rsidRPr="009530E2">
        <w:rPr>
          <w:rFonts w:ascii="Arial" w:eastAsia="SimSun" w:hAnsi="Arial" w:cs="Arial"/>
          <w:sz w:val="20"/>
          <w:szCs w:val="24"/>
          <w:lang w:val="en-US" w:eastAsia="zh-CN"/>
        </w:rPr>
        <w:t>Le pays B envisage de dresser l’inventaire de tout le PCI présent sur son territoire. Le ministre de la Culture doit choisir un nom pour cet inventaire. Quel nom serait le plus conforme à l’esprit de la Convention ?</w:t>
      </w:r>
    </w:p>
    <w:p w:rsidR="00A14E77" w:rsidRPr="009530E2" w:rsidRDefault="00A14E77" w:rsidP="009530E2">
      <w:pPr>
        <w:numPr>
          <w:ilvl w:val="0"/>
          <w:numId w:val="7"/>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L’inventaire national du PCI du pays B.</w:t>
      </w:r>
    </w:p>
    <w:p w:rsidR="00A14E77" w:rsidRPr="009530E2" w:rsidRDefault="00A14E77" w:rsidP="009530E2">
      <w:pPr>
        <w:numPr>
          <w:ilvl w:val="0"/>
          <w:numId w:val="7"/>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lastRenderedPageBreak/>
        <w:t>L’inventaire du PCI du pays B.</w:t>
      </w:r>
    </w:p>
    <w:p w:rsidR="00A14E77" w:rsidRPr="009530E2" w:rsidRDefault="00A14E77" w:rsidP="009530E2">
      <w:pPr>
        <w:numPr>
          <w:ilvl w:val="0"/>
          <w:numId w:val="7"/>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L’inventaire du PCI dans le pays B.</w:t>
      </w:r>
    </w:p>
    <w:p w:rsidR="00A14E77" w:rsidRPr="009530E2" w:rsidRDefault="00A14E77" w:rsidP="009530E2">
      <w:pPr>
        <w:keepNext/>
        <w:keepLines/>
        <w:spacing w:before="360" w:after="120" w:line="300" w:lineRule="exact"/>
        <w:outlineLvl w:val="3"/>
        <w:rPr>
          <w:rFonts w:ascii="Arial" w:eastAsia="SimSun" w:hAnsi="Arial" w:cs="Times New Roman"/>
          <w:b/>
          <w:bCs/>
          <w:caps/>
          <w:sz w:val="20"/>
          <w:szCs w:val="24"/>
          <w:lang w:val="it-IT"/>
        </w:rPr>
      </w:pPr>
      <w:r w:rsidRPr="009530E2">
        <w:rPr>
          <w:rFonts w:ascii="Arial" w:eastAsia="SimSun" w:hAnsi="Arial" w:cs="Times New Roman"/>
          <w:b/>
          <w:bCs/>
          <w:caps/>
          <w:sz w:val="20"/>
          <w:szCs w:val="24"/>
          <w:lang w:val="it-IT"/>
        </w:rPr>
        <w:t>Question 8</w:t>
      </w:r>
    </w:p>
    <w:p w:rsidR="00A14E77" w:rsidRPr="009530E2" w:rsidRDefault="00A14E77" w:rsidP="009530E2">
      <w:pPr>
        <w:tabs>
          <w:tab w:val="left" w:pos="567"/>
        </w:tabs>
        <w:snapToGrid w:val="0"/>
        <w:spacing w:after="60" w:line="280" w:lineRule="exact"/>
        <w:ind w:left="851"/>
        <w:jc w:val="both"/>
        <w:rPr>
          <w:rFonts w:ascii="Arial" w:eastAsia="SimSun" w:hAnsi="Arial" w:cs="Arial"/>
          <w:sz w:val="20"/>
          <w:szCs w:val="24"/>
          <w:lang w:val="en-US" w:eastAsia="zh-CN"/>
        </w:rPr>
      </w:pPr>
      <w:r w:rsidRPr="009530E2">
        <w:rPr>
          <w:rFonts w:ascii="Arial" w:eastAsia="SimSun" w:hAnsi="Arial" w:cs="Arial"/>
          <w:sz w:val="20"/>
          <w:szCs w:val="24"/>
          <w:lang w:val="en-US" w:eastAsia="zh-CN"/>
        </w:rPr>
        <w:t>Le pays C décide de la manière d’organiser un inventaire couvrant une région du pays particulièrement riche en traditions musicales. Comment doit-il traiter aux fins de l’inventaire les instruments de musique associés à ces traditions ?</w:t>
      </w:r>
    </w:p>
    <w:p w:rsidR="00A14E77" w:rsidRPr="009530E2" w:rsidRDefault="00A14E77" w:rsidP="009530E2">
      <w:pPr>
        <w:numPr>
          <w:ilvl w:val="0"/>
          <w:numId w:val="8"/>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Ne faire figurer aucune information sur ces instruments dans l’inventaire dans la mesure où il a trait aux expressions et pratiques du PCI, et non à des objets matériels.</w:t>
      </w:r>
    </w:p>
    <w:p w:rsidR="00A14E77" w:rsidRPr="009530E2" w:rsidDel="0094376C" w:rsidRDefault="00A14E77" w:rsidP="009530E2">
      <w:pPr>
        <w:numPr>
          <w:ilvl w:val="0"/>
          <w:numId w:val="8"/>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Inclure des informations sur les instruments dans les rubriques de l’inventaire consacrées aux traditions musicales qui leur sont associées.</w:t>
      </w:r>
    </w:p>
    <w:p w:rsidR="00506A12" w:rsidRPr="009530E2" w:rsidDel="00015A2E" w:rsidRDefault="00A14E77" w:rsidP="009530E2">
      <w:pPr>
        <w:numPr>
          <w:ilvl w:val="0"/>
          <w:numId w:val="8"/>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Créer une section distincte dans l’inventaire où consigner les informations sur les objets et instruments associés aux éléments du PCI inventoriés.</w:t>
      </w:r>
    </w:p>
    <w:p w:rsidR="009530E2" w:rsidRPr="009530E2" w:rsidRDefault="00A14E77" w:rsidP="009530E2">
      <w:pPr>
        <w:keepNext/>
        <w:keepLines/>
        <w:spacing w:before="360" w:after="120" w:line="300" w:lineRule="exact"/>
        <w:outlineLvl w:val="3"/>
        <w:rPr>
          <w:rFonts w:ascii="Arial" w:eastAsia="SimSun" w:hAnsi="Arial" w:cs="Times New Roman"/>
          <w:b/>
          <w:bCs/>
          <w:caps/>
          <w:sz w:val="20"/>
          <w:szCs w:val="24"/>
          <w:lang w:val="it-IT"/>
        </w:rPr>
      </w:pPr>
      <w:r w:rsidRPr="009530E2">
        <w:rPr>
          <w:rFonts w:ascii="Arial" w:eastAsia="SimSun" w:hAnsi="Arial" w:cs="Times New Roman"/>
          <w:b/>
          <w:bCs/>
          <w:caps/>
          <w:sz w:val="20"/>
          <w:szCs w:val="24"/>
          <w:lang w:val="it-IT"/>
        </w:rPr>
        <w:t>Question 9</w:t>
      </w:r>
    </w:p>
    <w:p w:rsidR="00A14E77" w:rsidRPr="009530E2" w:rsidRDefault="00A14E77" w:rsidP="009530E2">
      <w:pPr>
        <w:tabs>
          <w:tab w:val="left" w:pos="567"/>
        </w:tabs>
        <w:snapToGrid w:val="0"/>
        <w:spacing w:after="60" w:line="280" w:lineRule="exact"/>
        <w:ind w:left="851"/>
        <w:jc w:val="both"/>
        <w:rPr>
          <w:rFonts w:ascii="Arial" w:eastAsia="SimSun" w:hAnsi="Arial" w:cs="Arial"/>
          <w:sz w:val="20"/>
          <w:szCs w:val="24"/>
          <w:lang w:val="en-US" w:eastAsia="zh-CN"/>
        </w:rPr>
      </w:pPr>
      <w:r w:rsidRPr="009530E2">
        <w:rPr>
          <w:rFonts w:ascii="Arial" w:eastAsia="SimSun" w:hAnsi="Arial" w:cs="Arial"/>
          <w:sz w:val="20"/>
          <w:szCs w:val="24"/>
          <w:lang w:val="en-US" w:eastAsia="zh-CN"/>
        </w:rPr>
        <w:t>Le pays D lancera bientôt le processus d’inventaire du PCI présent sur son territoire. En conséquence, son ministère de la Culture a établi une liste des catégories à prendre en considération pour dresser l’inventaire. Quelles catégories pourraient poser problème lors de l’examen par le Comité des rapports périodiques soumis par l’État partie ?</w:t>
      </w:r>
    </w:p>
    <w:p w:rsidR="00A14E77" w:rsidRPr="009530E2" w:rsidRDefault="00A14E77" w:rsidP="009530E2">
      <w:pPr>
        <w:numPr>
          <w:ilvl w:val="0"/>
          <w:numId w:val="9"/>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9530E2">
        <w:rPr>
          <w:rFonts w:ascii="Arial" w:eastAsia="SimSun" w:hAnsi="Arial" w:cs="Arial"/>
          <w:noProof/>
          <w:sz w:val="20"/>
          <w:szCs w:val="24"/>
          <w:lang w:val="en-US"/>
        </w:rPr>
        <w:t>Le PCI qui n’est plus pratiqué.</w:t>
      </w:r>
    </w:p>
    <w:p w:rsidR="00A14E77" w:rsidRPr="009530E2" w:rsidRDefault="00A14E77" w:rsidP="009530E2">
      <w:pPr>
        <w:numPr>
          <w:ilvl w:val="0"/>
          <w:numId w:val="9"/>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9530E2">
        <w:rPr>
          <w:rFonts w:ascii="Arial" w:eastAsia="SimSun" w:hAnsi="Arial" w:cs="Arial"/>
          <w:noProof/>
          <w:sz w:val="20"/>
          <w:szCs w:val="24"/>
          <w:lang w:val="en-US"/>
        </w:rPr>
        <w:t>Le PCI qui est menacé.</w:t>
      </w:r>
    </w:p>
    <w:p w:rsidR="00A14E77" w:rsidRPr="009530E2" w:rsidRDefault="00A14E77" w:rsidP="009530E2">
      <w:pPr>
        <w:numPr>
          <w:ilvl w:val="0"/>
          <w:numId w:val="9"/>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9530E2">
        <w:rPr>
          <w:rFonts w:ascii="Arial" w:eastAsia="SimSun" w:hAnsi="Arial" w:cs="Arial"/>
          <w:noProof/>
          <w:sz w:val="20"/>
          <w:szCs w:val="24"/>
          <w:lang w:val="en-US"/>
        </w:rPr>
        <w:t>Le PCI qui n’est pas conforme aux instruments internationaux relatifs aux droits de l’homme généralement reconnus.</w:t>
      </w:r>
    </w:p>
    <w:p w:rsidR="00A14E77" w:rsidRPr="009530E2" w:rsidRDefault="00A14E77" w:rsidP="009530E2">
      <w:pPr>
        <w:numPr>
          <w:ilvl w:val="0"/>
          <w:numId w:val="9"/>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9530E2">
        <w:rPr>
          <w:rFonts w:ascii="Arial" w:eastAsia="SimSun" w:hAnsi="Arial" w:cs="Arial"/>
          <w:noProof/>
          <w:sz w:val="20"/>
          <w:szCs w:val="24"/>
          <w:lang w:val="en-US"/>
        </w:rPr>
        <w:t>Le PCI auquel l’accès est limité parce qu‘il est considéré comme secret ou sacré par les communautés et les groupes concernés.</w:t>
      </w:r>
    </w:p>
    <w:p w:rsidR="00A14E77" w:rsidRPr="009530E2" w:rsidRDefault="00A14E77" w:rsidP="009530E2">
      <w:pPr>
        <w:numPr>
          <w:ilvl w:val="0"/>
          <w:numId w:val="9"/>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9530E2">
        <w:rPr>
          <w:rFonts w:ascii="Arial" w:eastAsia="SimSun" w:hAnsi="Arial" w:cs="Arial"/>
          <w:noProof/>
          <w:sz w:val="20"/>
          <w:szCs w:val="24"/>
          <w:lang w:val="en-US"/>
        </w:rPr>
        <w:t>Le PCI qui n’a pas été identifié avec la participation des communautés concernées.</w:t>
      </w:r>
    </w:p>
    <w:p w:rsidR="00A14E77" w:rsidRPr="009530E2" w:rsidRDefault="00A14E77" w:rsidP="009530E2">
      <w:pPr>
        <w:numPr>
          <w:ilvl w:val="0"/>
          <w:numId w:val="9"/>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9530E2">
        <w:rPr>
          <w:rFonts w:ascii="Arial" w:eastAsia="SimSun" w:hAnsi="Arial" w:cs="Arial"/>
          <w:noProof/>
          <w:sz w:val="20"/>
          <w:szCs w:val="24"/>
          <w:lang w:val="en-US"/>
        </w:rPr>
        <w:t>Les pratiques du PCI que les communautés concernées ne voulaient pas voir inventorier.</w:t>
      </w:r>
    </w:p>
    <w:p w:rsidR="00A14E77" w:rsidRPr="009530E2" w:rsidRDefault="00A14E77" w:rsidP="009530E2">
      <w:pPr>
        <w:numPr>
          <w:ilvl w:val="0"/>
          <w:numId w:val="9"/>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9530E2">
        <w:rPr>
          <w:rFonts w:ascii="Arial" w:eastAsia="SimSun" w:hAnsi="Arial" w:cs="Arial"/>
          <w:noProof/>
          <w:sz w:val="20"/>
          <w:szCs w:val="24"/>
          <w:lang w:val="en-US"/>
        </w:rPr>
        <w:t>Le PCI qui est lié au patrimoine matériel, comme des instruments de musique ou des lieux spécifiques.</w:t>
      </w:r>
    </w:p>
    <w:p w:rsidR="00A14E77" w:rsidRPr="009530E2" w:rsidRDefault="00A14E77" w:rsidP="009530E2">
      <w:pPr>
        <w:numPr>
          <w:ilvl w:val="0"/>
          <w:numId w:val="9"/>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9530E2">
        <w:rPr>
          <w:rFonts w:ascii="Arial" w:eastAsia="SimSun" w:hAnsi="Arial" w:cs="Arial"/>
          <w:noProof/>
          <w:sz w:val="20"/>
          <w:szCs w:val="24"/>
          <w:lang w:val="en-US"/>
        </w:rPr>
        <w:t>Le PCI qui est lié à des sites inscrits sur la Liste du patrimoine mondial.</w:t>
      </w:r>
    </w:p>
    <w:p w:rsidR="00A14E77" w:rsidRPr="009530E2" w:rsidRDefault="00A14E77" w:rsidP="009530E2">
      <w:pPr>
        <w:keepNext/>
        <w:keepLines/>
        <w:spacing w:before="360" w:after="120" w:line="300" w:lineRule="exact"/>
        <w:outlineLvl w:val="3"/>
        <w:rPr>
          <w:rFonts w:ascii="Arial" w:eastAsia="SimSun" w:hAnsi="Arial" w:cs="Times New Roman"/>
          <w:b/>
          <w:bCs/>
          <w:caps/>
          <w:sz w:val="20"/>
          <w:szCs w:val="24"/>
          <w:lang w:val="it-IT"/>
        </w:rPr>
      </w:pPr>
      <w:r w:rsidRPr="009530E2">
        <w:rPr>
          <w:rFonts w:ascii="Arial" w:eastAsia="SimSun" w:hAnsi="Arial" w:cs="Times New Roman"/>
          <w:b/>
          <w:bCs/>
          <w:caps/>
          <w:sz w:val="20"/>
          <w:szCs w:val="24"/>
          <w:lang w:val="it-IT"/>
        </w:rPr>
        <w:t>Question 10</w:t>
      </w:r>
    </w:p>
    <w:p w:rsidR="00A14E77" w:rsidRPr="009530E2" w:rsidRDefault="00A14E77" w:rsidP="009530E2">
      <w:pPr>
        <w:tabs>
          <w:tab w:val="left" w:pos="567"/>
        </w:tabs>
        <w:snapToGrid w:val="0"/>
        <w:spacing w:after="60" w:line="280" w:lineRule="exact"/>
        <w:ind w:left="851"/>
        <w:jc w:val="both"/>
        <w:rPr>
          <w:rFonts w:ascii="Arial" w:eastAsia="SimSun" w:hAnsi="Arial" w:cs="Arial"/>
          <w:sz w:val="20"/>
          <w:szCs w:val="24"/>
          <w:lang w:val="en-US" w:eastAsia="zh-CN"/>
        </w:rPr>
      </w:pPr>
      <w:r w:rsidRPr="009530E2">
        <w:rPr>
          <w:rFonts w:ascii="Arial" w:eastAsia="SimSun" w:hAnsi="Arial" w:cs="Arial"/>
          <w:sz w:val="20"/>
          <w:szCs w:val="24"/>
          <w:lang w:val="en-US" w:eastAsia="zh-CN"/>
        </w:rPr>
        <w:t>Les États parties à la Convention peuvent-ils adopter leur propre définition du patrimoine culturel immatériel pour un inventaire national ou local ?</w:t>
      </w:r>
    </w:p>
    <w:p w:rsidR="00A14E77" w:rsidRPr="009530E2" w:rsidRDefault="00A14E77" w:rsidP="009530E2">
      <w:pPr>
        <w:numPr>
          <w:ilvl w:val="0"/>
          <w:numId w:val="10"/>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9530E2">
        <w:rPr>
          <w:rFonts w:ascii="Arial" w:eastAsia="SimSun" w:hAnsi="Arial" w:cs="Arial"/>
          <w:noProof/>
          <w:sz w:val="20"/>
          <w:szCs w:val="24"/>
          <w:lang w:val="en-US"/>
        </w:rPr>
        <w:t>Oui, puisqu’ils sont autorisés à dresser leurs inventaires de façon adaptée à leur situation.</w:t>
      </w:r>
    </w:p>
    <w:p w:rsidR="00A14E77" w:rsidRPr="009530E2" w:rsidRDefault="00A14E77" w:rsidP="009530E2">
      <w:pPr>
        <w:numPr>
          <w:ilvl w:val="0"/>
          <w:numId w:val="10"/>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9530E2">
        <w:rPr>
          <w:rFonts w:ascii="Arial" w:eastAsia="SimSun" w:hAnsi="Arial" w:cs="Arial"/>
          <w:noProof/>
          <w:sz w:val="20"/>
          <w:szCs w:val="24"/>
          <w:lang w:val="en-US"/>
        </w:rPr>
        <w:t>Non, ils doivent se conformer à la définition du PCI que donne la Convention.</w:t>
      </w:r>
    </w:p>
    <w:p w:rsidR="00506A12" w:rsidRPr="009530E2" w:rsidRDefault="00A14E77" w:rsidP="009530E2">
      <w:pPr>
        <w:numPr>
          <w:ilvl w:val="0"/>
          <w:numId w:val="10"/>
        </w:numPr>
        <w:tabs>
          <w:tab w:val="left" w:pos="567"/>
        </w:tabs>
        <w:snapToGrid w:val="0"/>
        <w:spacing w:before="120" w:after="60" w:line="280" w:lineRule="exact"/>
        <w:ind w:left="1571" w:hanging="360"/>
        <w:jc w:val="both"/>
        <w:rPr>
          <w:rFonts w:ascii="Arial" w:eastAsia="SimSun" w:hAnsi="Arial" w:cs="Arial"/>
          <w:noProof/>
          <w:sz w:val="20"/>
          <w:szCs w:val="24"/>
          <w:lang w:val="en-US"/>
        </w:rPr>
      </w:pPr>
      <w:r w:rsidRPr="009530E2">
        <w:rPr>
          <w:rFonts w:ascii="Arial" w:eastAsia="SimSun" w:hAnsi="Arial" w:cs="Arial"/>
          <w:noProof/>
          <w:sz w:val="20"/>
          <w:szCs w:val="24"/>
          <w:lang w:val="en-US"/>
        </w:rPr>
        <w:t>Non, ils doivent se conformer à la définition du PCI donnée dans la Convention, mais une exception peut être faite à la règle s’ils demandent une autorisation.</w:t>
      </w:r>
    </w:p>
    <w:p w:rsidR="00A14E77" w:rsidRPr="009530E2" w:rsidRDefault="00A14E77" w:rsidP="009530E2">
      <w:pPr>
        <w:keepNext/>
        <w:keepLines/>
        <w:spacing w:before="360" w:after="120" w:line="300" w:lineRule="exact"/>
        <w:outlineLvl w:val="3"/>
        <w:rPr>
          <w:rFonts w:ascii="Arial" w:eastAsia="SimSun" w:hAnsi="Arial" w:cs="Times New Roman"/>
          <w:b/>
          <w:bCs/>
          <w:caps/>
          <w:sz w:val="20"/>
          <w:szCs w:val="24"/>
          <w:lang w:val="it-IT"/>
        </w:rPr>
      </w:pPr>
      <w:r w:rsidRPr="009530E2">
        <w:rPr>
          <w:rFonts w:ascii="Arial" w:eastAsia="SimSun" w:hAnsi="Arial" w:cs="Times New Roman"/>
          <w:b/>
          <w:bCs/>
          <w:caps/>
          <w:sz w:val="20"/>
          <w:szCs w:val="24"/>
          <w:lang w:val="it-IT"/>
        </w:rPr>
        <w:lastRenderedPageBreak/>
        <w:t>Question 11</w:t>
      </w:r>
    </w:p>
    <w:p w:rsidR="00A14E77" w:rsidRPr="009530E2" w:rsidRDefault="00A14E77" w:rsidP="009530E2">
      <w:pPr>
        <w:tabs>
          <w:tab w:val="left" w:pos="567"/>
        </w:tabs>
        <w:snapToGrid w:val="0"/>
        <w:spacing w:after="60" w:line="280" w:lineRule="exact"/>
        <w:ind w:left="851"/>
        <w:jc w:val="both"/>
        <w:rPr>
          <w:rFonts w:ascii="Arial" w:eastAsia="SimSun" w:hAnsi="Arial" w:cs="Arial"/>
          <w:sz w:val="20"/>
          <w:szCs w:val="24"/>
          <w:lang w:val="en-US" w:eastAsia="zh-CN"/>
        </w:rPr>
      </w:pPr>
      <w:r w:rsidRPr="009530E2">
        <w:rPr>
          <w:rFonts w:ascii="Arial" w:eastAsia="SimSun" w:hAnsi="Arial" w:cs="Arial"/>
          <w:sz w:val="20"/>
          <w:szCs w:val="24"/>
          <w:lang w:val="en-US" w:eastAsia="zh-CN"/>
        </w:rPr>
        <w:t xml:space="preserve">Comment vous assurer que la diversité des perspectives sur un élément du PCI se reflète dans un processus de </w:t>
      </w:r>
      <w:r w:rsidR="00995E56" w:rsidRPr="009530E2">
        <w:rPr>
          <w:rFonts w:ascii="Arial" w:eastAsia="SimSun" w:hAnsi="Arial" w:cs="Arial"/>
          <w:sz w:val="20"/>
          <w:szCs w:val="24"/>
          <w:lang w:val="en-US" w:eastAsia="zh-CN"/>
        </w:rPr>
        <w:t>Travail d’Inventaire Participatif</w:t>
      </w:r>
      <w:r w:rsidRPr="009530E2">
        <w:rPr>
          <w:rFonts w:ascii="Arial" w:eastAsia="SimSun" w:hAnsi="Arial" w:cs="Arial"/>
          <w:sz w:val="20"/>
          <w:szCs w:val="24"/>
          <w:lang w:val="en-US" w:eastAsia="zh-CN"/>
        </w:rPr>
        <w:t> ?</w:t>
      </w:r>
    </w:p>
    <w:p w:rsidR="00A14E77" w:rsidRPr="009530E2" w:rsidRDefault="00A14E77" w:rsidP="009530E2">
      <w:pPr>
        <w:numPr>
          <w:ilvl w:val="0"/>
          <w:numId w:val="11"/>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En recueillant l’information dans le respect de la parité entre les sexes, en prenant dûment en considération le point de vue des</w:t>
      </w:r>
      <w:r w:rsidR="00995E56" w:rsidRPr="009530E2">
        <w:rPr>
          <w:rFonts w:ascii="Arial" w:eastAsia="SimSun" w:hAnsi="Arial" w:cs="Arial"/>
          <w:noProof/>
          <w:sz w:val="20"/>
          <w:szCs w:val="24"/>
          <w:lang w:val="en-US"/>
        </w:rPr>
        <w:t xml:space="preserve"> hommes et des</w:t>
      </w:r>
      <w:r w:rsidRPr="009530E2" w:rsidDel="000C477C">
        <w:rPr>
          <w:rFonts w:ascii="Arial" w:eastAsia="SimSun" w:hAnsi="Arial" w:cs="Arial"/>
          <w:noProof/>
          <w:sz w:val="20"/>
          <w:szCs w:val="24"/>
          <w:lang w:val="en-US"/>
        </w:rPr>
        <w:t xml:space="preserve"> </w:t>
      </w:r>
      <w:r w:rsidRPr="009530E2">
        <w:rPr>
          <w:rFonts w:ascii="Arial" w:eastAsia="SimSun" w:hAnsi="Arial" w:cs="Arial"/>
          <w:noProof/>
          <w:sz w:val="20"/>
          <w:szCs w:val="24"/>
          <w:lang w:val="en-US"/>
        </w:rPr>
        <w:t>femmes.</w:t>
      </w:r>
    </w:p>
    <w:p w:rsidR="00A14E77" w:rsidRPr="009530E2" w:rsidRDefault="00A14E77" w:rsidP="009530E2">
      <w:pPr>
        <w:numPr>
          <w:ilvl w:val="0"/>
          <w:numId w:val="11"/>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En impliquant activement les jeunes dans le processus de production de l’information.</w:t>
      </w:r>
    </w:p>
    <w:p w:rsidR="00A14E77" w:rsidRPr="009530E2" w:rsidRDefault="00A14E77" w:rsidP="009530E2">
      <w:pPr>
        <w:numPr>
          <w:ilvl w:val="0"/>
          <w:numId w:val="11"/>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En consultant les chefs traditionnels et les hauts responsables qui parleront au nom de leur communauté.</w:t>
      </w:r>
    </w:p>
    <w:p w:rsidR="00A14E77" w:rsidRPr="009530E2" w:rsidRDefault="00A14E77" w:rsidP="009530E2">
      <w:pPr>
        <w:numPr>
          <w:ilvl w:val="0"/>
          <w:numId w:val="11"/>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En lisant une documentation variée au sujet de l’élément.</w:t>
      </w:r>
    </w:p>
    <w:p w:rsidR="00A14E77" w:rsidRPr="009530E2" w:rsidRDefault="00A14E77" w:rsidP="009530E2">
      <w:pPr>
        <w:numPr>
          <w:ilvl w:val="0"/>
          <w:numId w:val="11"/>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Par une consultation en ligne à laquelle tous les membres de la communauté peuvent apporter leur contribution.</w:t>
      </w:r>
    </w:p>
    <w:p w:rsidR="00A14E77" w:rsidRPr="009530E2" w:rsidRDefault="00A14E77" w:rsidP="009530E2">
      <w:pPr>
        <w:keepNext/>
        <w:keepLines/>
        <w:spacing w:before="360" w:after="120" w:line="300" w:lineRule="exact"/>
        <w:outlineLvl w:val="3"/>
        <w:rPr>
          <w:rFonts w:ascii="Arial" w:eastAsia="SimSun" w:hAnsi="Arial" w:cs="Times New Roman"/>
          <w:b/>
          <w:bCs/>
          <w:caps/>
          <w:sz w:val="20"/>
          <w:szCs w:val="24"/>
          <w:lang w:val="it-IT"/>
        </w:rPr>
      </w:pPr>
      <w:r w:rsidRPr="009530E2">
        <w:rPr>
          <w:rFonts w:ascii="Arial" w:eastAsia="SimSun" w:hAnsi="Arial" w:cs="Times New Roman"/>
          <w:b/>
          <w:bCs/>
          <w:caps/>
          <w:sz w:val="20"/>
          <w:szCs w:val="24"/>
          <w:lang w:val="it-IT"/>
        </w:rPr>
        <w:t>Question 12</w:t>
      </w:r>
    </w:p>
    <w:p w:rsidR="00A14E77" w:rsidRPr="009530E2" w:rsidRDefault="00A14E77" w:rsidP="009530E2">
      <w:pPr>
        <w:tabs>
          <w:tab w:val="left" w:pos="567"/>
        </w:tabs>
        <w:snapToGrid w:val="0"/>
        <w:spacing w:after="60" w:line="280" w:lineRule="exact"/>
        <w:ind w:left="851"/>
        <w:jc w:val="both"/>
        <w:rPr>
          <w:rFonts w:ascii="Arial" w:eastAsia="SimSun" w:hAnsi="Arial" w:cs="Arial"/>
          <w:sz w:val="20"/>
          <w:szCs w:val="24"/>
          <w:lang w:val="en-US" w:eastAsia="zh-CN"/>
        </w:rPr>
      </w:pPr>
      <w:r w:rsidRPr="009530E2">
        <w:rPr>
          <w:rFonts w:ascii="Arial" w:eastAsia="SimSun" w:hAnsi="Arial" w:cs="Arial"/>
          <w:sz w:val="20"/>
          <w:szCs w:val="24"/>
          <w:lang w:val="en-US" w:eastAsia="zh-CN"/>
        </w:rPr>
        <w:t>Vrai ou faux ?</w:t>
      </w:r>
    </w:p>
    <w:p w:rsidR="00A14E77" w:rsidRPr="009530E2" w:rsidRDefault="00A14E77" w:rsidP="009530E2">
      <w:pPr>
        <w:numPr>
          <w:ilvl w:val="0"/>
          <w:numId w:val="12"/>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Des mesures de sauvegarde doivent avoir été élaborées avant qu’un élément du PCI puisse être inventorié.</w:t>
      </w:r>
    </w:p>
    <w:p w:rsidR="00A14E77" w:rsidRPr="009530E2" w:rsidRDefault="00A14E77" w:rsidP="009530E2">
      <w:pPr>
        <w:numPr>
          <w:ilvl w:val="0"/>
          <w:numId w:val="12"/>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Un élément du PCI doit avoir été inventorié pour qu’une activité de sauvegarde puisse être entreprise.</w:t>
      </w:r>
    </w:p>
    <w:p w:rsidR="00A14E77" w:rsidRPr="009530E2" w:rsidRDefault="00A14E77" w:rsidP="009530E2">
      <w:pPr>
        <w:numPr>
          <w:ilvl w:val="0"/>
          <w:numId w:val="12"/>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Des mesures de sauvegarde doivent être mises en œuvre avant que la candidature d’un élément du PCI puisse être proposée sur l’une des Listes de la Convention.</w:t>
      </w:r>
    </w:p>
    <w:p w:rsidR="00A14E77" w:rsidRPr="009530E2" w:rsidRDefault="00A14E77" w:rsidP="009530E2">
      <w:pPr>
        <w:numPr>
          <w:ilvl w:val="0"/>
          <w:numId w:val="12"/>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Un élément du PCI doit être inventorié avant que sa candidature puisse être proposée sur l’une des Listes de la Convention.</w:t>
      </w:r>
    </w:p>
    <w:p w:rsidR="00A14E77" w:rsidRPr="009530E2" w:rsidRDefault="00A14E77" w:rsidP="009530E2">
      <w:pPr>
        <w:keepNext/>
        <w:keepLines/>
        <w:spacing w:before="360" w:after="120" w:line="300" w:lineRule="exact"/>
        <w:outlineLvl w:val="3"/>
        <w:rPr>
          <w:rFonts w:ascii="Arial" w:eastAsia="SimSun" w:hAnsi="Arial" w:cs="Times New Roman"/>
          <w:b/>
          <w:bCs/>
          <w:caps/>
          <w:sz w:val="20"/>
          <w:szCs w:val="24"/>
          <w:lang w:val="it-IT"/>
        </w:rPr>
      </w:pPr>
      <w:r w:rsidRPr="009530E2">
        <w:rPr>
          <w:rFonts w:ascii="Arial" w:eastAsia="SimSun" w:hAnsi="Arial" w:cs="Times New Roman"/>
          <w:b/>
          <w:bCs/>
          <w:caps/>
          <w:sz w:val="20"/>
          <w:szCs w:val="24"/>
          <w:lang w:val="it-IT"/>
        </w:rPr>
        <w:t>Question 13</w:t>
      </w:r>
    </w:p>
    <w:p w:rsidR="00A14E77" w:rsidRPr="009530E2" w:rsidRDefault="00A14E77" w:rsidP="009530E2">
      <w:pPr>
        <w:tabs>
          <w:tab w:val="left" w:pos="567"/>
        </w:tabs>
        <w:snapToGrid w:val="0"/>
        <w:spacing w:after="60" w:line="280" w:lineRule="exact"/>
        <w:ind w:left="851"/>
        <w:jc w:val="both"/>
        <w:rPr>
          <w:rFonts w:ascii="Arial" w:eastAsia="SimSun" w:hAnsi="Arial" w:cs="Arial"/>
          <w:sz w:val="20"/>
          <w:szCs w:val="24"/>
          <w:lang w:val="en-US" w:eastAsia="zh-CN"/>
        </w:rPr>
      </w:pPr>
      <w:r w:rsidRPr="009530E2">
        <w:rPr>
          <w:rFonts w:ascii="Arial" w:eastAsia="SimSun" w:hAnsi="Arial" w:cs="Arial"/>
          <w:sz w:val="20"/>
          <w:szCs w:val="24"/>
          <w:lang w:val="en-US" w:eastAsia="zh-CN"/>
        </w:rPr>
        <w:t>Le ministère de la Culture du pays E souhait inclure dans l’inventaire national de son PCI une partie seulement des nombreux éléments du PCI qui figurent dans ses inventaires provinciaux. Il doit déterminer les critères les plus appropriés pour choisir les éléments du PCI à inclure dans l’inventaire national. Parmi les critères suivants, lesquels ne seraient pas conformes à l’esprit de la Convention ?</w:t>
      </w:r>
    </w:p>
    <w:p w:rsidR="00A14E77" w:rsidRPr="009530E2" w:rsidRDefault="00A14E77" w:rsidP="009530E2">
      <w:pPr>
        <w:numPr>
          <w:ilvl w:val="0"/>
          <w:numId w:val="13"/>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Les éléments du PCI qui sont les plus connus et pratiqués dans le pays doivent figurer dans l’inventaire national car davantage de personnes peuvent s’identifier à eux.</w:t>
      </w:r>
    </w:p>
    <w:p w:rsidR="00A14E77" w:rsidRPr="009530E2" w:rsidRDefault="00A14E77" w:rsidP="009530E2">
      <w:pPr>
        <w:numPr>
          <w:ilvl w:val="0"/>
          <w:numId w:val="13"/>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Seuls des éléments du PCI beaux et remarquables doivent figurer dans l’inventaire national car ils renforceront la fierté nationale.</w:t>
      </w:r>
    </w:p>
    <w:p w:rsidR="00A14E77" w:rsidRPr="009530E2" w:rsidRDefault="00A14E77" w:rsidP="009530E2">
      <w:pPr>
        <w:numPr>
          <w:ilvl w:val="0"/>
          <w:numId w:val="13"/>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Il convient de sélectionner des éléments du PCI de chaque province pour s’assurer que l’inventaire national soit représentatif du pays tout entier.</w:t>
      </w:r>
    </w:p>
    <w:p w:rsidR="00A14E77" w:rsidRPr="009530E2" w:rsidRDefault="00A14E77" w:rsidP="009530E2">
      <w:pPr>
        <w:numPr>
          <w:ilvl w:val="0"/>
          <w:numId w:val="13"/>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Il convient de sélectionner pour l’inventaire national des éléments du PCI qu’on ne retrouve pas dans d’autres pays afin de montrer la spécificité nationale.</w:t>
      </w:r>
    </w:p>
    <w:p w:rsidR="00A14E77" w:rsidRPr="007B6194" w:rsidRDefault="00A14E77" w:rsidP="009530E2">
      <w:pPr>
        <w:numPr>
          <w:ilvl w:val="0"/>
          <w:numId w:val="13"/>
        </w:numPr>
        <w:tabs>
          <w:tab w:val="left" w:pos="567"/>
        </w:tabs>
        <w:snapToGrid w:val="0"/>
        <w:spacing w:before="120" w:after="60" w:line="280" w:lineRule="exact"/>
        <w:ind w:left="1571"/>
        <w:jc w:val="both"/>
        <w:rPr>
          <w:rFonts w:ascii="Arial" w:eastAsia="SimSun" w:hAnsi="Arial" w:cs="Arial"/>
          <w:noProof/>
          <w:sz w:val="20"/>
          <w:szCs w:val="24"/>
        </w:rPr>
      </w:pPr>
      <w:r w:rsidRPr="007B6194">
        <w:rPr>
          <w:rFonts w:ascii="Arial" w:eastAsia="SimSun" w:hAnsi="Arial" w:cs="Arial"/>
          <w:noProof/>
          <w:sz w:val="20"/>
          <w:szCs w:val="24"/>
        </w:rPr>
        <w:t>Les éléments du PCI qui ont le plus besoin d’être sauvegardés doivent être choisis pour être classés à l’inventaire national.</w:t>
      </w:r>
    </w:p>
    <w:p w:rsidR="00A14E77" w:rsidRPr="009530E2" w:rsidRDefault="00A14E77" w:rsidP="009530E2">
      <w:pPr>
        <w:keepNext/>
        <w:keepLines/>
        <w:spacing w:before="360" w:after="120" w:line="300" w:lineRule="exact"/>
        <w:outlineLvl w:val="3"/>
        <w:rPr>
          <w:rFonts w:ascii="Arial" w:eastAsia="SimSun" w:hAnsi="Arial" w:cs="Times New Roman"/>
          <w:b/>
          <w:bCs/>
          <w:caps/>
          <w:sz w:val="20"/>
          <w:szCs w:val="24"/>
          <w:lang w:val="it-IT"/>
        </w:rPr>
      </w:pPr>
      <w:r w:rsidRPr="009530E2">
        <w:rPr>
          <w:rFonts w:ascii="Arial" w:eastAsia="SimSun" w:hAnsi="Arial" w:cs="Times New Roman"/>
          <w:b/>
          <w:bCs/>
          <w:caps/>
          <w:sz w:val="20"/>
          <w:szCs w:val="24"/>
          <w:lang w:val="it-IT"/>
        </w:rPr>
        <w:lastRenderedPageBreak/>
        <w:t>Question 14</w:t>
      </w:r>
    </w:p>
    <w:p w:rsidR="00A14E77" w:rsidRPr="009530E2" w:rsidRDefault="00A14E77" w:rsidP="009530E2">
      <w:pPr>
        <w:tabs>
          <w:tab w:val="left" w:pos="567"/>
        </w:tabs>
        <w:snapToGrid w:val="0"/>
        <w:spacing w:after="60" w:line="280" w:lineRule="exact"/>
        <w:ind w:left="851"/>
        <w:jc w:val="both"/>
        <w:rPr>
          <w:rFonts w:ascii="Arial" w:eastAsia="SimSun" w:hAnsi="Arial" w:cs="Arial"/>
          <w:sz w:val="20"/>
          <w:szCs w:val="24"/>
          <w:lang w:val="en-US" w:eastAsia="zh-CN"/>
        </w:rPr>
      </w:pPr>
      <w:r w:rsidRPr="009530E2">
        <w:rPr>
          <w:rFonts w:ascii="Arial" w:eastAsia="SimSun" w:hAnsi="Arial" w:cs="Arial"/>
          <w:sz w:val="20"/>
          <w:szCs w:val="24"/>
          <w:lang w:val="en-US" w:eastAsia="zh-CN"/>
        </w:rPr>
        <w:t>Quel est le but d’un cadre d’inventaire ?</w:t>
      </w:r>
    </w:p>
    <w:p w:rsidR="00A14E77" w:rsidRPr="009530E2" w:rsidRDefault="00A14E77" w:rsidP="009530E2">
      <w:pPr>
        <w:numPr>
          <w:ilvl w:val="0"/>
          <w:numId w:val="14"/>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Organiser l’information sur les éléments du patrimoine immatériel de manière systématique.</w:t>
      </w:r>
    </w:p>
    <w:p w:rsidR="00A14E77" w:rsidRPr="009530E2" w:rsidRDefault="00A14E77" w:rsidP="009530E2">
      <w:pPr>
        <w:numPr>
          <w:ilvl w:val="0"/>
          <w:numId w:val="14"/>
        </w:numPr>
        <w:tabs>
          <w:tab w:val="left" w:pos="567"/>
        </w:tabs>
        <w:snapToGrid w:val="0"/>
        <w:spacing w:before="120" w:after="60" w:line="280" w:lineRule="exact"/>
        <w:ind w:left="1571"/>
        <w:jc w:val="both"/>
        <w:rPr>
          <w:rFonts w:ascii="Arial" w:eastAsia="SimSun" w:hAnsi="Arial" w:cs="Arial"/>
          <w:noProof/>
          <w:sz w:val="20"/>
          <w:szCs w:val="24"/>
          <w:lang w:val="en-US"/>
        </w:rPr>
      </w:pPr>
      <w:r w:rsidRPr="009530E2">
        <w:rPr>
          <w:rFonts w:ascii="Arial" w:eastAsia="SimSun" w:hAnsi="Arial" w:cs="Arial"/>
          <w:noProof/>
          <w:sz w:val="20"/>
          <w:szCs w:val="24"/>
          <w:lang w:val="en-US"/>
        </w:rPr>
        <w:t>Donner des informations complètes sur les dimensions historiques et techniques d’un élément du patrimoine immatériel.</w:t>
      </w:r>
    </w:p>
    <w:p w:rsidR="00660044" w:rsidRPr="003A703B" w:rsidRDefault="00A14E77" w:rsidP="009530E2">
      <w:pPr>
        <w:numPr>
          <w:ilvl w:val="0"/>
          <w:numId w:val="14"/>
        </w:numPr>
        <w:tabs>
          <w:tab w:val="left" w:pos="567"/>
        </w:tabs>
        <w:snapToGrid w:val="0"/>
        <w:spacing w:before="120" w:after="60" w:line="280" w:lineRule="exact"/>
        <w:ind w:left="1571"/>
        <w:jc w:val="both"/>
        <w:rPr>
          <w:rFonts w:ascii="Arial" w:eastAsia="SimSun" w:hAnsi="Arial" w:cs="Arial"/>
          <w:snapToGrid w:val="0"/>
          <w:szCs w:val="24"/>
          <w:u w:val="single"/>
          <w:lang w:eastAsia="zh-CN"/>
        </w:rPr>
      </w:pPr>
      <w:r w:rsidRPr="009530E2">
        <w:rPr>
          <w:rFonts w:ascii="Arial" w:eastAsia="SimSun" w:hAnsi="Arial" w:cs="Arial"/>
          <w:noProof/>
          <w:sz w:val="20"/>
          <w:szCs w:val="24"/>
          <w:lang w:val="en-US"/>
        </w:rPr>
        <w:t>Mieux faire connaître le patrimoine immatériel d’une communauté donnée</w:t>
      </w:r>
      <w:r w:rsidRPr="00A14E77">
        <w:rPr>
          <w:rFonts w:ascii="Arial" w:eastAsia="SimSun" w:hAnsi="Arial" w:cs="Arial"/>
          <w:snapToGrid w:val="0"/>
          <w:szCs w:val="24"/>
          <w:lang w:eastAsia="zh-CN"/>
        </w:rPr>
        <w:t>.</w:t>
      </w:r>
    </w:p>
    <w:sectPr w:rsidR="00660044" w:rsidRPr="003A703B" w:rsidSect="00EA67A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F4" w:rsidRDefault="0012449F">
      <w:pPr>
        <w:spacing w:after="0" w:line="240" w:lineRule="auto"/>
      </w:pPr>
      <w:r>
        <w:separator/>
      </w:r>
    </w:p>
  </w:endnote>
  <w:endnote w:type="continuationSeparator" w:id="0">
    <w:p w:rsidR="00BC43F4" w:rsidRDefault="0012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28" w:rsidRPr="009530E2" w:rsidRDefault="00CE3716" w:rsidP="009530E2">
    <w:pPr>
      <w:pStyle w:val="Footer"/>
      <w:rPr>
        <w:rFonts w:asciiTheme="minorBidi" w:hAnsiTheme="minorBidi"/>
        <w:sz w:val="16"/>
        <w:szCs w:val="16"/>
      </w:rPr>
    </w:pPr>
    <w:r w:rsidRPr="006021AD">
      <w:rPr>
        <w:rFonts w:cs="Arial"/>
        <w:noProof/>
        <w:lang w:eastAsia="fr-FR"/>
      </w:rPr>
      <w:drawing>
        <wp:anchor distT="0" distB="0" distL="114300" distR="114300" simplePos="0" relativeHeight="251673600" behindDoc="0" locked="0" layoutInCell="1" allowOverlap="1" wp14:anchorId="77C1F674" wp14:editId="6718B1CE">
          <wp:simplePos x="0" y="0"/>
          <wp:positionH relativeFrom="column">
            <wp:posOffset>2614295</wp:posOffset>
          </wp:positionH>
          <wp:positionV relativeFrom="paragraph">
            <wp:posOffset>-1905</wp:posOffset>
          </wp:positionV>
          <wp:extent cx="542925" cy="190500"/>
          <wp:effectExtent l="0" t="0" r="9525" b="0"/>
          <wp:wrapThrough wrapText="bothSides">
            <wp:wrapPolygon edited="0">
              <wp:start x="0" y="0"/>
              <wp:lineTo x="0" y="19440"/>
              <wp:lineTo x="21221" y="19440"/>
              <wp:lineTo x="212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A7E28" w:rsidRPr="00FA7E28">
      <w:rPr>
        <w:noProof/>
        <w:lang w:eastAsia="fr-FR"/>
      </w:rPr>
      <w:drawing>
        <wp:anchor distT="0" distB="0" distL="114300" distR="114300" simplePos="0" relativeHeight="251661312" behindDoc="0" locked="0" layoutInCell="1" allowOverlap="1" wp14:anchorId="2CF9A749" wp14:editId="00936554">
          <wp:simplePos x="0" y="0"/>
          <wp:positionH relativeFrom="margin">
            <wp:align>left</wp:align>
          </wp:positionH>
          <wp:positionV relativeFrom="paragraph">
            <wp:posOffset>-288641</wp:posOffset>
          </wp:positionV>
          <wp:extent cx="839478" cy="6302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8" cy="630244"/>
                  </a:xfrm>
                  <a:prstGeom prst="rect">
                    <a:avLst/>
                  </a:prstGeom>
                </pic:spPr>
              </pic:pic>
            </a:graphicData>
          </a:graphic>
          <wp14:sizeRelH relativeFrom="page">
            <wp14:pctWidth>0</wp14:pctWidth>
          </wp14:sizeRelH>
          <wp14:sizeRelV relativeFrom="page">
            <wp14:pctHeight>0</wp14:pctHeight>
          </wp14:sizeRelV>
        </wp:anchor>
      </w:drawing>
    </w:r>
    <w:r w:rsidR="00FA7E28" w:rsidRPr="00FA7E28">
      <w:tab/>
    </w:r>
    <w:r w:rsidR="009530E2">
      <w:rPr>
        <w:rFonts w:asciiTheme="minorBidi" w:hAnsiTheme="minorBidi"/>
        <w:sz w:val="16"/>
        <w:szCs w:val="16"/>
      </w:rPr>
      <w:tab/>
      <w:t>U034-v1.1.HO-FR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28" w:rsidRPr="009530E2" w:rsidRDefault="00CE3716" w:rsidP="009530E2">
    <w:pPr>
      <w:pStyle w:val="Footer"/>
      <w:rPr>
        <w:rFonts w:asciiTheme="minorBidi" w:hAnsiTheme="minorBidi"/>
        <w:sz w:val="16"/>
        <w:szCs w:val="16"/>
      </w:rPr>
    </w:pPr>
    <w:r w:rsidRPr="006021AD">
      <w:rPr>
        <w:rFonts w:cs="Arial"/>
        <w:noProof/>
        <w:lang w:eastAsia="fr-FR"/>
      </w:rPr>
      <w:drawing>
        <wp:anchor distT="0" distB="0" distL="114300" distR="114300" simplePos="0" relativeHeight="251675648" behindDoc="0" locked="0" layoutInCell="1" allowOverlap="1" wp14:anchorId="77C1F674" wp14:editId="6718B1CE">
          <wp:simplePos x="0" y="0"/>
          <wp:positionH relativeFrom="column">
            <wp:posOffset>2957195</wp:posOffset>
          </wp:positionH>
          <wp:positionV relativeFrom="paragraph">
            <wp:posOffset>-30480</wp:posOffset>
          </wp:positionV>
          <wp:extent cx="542925" cy="190500"/>
          <wp:effectExtent l="0" t="0" r="9525" b="0"/>
          <wp:wrapThrough wrapText="bothSides">
            <wp:wrapPolygon edited="0">
              <wp:start x="0" y="0"/>
              <wp:lineTo x="0" y="19440"/>
              <wp:lineTo x="21221" y="19440"/>
              <wp:lineTo x="212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A7E28" w:rsidRPr="009530E2">
      <w:rPr>
        <w:rFonts w:asciiTheme="minorBidi" w:hAnsiTheme="minorBidi"/>
        <w:noProof/>
        <w:sz w:val="16"/>
        <w:szCs w:val="16"/>
        <w:lang w:eastAsia="fr-FR"/>
      </w:rPr>
      <w:drawing>
        <wp:anchor distT="0" distB="0" distL="114300" distR="114300" simplePos="0" relativeHeight="251663360" behindDoc="0" locked="0" layoutInCell="1" allowOverlap="1" wp14:anchorId="4483151D" wp14:editId="73CDCBF4">
          <wp:simplePos x="0" y="0"/>
          <wp:positionH relativeFrom="margin">
            <wp:posOffset>4928870</wp:posOffset>
          </wp:positionH>
          <wp:positionV relativeFrom="paragraph">
            <wp:posOffset>-288925</wp:posOffset>
          </wp:positionV>
          <wp:extent cx="839470" cy="629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0" cy="629920"/>
                  </a:xfrm>
                  <a:prstGeom prst="rect">
                    <a:avLst/>
                  </a:prstGeom>
                </pic:spPr>
              </pic:pic>
            </a:graphicData>
          </a:graphic>
          <wp14:sizeRelH relativeFrom="page">
            <wp14:pctWidth>0</wp14:pctWidth>
          </wp14:sizeRelH>
          <wp14:sizeRelV relativeFrom="page">
            <wp14:pctHeight>0</wp14:pctHeight>
          </wp14:sizeRelV>
        </wp:anchor>
      </w:drawing>
    </w:r>
    <w:r w:rsidR="00FA7E28" w:rsidRPr="009530E2">
      <w:rPr>
        <w:rFonts w:asciiTheme="minorBidi" w:hAnsiTheme="minorBidi"/>
        <w:sz w:val="16"/>
        <w:szCs w:val="16"/>
      </w:rPr>
      <w:t xml:space="preserve">U034-v1.0-HO-FR </w:t>
    </w:r>
    <w:r w:rsidR="00FA7E28" w:rsidRPr="009530E2">
      <w:rPr>
        <w:rFonts w:asciiTheme="minorBidi" w:hAnsiTheme="minorBidi"/>
        <w:sz w:val="16"/>
        <w:szCs w:val="16"/>
      </w:rPr>
      <w:tab/>
    </w:r>
    <w:r w:rsidR="00FA7E28" w:rsidRPr="009530E2">
      <w:rPr>
        <w:rFonts w:asciiTheme="minorBidi" w:hAnsiTheme="minorBid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28" w:rsidRPr="009530E2" w:rsidRDefault="00CE3716" w:rsidP="003A703B">
    <w:pPr>
      <w:pStyle w:val="Footer"/>
      <w:rPr>
        <w:rFonts w:asciiTheme="minorBidi" w:hAnsiTheme="minorBidi"/>
        <w:sz w:val="16"/>
        <w:szCs w:val="16"/>
      </w:rPr>
    </w:pPr>
    <w:r w:rsidRPr="006021AD">
      <w:rPr>
        <w:rFonts w:cs="Arial"/>
        <w:noProof/>
        <w:lang w:eastAsia="fr-FR"/>
      </w:rPr>
      <w:drawing>
        <wp:anchor distT="0" distB="0" distL="114300" distR="114300" simplePos="0" relativeHeight="251671552" behindDoc="0" locked="0" layoutInCell="1" allowOverlap="1" wp14:anchorId="77C1F674" wp14:editId="6718B1CE">
          <wp:simplePos x="0" y="0"/>
          <wp:positionH relativeFrom="column">
            <wp:posOffset>2728595</wp:posOffset>
          </wp:positionH>
          <wp:positionV relativeFrom="paragraph">
            <wp:posOffset>-40005</wp:posOffset>
          </wp:positionV>
          <wp:extent cx="542925" cy="190500"/>
          <wp:effectExtent l="0" t="0" r="9525" b="0"/>
          <wp:wrapThrough wrapText="bothSides">
            <wp:wrapPolygon edited="0">
              <wp:start x="0" y="0"/>
              <wp:lineTo x="0" y="19440"/>
              <wp:lineTo x="21221" y="19440"/>
              <wp:lineTo x="2122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A7E28" w:rsidRPr="009530E2">
      <w:rPr>
        <w:rFonts w:asciiTheme="minorBidi" w:hAnsiTheme="minorBidi"/>
        <w:noProof/>
        <w:sz w:val="16"/>
        <w:szCs w:val="16"/>
        <w:lang w:eastAsia="fr-FR"/>
      </w:rPr>
      <w:drawing>
        <wp:anchor distT="0" distB="0" distL="114300" distR="114300" simplePos="0" relativeHeight="251659264" behindDoc="0" locked="0" layoutInCell="1" allowOverlap="1" wp14:anchorId="46C5D8B5" wp14:editId="2F176DD9">
          <wp:simplePos x="0" y="0"/>
          <wp:positionH relativeFrom="margin">
            <wp:posOffset>4928870</wp:posOffset>
          </wp:positionH>
          <wp:positionV relativeFrom="paragraph">
            <wp:posOffset>-288925</wp:posOffset>
          </wp:positionV>
          <wp:extent cx="839470" cy="629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9470" cy="629920"/>
                  </a:xfrm>
                  <a:prstGeom prst="rect">
                    <a:avLst/>
                  </a:prstGeom>
                </pic:spPr>
              </pic:pic>
            </a:graphicData>
          </a:graphic>
          <wp14:sizeRelH relativeFrom="page">
            <wp14:pctWidth>0</wp14:pctWidth>
          </wp14:sizeRelH>
          <wp14:sizeRelV relativeFrom="page">
            <wp14:pctHeight>0</wp14:pctHeight>
          </wp14:sizeRelV>
        </wp:anchor>
      </w:drawing>
    </w:r>
    <w:r w:rsidR="00FA7E28" w:rsidRPr="009530E2">
      <w:rPr>
        <w:rFonts w:asciiTheme="minorBidi" w:hAnsiTheme="minorBidi"/>
        <w:sz w:val="16"/>
        <w:szCs w:val="16"/>
      </w:rPr>
      <w:t xml:space="preserve">U034-v1.0-HO-FR </w:t>
    </w:r>
    <w:r w:rsidR="00FA7E28" w:rsidRPr="009530E2">
      <w:rPr>
        <w:rFonts w:asciiTheme="minorBidi" w:hAnsiTheme="minorBidi"/>
        <w:sz w:val="16"/>
        <w:szCs w:val="16"/>
      </w:rPr>
      <w:tab/>
    </w:r>
    <w:r w:rsidR="00FA7E28" w:rsidRPr="009530E2">
      <w:rPr>
        <w:rFonts w:asciiTheme="minorBidi" w:hAnsiTheme="minorBid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F4" w:rsidRDefault="0012449F">
      <w:pPr>
        <w:spacing w:after="0" w:line="240" w:lineRule="auto"/>
      </w:pPr>
      <w:r>
        <w:separator/>
      </w:r>
    </w:p>
  </w:footnote>
  <w:footnote w:type="continuationSeparator" w:id="0">
    <w:p w:rsidR="00BC43F4" w:rsidRDefault="0012449F">
      <w:pPr>
        <w:spacing w:after="0" w:line="240" w:lineRule="auto"/>
      </w:pPr>
      <w:r>
        <w:continuationSeparator/>
      </w:r>
    </w:p>
  </w:footnote>
  <w:footnote w:id="1">
    <w:p w:rsidR="001E70A3" w:rsidRPr="003A703B" w:rsidRDefault="001E70A3" w:rsidP="003A703B">
      <w:pPr>
        <w:pStyle w:val="FootnoteText"/>
        <w:tabs>
          <w:tab w:val="left" w:pos="284"/>
        </w:tabs>
        <w:snapToGrid w:val="0"/>
        <w:spacing w:after="60" w:line="180" w:lineRule="exact"/>
        <w:ind w:left="284" w:hanging="284"/>
        <w:jc w:val="both"/>
        <w:rPr>
          <w:rStyle w:val="FootnoteReference"/>
          <w:rFonts w:ascii="Arial" w:eastAsia="SimSun" w:hAnsi="Arial" w:cs="Arial"/>
          <w:snapToGrid w:val="0"/>
          <w:sz w:val="16"/>
          <w:vertAlign w:val="baseline"/>
          <w:lang w:val="en-US" w:eastAsia="zh-CN"/>
        </w:rPr>
      </w:pPr>
      <w:r w:rsidRPr="003A703B">
        <w:rPr>
          <w:rStyle w:val="FootnoteReference"/>
          <w:rFonts w:ascii="Arial" w:eastAsia="SimSun" w:hAnsi="Arial" w:cs="Arial"/>
          <w:snapToGrid w:val="0"/>
          <w:sz w:val="16"/>
          <w:vertAlign w:val="baseline"/>
          <w:lang w:val="en-US" w:eastAsia="zh-CN"/>
        </w:rPr>
        <w:footnoteRef/>
      </w:r>
      <w:r w:rsidR="003A703B">
        <w:rPr>
          <w:rStyle w:val="FootnoteReference"/>
          <w:rFonts w:ascii="Arial" w:eastAsia="SimSun" w:hAnsi="Arial" w:cs="Arial"/>
          <w:snapToGrid w:val="0"/>
          <w:sz w:val="16"/>
          <w:vertAlign w:val="baseline"/>
          <w:lang w:val="en-US" w:eastAsia="zh-CN"/>
        </w:rPr>
        <w:t>.</w:t>
      </w:r>
      <w:r w:rsidR="003A703B">
        <w:rPr>
          <w:rStyle w:val="FootnoteReference"/>
          <w:rFonts w:ascii="Arial" w:eastAsia="SimSun" w:hAnsi="Arial" w:cs="Arial"/>
          <w:snapToGrid w:val="0"/>
          <w:sz w:val="16"/>
          <w:vertAlign w:val="baseline"/>
          <w:lang w:val="en-US" w:eastAsia="zh-CN"/>
        </w:rPr>
        <w:tab/>
      </w:r>
      <w:proofErr w:type="spellStart"/>
      <w:r w:rsidRPr="003A703B">
        <w:rPr>
          <w:rStyle w:val="FootnoteReference"/>
          <w:rFonts w:ascii="Arial" w:eastAsia="SimSun" w:hAnsi="Arial" w:cs="Arial"/>
          <w:snapToGrid w:val="0"/>
          <w:sz w:val="16"/>
          <w:vertAlign w:val="baseline"/>
          <w:lang w:val="en-US" w:eastAsia="zh-CN"/>
        </w:rPr>
        <w:t>Souvent</w:t>
      </w:r>
      <w:proofErr w:type="spellEnd"/>
      <w:r w:rsidRPr="003A703B">
        <w:rPr>
          <w:rStyle w:val="FootnoteReference"/>
          <w:rFonts w:ascii="Arial" w:eastAsia="SimSun" w:hAnsi="Arial" w:cs="Arial"/>
          <w:snapToGrid w:val="0"/>
          <w:sz w:val="16"/>
          <w:vertAlign w:val="baseline"/>
          <w:lang w:val="en-US" w:eastAsia="zh-CN"/>
        </w:rPr>
        <w:t xml:space="preserve"> </w:t>
      </w:r>
      <w:proofErr w:type="spellStart"/>
      <w:r w:rsidRPr="003A703B">
        <w:rPr>
          <w:rStyle w:val="FootnoteReference"/>
          <w:rFonts w:ascii="Arial" w:eastAsia="SimSun" w:hAnsi="Arial" w:cs="Arial"/>
          <w:snapToGrid w:val="0"/>
          <w:sz w:val="16"/>
          <w:vertAlign w:val="baseline"/>
          <w:lang w:val="en-US" w:eastAsia="zh-CN"/>
        </w:rPr>
        <w:t>désigné</w:t>
      </w:r>
      <w:r w:rsidR="00560940" w:rsidRPr="003A703B">
        <w:rPr>
          <w:rStyle w:val="FootnoteReference"/>
          <w:rFonts w:ascii="Arial" w:eastAsia="SimSun" w:hAnsi="Arial" w:cs="Arial"/>
          <w:snapToGrid w:val="0"/>
          <w:sz w:val="16"/>
          <w:vertAlign w:val="baseline"/>
          <w:lang w:val="en-US" w:eastAsia="zh-CN"/>
        </w:rPr>
        <w:t>e</w:t>
      </w:r>
      <w:proofErr w:type="spellEnd"/>
      <w:r w:rsidRPr="003A703B">
        <w:rPr>
          <w:rStyle w:val="FootnoteReference"/>
          <w:rFonts w:ascii="Arial" w:eastAsia="SimSun" w:hAnsi="Arial" w:cs="Arial"/>
          <w:snapToGrid w:val="0"/>
          <w:sz w:val="16"/>
          <w:vertAlign w:val="baseline"/>
          <w:lang w:val="en-US" w:eastAsia="zh-CN"/>
        </w:rPr>
        <w:t xml:space="preserve"> par ‘Convention du patrimoine immatériel’, la ‘Convention de 2003’ et, dans le cadre de cette unité,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55" w:rsidRPr="009530E2" w:rsidRDefault="00A86AE5" w:rsidP="009530E2">
    <w:pPr>
      <w:pStyle w:val="Header"/>
      <w:rPr>
        <w:rFonts w:asciiTheme="minorBidi" w:hAnsiTheme="minorBidi"/>
        <w:sz w:val="16"/>
        <w:szCs w:val="16"/>
      </w:rPr>
    </w:pPr>
    <w:r w:rsidRPr="009B0AD4">
      <w:rPr>
        <w:rStyle w:val="PageNumber"/>
        <w:rFonts w:asciiTheme="minorBidi" w:hAnsiTheme="minorBidi"/>
        <w:sz w:val="16"/>
        <w:szCs w:val="16"/>
      </w:rPr>
      <w:fldChar w:fldCharType="begin"/>
    </w:r>
    <w:r w:rsidRPr="009B0AD4">
      <w:rPr>
        <w:rStyle w:val="PageNumber"/>
        <w:rFonts w:asciiTheme="minorBidi" w:hAnsiTheme="minorBidi"/>
        <w:sz w:val="16"/>
        <w:szCs w:val="16"/>
        <w:lang w:val="en-US"/>
      </w:rPr>
      <w:instrText xml:space="preserve"> PAGE </w:instrText>
    </w:r>
    <w:r w:rsidRPr="009B0AD4">
      <w:rPr>
        <w:rStyle w:val="PageNumber"/>
        <w:rFonts w:asciiTheme="minorBidi" w:hAnsiTheme="minorBidi"/>
        <w:sz w:val="16"/>
        <w:szCs w:val="16"/>
      </w:rPr>
      <w:fldChar w:fldCharType="separate"/>
    </w:r>
    <w:r w:rsidR="00CE3716">
      <w:rPr>
        <w:rStyle w:val="PageNumber"/>
        <w:rFonts w:asciiTheme="minorBidi" w:hAnsiTheme="minorBidi"/>
        <w:noProof/>
        <w:sz w:val="16"/>
        <w:szCs w:val="16"/>
        <w:lang w:val="en-US"/>
      </w:rPr>
      <w:t>4</w:t>
    </w:r>
    <w:r w:rsidRPr="009B0AD4">
      <w:rPr>
        <w:rStyle w:val="PageNumber"/>
        <w:rFonts w:asciiTheme="minorBidi" w:hAnsiTheme="minorBidi"/>
        <w:sz w:val="16"/>
        <w:szCs w:val="16"/>
      </w:rPr>
      <w:fldChar w:fldCharType="end"/>
    </w:r>
    <w:r w:rsidR="006B3145" w:rsidRPr="009530E2">
      <w:rPr>
        <w:rFonts w:asciiTheme="minorBidi" w:hAnsiTheme="minorBidi"/>
        <w:sz w:val="16"/>
        <w:szCs w:val="16"/>
      </w:rPr>
      <w:tab/>
      <w:t>Unité 34 : INV- Séance de clôture</w:t>
    </w:r>
    <w:r w:rsidR="006B3145" w:rsidRPr="009530E2">
      <w:rPr>
        <w:rFonts w:asciiTheme="minorBidi" w:hAnsiTheme="minorBidi"/>
        <w:sz w:val="16"/>
        <w:szCs w:val="16"/>
      </w:rPr>
      <w:tab/>
      <w:t>Imprimé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45" w:rsidRPr="009530E2" w:rsidRDefault="006B3145" w:rsidP="009530E2">
    <w:pPr>
      <w:pStyle w:val="Header"/>
      <w:rPr>
        <w:rFonts w:asciiTheme="minorBidi" w:hAnsiTheme="minorBidi"/>
        <w:sz w:val="16"/>
        <w:szCs w:val="16"/>
      </w:rPr>
    </w:pPr>
    <w:r w:rsidRPr="009530E2">
      <w:rPr>
        <w:rFonts w:asciiTheme="minorBidi" w:hAnsiTheme="minorBidi"/>
        <w:sz w:val="16"/>
        <w:szCs w:val="16"/>
      </w:rPr>
      <w:t>Imprimé</w:t>
    </w:r>
    <w:r w:rsidRPr="009530E2">
      <w:rPr>
        <w:rFonts w:asciiTheme="minorBidi" w:hAnsiTheme="minorBidi"/>
        <w:sz w:val="16"/>
        <w:szCs w:val="16"/>
      </w:rPr>
      <w:tab/>
      <w:t>Unité 34 : INV- Séance de clôture</w:t>
    </w:r>
    <w:r w:rsidRPr="009530E2">
      <w:rPr>
        <w:rFonts w:asciiTheme="minorBidi" w:hAnsiTheme="minorBidi"/>
        <w:sz w:val="16"/>
        <w:szCs w:val="16"/>
      </w:rPr>
      <w:tab/>
    </w:r>
    <w:r w:rsidR="00A86AE5" w:rsidRPr="009B0AD4">
      <w:rPr>
        <w:rStyle w:val="PageNumber"/>
        <w:rFonts w:asciiTheme="minorBidi" w:hAnsiTheme="minorBidi"/>
        <w:sz w:val="16"/>
        <w:szCs w:val="16"/>
      </w:rPr>
      <w:fldChar w:fldCharType="begin"/>
    </w:r>
    <w:r w:rsidR="00A86AE5" w:rsidRPr="009B0AD4">
      <w:rPr>
        <w:rStyle w:val="PageNumber"/>
        <w:rFonts w:asciiTheme="minorBidi" w:hAnsiTheme="minorBidi"/>
        <w:sz w:val="16"/>
        <w:szCs w:val="16"/>
        <w:lang w:val="en-US"/>
      </w:rPr>
      <w:instrText xml:space="preserve"> PAGE </w:instrText>
    </w:r>
    <w:r w:rsidR="00A86AE5" w:rsidRPr="009B0AD4">
      <w:rPr>
        <w:rStyle w:val="PageNumber"/>
        <w:rFonts w:asciiTheme="minorBidi" w:hAnsiTheme="minorBidi"/>
        <w:sz w:val="16"/>
        <w:szCs w:val="16"/>
      </w:rPr>
      <w:fldChar w:fldCharType="separate"/>
    </w:r>
    <w:r w:rsidR="00CE3716">
      <w:rPr>
        <w:rStyle w:val="PageNumber"/>
        <w:rFonts w:asciiTheme="minorBidi" w:hAnsiTheme="minorBidi"/>
        <w:noProof/>
        <w:sz w:val="16"/>
        <w:szCs w:val="16"/>
        <w:lang w:val="en-US"/>
      </w:rPr>
      <w:t>5</w:t>
    </w:r>
    <w:r w:rsidR="00A86AE5" w:rsidRPr="009B0AD4">
      <w:rPr>
        <w:rStyle w:val="PageNumber"/>
        <w:rFonts w:asciiTheme="minorBidi" w:hAnsiTheme="minorBid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28" w:rsidRPr="00A86AE5" w:rsidRDefault="00FA7E28" w:rsidP="00EA67A3">
    <w:pPr>
      <w:pStyle w:val="Header"/>
      <w:jc w:val="center"/>
      <w:rPr>
        <w:rFonts w:asciiTheme="minorBidi" w:hAnsiTheme="minorBidi"/>
        <w:sz w:val="16"/>
        <w:szCs w:val="16"/>
      </w:rPr>
    </w:pPr>
    <w:r w:rsidRPr="00A86AE5">
      <w:rPr>
        <w:rFonts w:asciiTheme="minorBidi" w:hAnsiTheme="minorBidi"/>
        <w:sz w:val="16"/>
        <w:szCs w:val="16"/>
      </w:rPr>
      <w:t>Imprimé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6ED"/>
    <w:multiLevelType w:val="hybridMultilevel"/>
    <w:tmpl w:val="9C54BB8A"/>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C50D52"/>
    <w:multiLevelType w:val="hybridMultilevel"/>
    <w:tmpl w:val="56402A28"/>
    <w:lvl w:ilvl="0" w:tplc="D13A4D1C">
      <w:start w:val="1"/>
      <w:numFmt w:val="lowerLetter"/>
      <w:lvlText w:val="(%1)"/>
      <w:lvlJc w:val="left"/>
      <w:pPr>
        <w:ind w:left="740" w:hanging="3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95399"/>
    <w:multiLevelType w:val="hybridMultilevel"/>
    <w:tmpl w:val="B816D0E4"/>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353A26"/>
    <w:multiLevelType w:val="hybridMultilevel"/>
    <w:tmpl w:val="1AC2DD40"/>
    <w:lvl w:ilvl="0" w:tplc="D13A4D1C">
      <w:start w:val="1"/>
      <w:numFmt w:val="lowerLetter"/>
      <w:lvlText w:val="(%1)"/>
      <w:lvlJc w:val="left"/>
      <w:pPr>
        <w:ind w:left="740" w:hanging="380"/>
      </w:pPr>
      <w:rPr>
        <w:rFonts w:hint="default"/>
        <w:b w:val="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AA36CB"/>
    <w:multiLevelType w:val="hybridMultilevel"/>
    <w:tmpl w:val="6ACA5FAE"/>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4F5566"/>
    <w:multiLevelType w:val="hybridMultilevel"/>
    <w:tmpl w:val="E08AA19E"/>
    <w:lvl w:ilvl="0" w:tplc="D13A4D1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F24031C"/>
    <w:multiLevelType w:val="hybridMultilevel"/>
    <w:tmpl w:val="ED3CA7EC"/>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7C75DE2"/>
    <w:multiLevelType w:val="hybridMultilevel"/>
    <w:tmpl w:val="D09C967E"/>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9A115A"/>
    <w:multiLevelType w:val="hybridMultilevel"/>
    <w:tmpl w:val="CEF87BB0"/>
    <w:lvl w:ilvl="0" w:tplc="D13A4D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AD1CED"/>
    <w:multiLevelType w:val="hybridMultilevel"/>
    <w:tmpl w:val="CEA8A8A4"/>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84F17A4"/>
    <w:multiLevelType w:val="hybridMultilevel"/>
    <w:tmpl w:val="501A8B86"/>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1232C5"/>
    <w:multiLevelType w:val="hybridMultilevel"/>
    <w:tmpl w:val="EEDE5C78"/>
    <w:lvl w:ilvl="0" w:tplc="D13A4D1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11D2A00"/>
    <w:multiLevelType w:val="hybridMultilevel"/>
    <w:tmpl w:val="F7E46666"/>
    <w:lvl w:ilvl="0" w:tplc="D13A4D1C">
      <w:start w:val="1"/>
      <w:numFmt w:val="lowerLetter"/>
      <w:lvlText w:val="(%1)"/>
      <w:lvlJc w:val="left"/>
      <w:pPr>
        <w:ind w:left="740" w:hanging="38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7E400A"/>
    <w:multiLevelType w:val="hybridMultilevel"/>
    <w:tmpl w:val="F2740BF4"/>
    <w:lvl w:ilvl="0" w:tplc="D13A4D1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0"/>
  </w:num>
  <w:num w:numId="5">
    <w:abstractNumId w:val="4"/>
  </w:num>
  <w:num w:numId="6">
    <w:abstractNumId w:val="6"/>
  </w:num>
  <w:num w:numId="7">
    <w:abstractNumId w:val="8"/>
  </w:num>
  <w:num w:numId="8">
    <w:abstractNumId w:val="13"/>
  </w:num>
  <w:num w:numId="9">
    <w:abstractNumId w:val="12"/>
  </w:num>
  <w:num w:numId="10">
    <w:abstractNumId w:val="1"/>
  </w:num>
  <w:num w:numId="11">
    <w:abstractNumId w:val="10"/>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77"/>
    <w:rsid w:val="00056B62"/>
    <w:rsid w:val="0012449F"/>
    <w:rsid w:val="001E70A3"/>
    <w:rsid w:val="001E7AC9"/>
    <w:rsid w:val="00231209"/>
    <w:rsid w:val="00371C80"/>
    <w:rsid w:val="003A703B"/>
    <w:rsid w:val="00506A12"/>
    <w:rsid w:val="00560940"/>
    <w:rsid w:val="00660044"/>
    <w:rsid w:val="006B3145"/>
    <w:rsid w:val="007B6194"/>
    <w:rsid w:val="009530E2"/>
    <w:rsid w:val="00995E56"/>
    <w:rsid w:val="009D0F49"/>
    <w:rsid w:val="00A14E77"/>
    <w:rsid w:val="00A86AE5"/>
    <w:rsid w:val="00BC43F4"/>
    <w:rsid w:val="00CE3716"/>
    <w:rsid w:val="00EA67A3"/>
    <w:rsid w:val="00EB6473"/>
    <w:rsid w:val="00FA7E2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0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E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4E77"/>
  </w:style>
  <w:style w:type="paragraph" w:styleId="FootnoteText">
    <w:name w:val="footnote text"/>
    <w:basedOn w:val="Normal"/>
    <w:link w:val="FootnoteTextChar"/>
    <w:unhideWhenUsed/>
    <w:rsid w:val="001E70A3"/>
    <w:pPr>
      <w:spacing w:after="0" w:line="240" w:lineRule="auto"/>
    </w:pPr>
    <w:rPr>
      <w:sz w:val="20"/>
      <w:szCs w:val="20"/>
    </w:rPr>
  </w:style>
  <w:style w:type="character" w:customStyle="1" w:styleId="FootnoteTextChar">
    <w:name w:val="Footnote Text Char"/>
    <w:basedOn w:val="DefaultParagraphFont"/>
    <w:link w:val="FootnoteText"/>
    <w:rsid w:val="001E70A3"/>
    <w:rPr>
      <w:sz w:val="20"/>
      <w:szCs w:val="20"/>
    </w:rPr>
  </w:style>
  <w:style w:type="character" w:styleId="FootnoteReference">
    <w:name w:val="footnote reference"/>
    <w:unhideWhenUsed/>
    <w:rsid w:val="001E70A3"/>
    <w:rPr>
      <w:vertAlign w:val="superscript"/>
    </w:rPr>
  </w:style>
  <w:style w:type="paragraph" w:styleId="BalloonText">
    <w:name w:val="Balloon Text"/>
    <w:basedOn w:val="Normal"/>
    <w:link w:val="BalloonTextChar"/>
    <w:uiPriority w:val="99"/>
    <w:semiHidden/>
    <w:unhideWhenUsed/>
    <w:rsid w:val="001E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0A3"/>
    <w:rPr>
      <w:rFonts w:ascii="Tahoma" w:hAnsi="Tahoma" w:cs="Tahoma"/>
      <w:sz w:val="16"/>
      <w:szCs w:val="16"/>
    </w:rPr>
  </w:style>
  <w:style w:type="paragraph" w:styleId="Footer">
    <w:name w:val="footer"/>
    <w:basedOn w:val="Normal"/>
    <w:link w:val="FooterChar"/>
    <w:uiPriority w:val="99"/>
    <w:unhideWhenUsed/>
    <w:rsid w:val="00FA7E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7E28"/>
  </w:style>
  <w:style w:type="paragraph" w:customStyle="1" w:styleId="Chapitre">
    <w:name w:val="Chapitre"/>
    <w:basedOn w:val="Heading1"/>
    <w:link w:val="ChapitreCar"/>
    <w:rsid w:val="003A703B"/>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3A703B"/>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3A703B"/>
    <w:rPr>
      <w:rFonts w:asciiTheme="majorHAnsi" w:eastAsiaTheme="majorEastAsia" w:hAnsiTheme="majorHAnsi" w:cstheme="majorBidi"/>
      <w:b/>
      <w:bCs/>
      <w:color w:val="365F91" w:themeColor="accent1" w:themeShade="BF"/>
      <w:sz w:val="28"/>
      <w:szCs w:val="28"/>
    </w:rPr>
  </w:style>
  <w:style w:type="character" w:styleId="PageNumber">
    <w:name w:val="page number"/>
    <w:rsid w:val="00A86AE5"/>
  </w:style>
  <w:style w:type="character" w:styleId="Hyperlink">
    <w:name w:val="Hyperlink"/>
    <w:basedOn w:val="DefaultParagraphFont"/>
    <w:unhideWhenUsed/>
    <w:rsid w:val="007B61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0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E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4E77"/>
  </w:style>
  <w:style w:type="paragraph" w:styleId="FootnoteText">
    <w:name w:val="footnote text"/>
    <w:basedOn w:val="Normal"/>
    <w:link w:val="FootnoteTextChar"/>
    <w:unhideWhenUsed/>
    <w:rsid w:val="001E70A3"/>
    <w:pPr>
      <w:spacing w:after="0" w:line="240" w:lineRule="auto"/>
    </w:pPr>
    <w:rPr>
      <w:sz w:val="20"/>
      <w:szCs w:val="20"/>
    </w:rPr>
  </w:style>
  <w:style w:type="character" w:customStyle="1" w:styleId="FootnoteTextChar">
    <w:name w:val="Footnote Text Char"/>
    <w:basedOn w:val="DefaultParagraphFont"/>
    <w:link w:val="FootnoteText"/>
    <w:rsid w:val="001E70A3"/>
    <w:rPr>
      <w:sz w:val="20"/>
      <w:szCs w:val="20"/>
    </w:rPr>
  </w:style>
  <w:style w:type="character" w:styleId="FootnoteReference">
    <w:name w:val="footnote reference"/>
    <w:unhideWhenUsed/>
    <w:rsid w:val="001E70A3"/>
    <w:rPr>
      <w:vertAlign w:val="superscript"/>
    </w:rPr>
  </w:style>
  <w:style w:type="paragraph" w:styleId="BalloonText">
    <w:name w:val="Balloon Text"/>
    <w:basedOn w:val="Normal"/>
    <w:link w:val="BalloonTextChar"/>
    <w:uiPriority w:val="99"/>
    <w:semiHidden/>
    <w:unhideWhenUsed/>
    <w:rsid w:val="001E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0A3"/>
    <w:rPr>
      <w:rFonts w:ascii="Tahoma" w:hAnsi="Tahoma" w:cs="Tahoma"/>
      <w:sz w:val="16"/>
      <w:szCs w:val="16"/>
    </w:rPr>
  </w:style>
  <w:style w:type="paragraph" w:styleId="Footer">
    <w:name w:val="footer"/>
    <w:basedOn w:val="Normal"/>
    <w:link w:val="FooterChar"/>
    <w:uiPriority w:val="99"/>
    <w:unhideWhenUsed/>
    <w:rsid w:val="00FA7E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7E28"/>
  </w:style>
  <w:style w:type="paragraph" w:customStyle="1" w:styleId="Chapitre">
    <w:name w:val="Chapitre"/>
    <w:basedOn w:val="Heading1"/>
    <w:link w:val="ChapitreCar"/>
    <w:rsid w:val="003A703B"/>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3A703B"/>
    <w:rPr>
      <w:rFonts w:ascii="Arial" w:eastAsia="Times New Roman" w:hAnsi="Arial" w:cs="Arial"/>
      <w:b/>
      <w:bCs/>
      <w:caps/>
      <w:noProof/>
      <w:snapToGrid w:val="0"/>
      <w:color w:val="3366FF"/>
      <w:kern w:val="28"/>
      <w:sz w:val="70"/>
      <w:szCs w:val="70"/>
      <w:lang w:val="en-GB" w:eastAsia="zh-CN"/>
    </w:rPr>
  </w:style>
  <w:style w:type="character" w:customStyle="1" w:styleId="Heading1Char">
    <w:name w:val="Heading 1 Char"/>
    <w:basedOn w:val="DefaultParagraphFont"/>
    <w:link w:val="Heading1"/>
    <w:uiPriority w:val="9"/>
    <w:rsid w:val="003A703B"/>
    <w:rPr>
      <w:rFonts w:asciiTheme="majorHAnsi" w:eastAsiaTheme="majorEastAsia" w:hAnsiTheme="majorHAnsi" w:cstheme="majorBidi"/>
      <w:b/>
      <w:bCs/>
      <w:color w:val="365F91" w:themeColor="accent1" w:themeShade="BF"/>
      <w:sz w:val="28"/>
      <w:szCs w:val="28"/>
    </w:rPr>
  </w:style>
  <w:style w:type="character" w:styleId="PageNumber">
    <w:name w:val="page number"/>
    <w:rsid w:val="00A86AE5"/>
  </w:style>
  <w:style w:type="character" w:styleId="Hyperlink">
    <w:name w:val="Hyperlink"/>
    <w:basedOn w:val="DefaultParagraphFont"/>
    <w:unhideWhenUsed/>
    <w:rsid w:val="007B6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1360</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UNESCO</cp:lastModifiedBy>
  <cp:revision>14</cp:revision>
  <dcterms:created xsi:type="dcterms:W3CDTF">2015-08-06T14:47:00Z</dcterms:created>
  <dcterms:modified xsi:type="dcterms:W3CDTF">2018-02-23T11:25:00Z</dcterms:modified>
</cp:coreProperties>
</file>