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41483" w14:textId="0130ED25" w:rsidR="005E04E4" w:rsidRPr="00562F1C" w:rsidRDefault="00AC43A0" w:rsidP="00AA22F5">
      <w:pPr>
        <w:pStyle w:val="Heading1"/>
        <w:pBdr>
          <w:bottom w:val="single" w:sz="6" w:space="1" w:color="3366FF"/>
        </w:pBdr>
        <w:spacing w:beforeLines="120" w:before="288" w:afterLines="120" w:after="288"/>
        <w:jc w:val="both"/>
        <w:rPr>
          <w:sz w:val="72"/>
          <w:szCs w:val="72"/>
        </w:rPr>
      </w:pPr>
      <w:bookmarkStart w:id="0" w:name="_Toc241229778"/>
      <w:bookmarkStart w:id="1" w:name="_Toc241229982"/>
      <w:bookmarkStart w:id="2" w:name="_Toc242165676"/>
      <w:r w:rsidRPr="00562F1C">
        <w:rPr>
          <w:sz w:val="72"/>
          <w:szCs w:val="72"/>
          <w:rtl/>
        </w:rPr>
        <w:t>الوحدة</w:t>
      </w:r>
      <w:r w:rsidR="00C119BF" w:rsidRPr="00562F1C">
        <w:rPr>
          <w:sz w:val="72"/>
          <w:szCs w:val="72"/>
          <w:rtl/>
        </w:rPr>
        <w:t xml:space="preserve"> 46</w:t>
      </w:r>
      <w:r w:rsidR="000A0687" w:rsidRPr="00562F1C">
        <w:rPr>
          <w:sz w:val="72"/>
          <w:szCs w:val="72"/>
          <w:rtl/>
        </w:rPr>
        <w:tab/>
      </w:r>
    </w:p>
    <w:bookmarkEnd w:id="0"/>
    <w:bookmarkEnd w:id="1"/>
    <w:bookmarkEnd w:id="2"/>
    <w:p w14:paraId="1083D4C9" w14:textId="77777777" w:rsidR="00AC43A0" w:rsidRPr="00562F1C" w:rsidRDefault="00C86C0A" w:rsidP="00C22AF8">
      <w:pPr>
        <w:pStyle w:val="Heading2"/>
        <w:rPr>
          <w:rtl/>
        </w:rPr>
      </w:pPr>
      <w:r w:rsidRPr="00562F1C">
        <w:rPr>
          <w:rtl/>
        </w:rPr>
        <w:t>ال</w:t>
      </w:r>
      <w:r w:rsidR="00AC43A0" w:rsidRPr="00562F1C">
        <w:rPr>
          <w:rtl/>
        </w:rPr>
        <w:t xml:space="preserve">ورقة </w:t>
      </w:r>
      <w:r w:rsidRPr="00562F1C">
        <w:rPr>
          <w:rtl/>
        </w:rPr>
        <w:t>ال</w:t>
      </w:r>
      <w:r w:rsidR="00AC43A0" w:rsidRPr="00562F1C">
        <w:rPr>
          <w:rtl/>
        </w:rPr>
        <w:t>معد</w:t>
      </w:r>
      <w:r w:rsidR="00C22AF8" w:rsidRPr="00562F1C">
        <w:rPr>
          <w:rFonts w:hint="cs"/>
          <w:rtl/>
        </w:rPr>
        <w:t>ّ</w:t>
      </w:r>
      <w:r w:rsidR="00AC43A0" w:rsidRPr="00562F1C">
        <w:rPr>
          <w:rtl/>
        </w:rPr>
        <w:t xml:space="preserve">ة للتوزيع </w:t>
      </w:r>
      <w:r w:rsidR="00640C95" w:rsidRPr="00562F1C">
        <w:rPr>
          <w:rFonts w:hint="cs"/>
          <w:rtl/>
        </w:rPr>
        <w:t>3</w:t>
      </w:r>
      <w:r w:rsidR="00971DE9" w:rsidRPr="00562F1C">
        <w:rPr>
          <w:rtl/>
        </w:rPr>
        <w:t xml:space="preserve"> لسيناريو </w:t>
      </w:r>
      <w:r w:rsidR="00C22AF8" w:rsidRPr="00562F1C">
        <w:rPr>
          <w:rtl/>
        </w:rPr>
        <w:t>كاسن</w:t>
      </w:r>
      <w:r w:rsidR="00AC43A0" w:rsidRPr="00562F1C">
        <w:rPr>
          <w:rtl/>
        </w:rPr>
        <w:t>:</w:t>
      </w:r>
    </w:p>
    <w:p w14:paraId="2C86EBC7" w14:textId="0DEF9638" w:rsidR="00BB2CFB" w:rsidRPr="00562F1C" w:rsidRDefault="00E34E29" w:rsidP="00C22AF8">
      <w:pPr>
        <w:pStyle w:val="Heading3"/>
        <w:rPr>
          <w:rtl/>
        </w:rPr>
      </w:pPr>
      <w:r w:rsidRPr="00562F1C">
        <w:rPr>
          <w:rFonts w:hint="cs"/>
          <w:rtl/>
        </w:rPr>
        <w:t>نموذج خطة الصون</w:t>
      </w:r>
    </w:p>
    <w:p w14:paraId="4F0FF314" w14:textId="765F6775" w:rsidR="003B245C" w:rsidRPr="00562F1C" w:rsidRDefault="007F14BE" w:rsidP="00795BCD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IQ"/>
        </w:rPr>
        <w:t xml:space="preserve">ملاحظة </w:t>
      </w:r>
      <w:r w:rsidR="007C0BBD" w:rsidRPr="00562F1C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IQ"/>
        </w:rPr>
        <w:t xml:space="preserve">إخلاء </w:t>
      </w:r>
      <w:r w:rsidR="003B245C" w:rsidRPr="00562F1C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IQ"/>
        </w:rPr>
        <w:t>مسؤولية: إن</w:t>
      </w:r>
      <w:r w:rsidR="00795BCD" w:rsidRPr="00562F1C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IQ"/>
        </w:rPr>
        <w:t>ّ</w:t>
      </w:r>
      <w:r w:rsidR="003B245C" w:rsidRPr="00562F1C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IQ"/>
        </w:rPr>
        <w:t xml:space="preserve"> الوقائع الواردة في هذا السيناريو </w:t>
      </w:r>
      <w:r w:rsidR="003B245C" w:rsidRPr="00562F1C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  <w:t>هي وقائ</w:t>
      </w:r>
      <w:r w:rsidR="00B17ED8" w:rsidRPr="00562F1C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  <w:t>ع خيالية بالكامل، وليس أيّ تشاب</w:t>
      </w:r>
      <w:r w:rsidR="00B17ED8" w:rsidRPr="00562F1C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KW"/>
        </w:rPr>
        <w:t>هٍ</w:t>
      </w:r>
      <w:r w:rsidR="003B245C" w:rsidRPr="00562F1C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  <w:t xml:space="preserve"> بينها وبين وقائع فعلية إلا من قبيل الصدفة.</w:t>
      </w:r>
    </w:p>
    <w:p w14:paraId="31ED328A" w14:textId="4DA4FB6D" w:rsidR="001D0330" w:rsidRPr="00562F1C" w:rsidRDefault="00796807" w:rsidP="001D0330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يُطلب منكم في هذا التمرين </w:t>
      </w:r>
      <w:r w:rsidR="00FF0629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دراسة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نموذجٍ لخطة صون التراث الثقافي غير المادي المتعلّق بصناعة جبنة فانوكو في </w:t>
      </w:r>
      <w:r w:rsidR="00C22AF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وتقييمه بصورة</w:t>
      </w:r>
      <w:r w:rsidR="0026170D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موجزة. ي</w:t>
      </w:r>
      <w:r w:rsidR="0026170D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رجى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منكم استعراض نموذج خطة الصون الوارد أ</w:t>
      </w:r>
      <w:r w:rsidR="0026170D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دناه ومقارنته مع الخطة التي وضع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ها 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فريقكم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14:paraId="73B89DAA" w14:textId="704BC90B" w:rsidR="00BA3AF0" w:rsidRPr="00562F1C" w:rsidRDefault="009957A5" w:rsidP="00BA3AF0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قد تتباين خطتكم تباينًا ملحوظًا مع الخطة المقتر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حة أدناه. ي</w:t>
      </w:r>
      <w:r w:rsidR="0026170D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ُرجى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أخذ العلم بأن</w:t>
      </w:r>
      <w:r w:rsidR="0026170D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أيّ نهج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متّبع تجاه الصون هو نهج ملائم، 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شرط أن يكون قد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ضع بالتعاون مع المجمو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عات المعنية أو الأفراد المعنيين، 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 يكون 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موضع التزام وموافقة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قبلهم، وأن يعالج على نحوٍ منهجي التهديدات 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التي </w:t>
      </w:r>
      <w:r w:rsidR="00B17ED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تحدق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B17ED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استدامة عنصر (عناصر) التراث الث</w:t>
      </w:r>
      <w:r w:rsidR="00E564B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قافي غير المادي المحدّد(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ة)، وأن ت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قصد منه نتائج إ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يجابية يرجَّح أن تفضي إل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يها الإجراءات المقتر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ED4214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حة.</w:t>
      </w:r>
    </w:p>
    <w:p w14:paraId="50F2830E" w14:textId="0B5B0D8F" w:rsidR="003A5131" w:rsidRPr="00562F1C" w:rsidRDefault="003A5131" w:rsidP="00353119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0C85722E" w14:textId="77777777" w:rsidR="003B245C" w:rsidRPr="00562F1C" w:rsidRDefault="00BA3AF0" w:rsidP="00C22AF8">
      <w:pPr>
        <w:pStyle w:val="Heading4"/>
      </w:pPr>
      <w:r w:rsidRPr="00562F1C">
        <w:rPr>
          <w:rFonts w:hint="cs"/>
          <w:rtl/>
        </w:rPr>
        <w:lastRenderedPageBreak/>
        <w:t xml:space="preserve">تحديد عنصر (عناصر) التراث الثقافي غير المادي </w:t>
      </w:r>
      <w:r w:rsidR="00306518" w:rsidRPr="00562F1C">
        <w:rPr>
          <w:rFonts w:hint="cs"/>
          <w:rtl/>
        </w:rPr>
        <w:t>من أجل الحصر والصون</w:t>
      </w:r>
    </w:p>
    <w:p w14:paraId="767A0614" w14:textId="57AF1090" w:rsidR="003F49E9" w:rsidRPr="00562F1C" w:rsidRDefault="00FB59C3" w:rsidP="00640C95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العنصران المحدّدان</w:t>
      </w:r>
      <w:r w:rsidR="00916D73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هنا من أجل الحصر هما صناعة جبنة فانوكو واحتفالات عيد الخبز. </w:t>
      </w:r>
      <w:r w:rsidR="00717D62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يركّز نموذج خطة الصون أدناه على صون تقليد صناعة الجبن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ة، مع الإشارة إلى دور جبنة فانوك</w:t>
      </w:r>
      <w:r w:rsidR="00717D62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 في عيد الخبز وأهميتها بالنسبة للهوية الفانية.</w:t>
      </w:r>
      <w:r w:rsidR="00795BE9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ولا يبدو أنّ 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احتفالات عيد الخبز</w:t>
      </w:r>
      <w:r w:rsidR="007745CA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بحاجة</w:t>
      </w:r>
      <w:r w:rsidR="00E564B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7745CA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للصون، وهي ليست المناسبة الوحيدة التي </w:t>
      </w:r>
      <w:r w:rsidR="00E22D32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تتناول فيها الجماعة جبنة فانوكو.</w:t>
      </w:r>
      <w:r w:rsidR="006734C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وعليه، يُشار إليها كجزء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6734C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</w:t>
      </w:r>
      <w:r w:rsidR="00BB4B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القيمة التي تتمتّع بها</w:t>
      </w:r>
      <w:r w:rsidR="006734C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جبنة فانوكو بالنسبة للجماعة المعنية من دون أن تكون </w:t>
      </w:r>
      <w:r w:rsidR="005F3E35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أحد </w:t>
      </w:r>
      <w:r w:rsidR="006734C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مح</w:t>
      </w:r>
      <w:r w:rsidR="005F3E35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="006734C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ور </w:t>
      </w:r>
      <w:r w:rsidR="005F3E35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6734C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تركيز في نموذج خطة الصون.</w:t>
      </w:r>
      <w:r w:rsidR="005F35C7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5F3E35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وتقوم الأطراف المعنية</w:t>
      </w:r>
      <w:r w:rsidR="00EB62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(مثل الباحث) </w:t>
      </w:r>
      <w:r w:rsidR="005F3E35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غير</w:t>
      </w:r>
      <w:r w:rsidR="00EB62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5F3E35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المنتمية</w:t>
      </w:r>
      <w:r w:rsidR="00EB62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جماعة فان بالتعبير عن وجهة نظرها</w:t>
      </w:r>
      <w:r w:rsidR="00EB62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بشأن ما إذا كان ينبغي أن ي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EB62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نظر إلى صناعة جبنة فانوكو 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أنّها</w:t>
      </w:r>
      <w:r w:rsidR="0010346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عنصر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10346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منفصل أو جزء من احتفالات 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عيد الخبز؛ ولكن</w:t>
      </w:r>
      <w:r w:rsidR="00B17ED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لا ي</w:t>
      </w:r>
      <w:r w:rsidR="00E564B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فترض بآرائها</w:t>
      </w:r>
      <w:r w:rsidR="0010346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 توجّه استراتيجية الحصر والصون، إلا إذا ات</w:t>
      </w:r>
      <w:r w:rsidR="00B17ED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0346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فق </w:t>
      </w:r>
      <w:r w:rsidR="007A618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معها أعضاء </w:t>
      </w:r>
      <w:r w:rsidR="0010346F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الجماعة المعنية.</w:t>
      </w:r>
    </w:p>
    <w:tbl>
      <w:tblPr>
        <w:tblStyle w:val="TableGrid"/>
        <w:bidiVisual/>
        <w:tblW w:w="13476" w:type="dxa"/>
        <w:tblInd w:w="71" w:type="dxa"/>
        <w:tblLook w:val="04A0" w:firstRow="1" w:lastRow="0" w:firstColumn="1" w:lastColumn="0" w:noHBand="0" w:noVBand="1"/>
      </w:tblPr>
      <w:tblGrid>
        <w:gridCol w:w="2416"/>
        <w:gridCol w:w="3319"/>
        <w:gridCol w:w="4140"/>
        <w:gridCol w:w="3601"/>
      </w:tblGrid>
      <w:tr w:rsidR="000832BE" w:rsidRPr="00562F1C" w14:paraId="0DE972FC" w14:textId="77777777" w:rsidTr="00B9777D">
        <w:trPr>
          <w:cantSplit/>
          <w:trHeight w:val="1025"/>
          <w:tblHeader/>
        </w:trPr>
        <w:tc>
          <w:tcPr>
            <w:tcW w:w="2416" w:type="dxa"/>
            <w:shd w:val="clear" w:color="auto" w:fill="B4C6E7" w:themeFill="accent1" w:themeFillTint="66"/>
          </w:tcPr>
          <w:p w14:paraId="42483662" w14:textId="77777777" w:rsidR="008869C7" w:rsidRPr="00562F1C" w:rsidRDefault="008869C7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jc w:val="lef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العنصر</w:t>
            </w:r>
          </w:p>
        </w:tc>
        <w:tc>
          <w:tcPr>
            <w:tcW w:w="3319" w:type="dxa"/>
            <w:shd w:val="clear" w:color="auto" w:fill="B4C6E7" w:themeFill="accent1" w:themeFillTint="66"/>
          </w:tcPr>
          <w:p w14:paraId="675B3706" w14:textId="77777777" w:rsidR="008869C7" w:rsidRPr="00562F1C" w:rsidRDefault="008869C7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jc w:val="lef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معنى/ وظيفة العنصر ضمن الجماعة المعنية</w:t>
            </w:r>
          </w:p>
        </w:tc>
        <w:tc>
          <w:tcPr>
            <w:tcW w:w="4140" w:type="dxa"/>
            <w:shd w:val="clear" w:color="auto" w:fill="B4C6E7" w:themeFill="accent1" w:themeFillTint="66"/>
          </w:tcPr>
          <w:p w14:paraId="315AD0D3" w14:textId="77777777" w:rsidR="008869C7" w:rsidRPr="00562F1C" w:rsidRDefault="008869C7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jc w:val="lef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 xml:space="preserve">الجوانب الرئيسية </w:t>
            </w:r>
            <w:r w:rsidR="00472BE3"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ل</w:t>
            </w: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عنصر التراث الثقافي غير المادي الواجب حصرها وصونها (بحسب الجماعة المعنية)</w:t>
            </w:r>
          </w:p>
        </w:tc>
        <w:tc>
          <w:tcPr>
            <w:tcW w:w="3601" w:type="dxa"/>
            <w:shd w:val="clear" w:color="auto" w:fill="B4C6E7" w:themeFill="accent1" w:themeFillTint="66"/>
          </w:tcPr>
          <w:p w14:paraId="0409FADC" w14:textId="77777777" w:rsidR="008869C7" w:rsidRPr="00562F1C" w:rsidRDefault="00472BE3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jc w:val="lef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الجوانب ا</w:t>
            </w:r>
            <w:r w:rsidR="008869C7"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 xml:space="preserve">لتي </w:t>
            </w: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تتباين الآراء</w:t>
            </w:r>
            <w:r w:rsidR="008869C7"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 xml:space="preserve"> بشأن</w:t>
            </w: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ها</w:t>
            </w:r>
          </w:p>
        </w:tc>
      </w:tr>
      <w:tr w:rsidR="000832BE" w:rsidRPr="00562F1C" w14:paraId="7A753DA5" w14:textId="77777777" w:rsidTr="00B9777D">
        <w:trPr>
          <w:trHeight w:val="800"/>
        </w:trPr>
        <w:tc>
          <w:tcPr>
            <w:tcW w:w="2416" w:type="dxa"/>
          </w:tcPr>
          <w:p w14:paraId="4FECF5B4" w14:textId="77777777" w:rsidR="008869C7" w:rsidRPr="00562F1C" w:rsidRDefault="000832BE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صناعة جبنة فانوكو</w:t>
            </w:r>
          </w:p>
        </w:tc>
        <w:tc>
          <w:tcPr>
            <w:tcW w:w="3319" w:type="dxa"/>
          </w:tcPr>
          <w:p w14:paraId="509AD128" w14:textId="77777777" w:rsidR="008869C7" w:rsidRPr="00562F1C" w:rsidRDefault="001B4759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تمثّل الهوية الفانية (خصوصًا عند تناولها في عيد الخبز)</w:t>
            </w:r>
          </w:p>
          <w:p w14:paraId="5E56D268" w14:textId="01797A03" w:rsidR="001B4759" w:rsidRPr="00562F1C" w:rsidRDefault="00472BE3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تجسّد </w:t>
            </w:r>
            <w:r w:rsidR="00E564B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عطاء</w:t>
            </w:r>
            <w:r w:rsidR="0040087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الأرض</w:t>
            </w:r>
          </w:p>
          <w:p w14:paraId="43D2C8AE" w14:textId="77777777" w:rsidR="0040087F" w:rsidRPr="00562F1C" w:rsidRDefault="00472BE3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تتمتّع بخ</w:t>
            </w:r>
            <w:r w:rsidR="0040087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صائص تمنح الصحة الجيّدة</w:t>
            </w:r>
          </w:p>
          <w:p w14:paraId="0869A071" w14:textId="77777777" w:rsidR="0040087F" w:rsidRPr="00562F1C" w:rsidRDefault="00BF63A2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تساهم في </w:t>
            </w:r>
            <w:r w:rsidR="0040087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إقامة الروابط الاجتماعية بين نساء القرى</w:t>
            </w:r>
          </w:p>
          <w:p w14:paraId="573CD1BC" w14:textId="77777777" w:rsidR="0040087F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تعزّز </w:t>
            </w:r>
            <w:r w:rsidR="0040087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التشبيك بين الفانيين المقيمين في المناطق شبه الحضرية الذين ينتمون إلى </w:t>
            </w:r>
            <w:r w:rsidR="0040087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المناطق الريفية نفسها</w:t>
            </w:r>
          </w:p>
          <w:p w14:paraId="53470C76" w14:textId="5C0A75DE" w:rsidR="00B41E39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تعود بمنفعة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مادية على </w:t>
            </w:r>
            <w:r w:rsidR="00B41E3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صانعي الجبنة، والمزارعين، وجامعي الأعشاب</w:t>
            </w:r>
          </w:p>
        </w:tc>
        <w:tc>
          <w:tcPr>
            <w:tcW w:w="4140" w:type="dxa"/>
          </w:tcPr>
          <w:p w14:paraId="67B5EBAC" w14:textId="77777777" w:rsidR="008869C7" w:rsidRPr="00562F1C" w:rsidRDefault="00895037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الإنتاج الجماعي في المناطق الريفية وشبه الحضرية</w:t>
            </w:r>
          </w:p>
          <w:p w14:paraId="491F1966" w14:textId="4822ED0C" w:rsidR="00895037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</w:t>
            </w:r>
            <w:r w:rsidR="0089503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ستخدام حليب الماعز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والإبل</w:t>
            </w:r>
            <w:r w:rsidR="0089503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غير المبست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89503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</w:t>
            </w:r>
          </w:p>
          <w:p w14:paraId="491E37D2" w14:textId="77777777" w:rsidR="00895037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</w:t>
            </w:r>
            <w:r w:rsidR="0089503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ستخدام نبتة غويلاما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كمادة مخثِّرة</w:t>
            </w:r>
          </w:p>
          <w:p w14:paraId="27503DFF" w14:textId="7D2DD4E3" w:rsidR="00895037" w:rsidRPr="00562F1C" w:rsidRDefault="00895037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فترة الإنضاج الطويلة في وعاء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خزفي في بيئة باردة</w:t>
            </w:r>
          </w:p>
          <w:p w14:paraId="4C6716C9" w14:textId="77777777" w:rsidR="00895037" w:rsidRPr="00562F1C" w:rsidRDefault="00BE20E2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إضافة المكسر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ات، أو البذور، أو الفاكهة المجف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فة إلى الجبنة</w:t>
            </w:r>
          </w:p>
          <w:p w14:paraId="29E1EADF" w14:textId="77777777" w:rsidR="00BE20E2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إستهلاك </w:t>
            </w:r>
            <w:r w:rsidR="00BE20E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فانوكو على مدار السنة من قبل الفانيين وغيرهم</w:t>
            </w:r>
          </w:p>
        </w:tc>
        <w:tc>
          <w:tcPr>
            <w:tcW w:w="3601" w:type="dxa"/>
          </w:tcPr>
          <w:p w14:paraId="5AFC3C49" w14:textId="1EF1C70F" w:rsidR="008869C7" w:rsidRPr="00562F1C" w:rsidRDefault="00106442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إنضاج الجبنة وهي مطمورة 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الأرض (لا يرى صانعو الجبنة في ذلك جانب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أساسي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)</w:t>
            </w:r>
          </w:p>
          <w:p w14:paraId="19A19D1B" w14:textId="77777777" w:rsidR="00106442" w:rsidRPr="00562F1C" w:rsidRDefault="00106442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صناعة الجبنة من قبل 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أعضاء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جماعة فان حصرًا (لا يتّفق جميع الفانيين على 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اعتبار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ذلك جانب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أساسي</w:t>
            </w:r>
            <w:r w:rsidR="00154A5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)</w:t>
            </w:r>
          </w:p>
          <w:p w14:paraId="6814CD74" w14:textId="113736F3" w:rsidR="00106442" w:rsidRPr="00562F1C" w:rsidRDefault="00106442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النكهات الجديدة مثل الفلفل الحار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(التي عبرّ معظم الفانيين عن رفضهم لها أثناء الاجتماع)</w:t>
            </w:r>
          </w:p>
          <w:p w14:paraId="011AC146" w14:textId="77777777" w:rsidR="00DC6209" w:rsidRPr="00562F1C" w:rsidRDefault="00DC6209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</w:p>
        </w:tc>
      </w:tr>
      <w:tr w:rsidR="000832BE" w:rsidRPr="00562F1C" w14:paraId="70DBEEFD" w14:textId="77777777" w:rsidTr="00B9777D">
        <w:trPr>
          <w:trHeight w:val="1574"/>
        </w:trPr>
        <w:tc>
          <w:tcPr>
            <w:tcW w:w="2416" w:type="dxa"/>
          </w:tcPr>
          <w:p w14:paraId="7ECACB04" w14:textId="77777777" w:rsidR="008869C7" w:rsidRPr="00562F1C" w:rsidRDefault="00DC6209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إحتفالات عيد الخبز</w:t>
            </w:r>
          </w:p>
        </w:tc>
        <w:tc>
          <w:tcPr>
            <w:tcW w:w="3319" w:type="dxa"/>
          </w:tcPr>
          <w:p w14:paraId="44DB495F" w14:textId="19FE494E" w:rsidR="008869C7" w:rsidRPr="00562F1C" w:rsidRDefault="00D25BDF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تجسّد</w:t>
            </w:r>
            <w:r w:rsidR="00591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الهوية الفانية</w:t>
            </w:r>
          </w:p>
          <w:p w14:paraId="2B9A9129" w14:textId="77E9D3A9" w:rsidR="0059184C" w:rsidRPr="00562F1C" w:rsidRDefault="00D25BDF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تعزّز </w:t>
            </w:r>
            <w:r w:rsidR="00591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التماسك الأسري/ الاجتماعي ضمن الجماعة</w:t>
            </w:r>
          </w:p>
        </w:tc>
        <w:tc>
          <w:tcPr>
            <w:tcW w:w="4140" w:type="dxa"/>
          </w:tcPr>
          <w:p w14:paraId="63BFAEF4" w14:textId="520952B3" w:rsidR="008869C7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الاحتفال</w:t>
            </w:r>
            <w:r w:rsidR="00591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به (في الحالات المثلى مع العائلة) في 10 تشرين الثاني/ نوفمبر من كلّ عام </w:t>
            </w:r>
            <w:r w:rsidR="0059184C" w:rsidRPr="00562F1C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–</w:t>
            </w:r>
            <w:r w:rsidR="00591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الإشارة إلى </w:t>
            </w:r>
            <w:r w:rsidR="0002620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الأسطورة</w:t>
            </w:r>
          </w:p>
          <w:p w14:paraId="4BA7B768" w14:textId="77777777" w:rsidR="0059184C" w:rsidRPr="00562F1C" w:rsidRDefault="00154A5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إستهلاك جبنة فانوكو المصنوعة على </w:t>
            </w:r>
            <w:r w:rsidR="00591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الطريقة التقليدية من قبل الفانيين خلال احتفالات عيد الخبز</w:t>
            </w:r>
          </w:p>
        </w:tc>
        <w:tc>
          <w:tcPr>
            <w:tcW w:w="3601" w:type="dxa"/>
          </w:tcPr>
          <w:p w14:paraId="7C33F8C7" w14:textId="2E4E6D81" w:rsidR="008869C7" w:rsidRPr="00562F1C" w:rsidRDefault="0059184C" w:rsidP="00026201">
            <w:pPr>
              <w:tabs>
                <w:tab w:val="clear" w:pos="567"/>
                <w:tab w:val="center" w:pos="4819"/>
              </w:tabs>
              <w:bidi/>
              <w:snapToGrid/>
              <w:spacing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ينزع أفراد جماعة فان إلى الإيمان بأهمية جبنة فانوكو بالنسبة للهوية الفانية ف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 ما يتخطّى عيد الخبز، في حين تم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يل 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أطراف معنية أخرى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إلى </w:t>
            </w:r>
            <w:r w:rsidR="00D25BD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التركيز أكثر على عيد الخبز نفسه</w:t>
            </w:r>
          </w:p>
        </w:tc>
      </w:tr>
    </w:tbl>
    <w:p w14:paraId="406C5420" w14:textId="6D25D79D" w:rsidR="00FC5861" w:rsidRPr="00562F1C" w:rsidRDefault="00FC5861" w:rsidP="003A5131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5FCDA695" w14:textId="04C60954" w:rsidR="003A5131" w:rsidRPr="00562F1C" w:rsidRDefault="003A5131" w:rsidP="003A5131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4C787989" w14:textId="6599364C" w:rsidR="00B9777D" w:rsidRPr="00562F1C" w:rsidRDefault="00B9777D" w:rsidP="00B9777D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16E41EFA" w14:textId="77777777" w:rsidR="008869C7" w:rsidRPr="00562F1C" w:rsidRDefault="00FC5861" w:rsidP="008768D7">
      <w:pPr>
        <w:pStyle w:val="Heading4"/>
        <w:rPr>
          <w:rtl/>
        </w:rPr>
      </w:pPr>
      <w:r w:rsidRPr="00562F1C">
        <w:rPr>
          <w:rFonts w:hint="cs"/>
          <w:rtl/>
        </w:rPr>
        <w:t>تحديد الجماعة (الجماعات) أو المجموعة (المجموعات) المعنية أو الفرد (الأفراد) المعني (المعنيين)</w:t>
      </w:r>
    </w:p>
    <w:p w14:paraId="0FB34232" w14:textId="4C6DCE6C" w:rsidR="00F14FAC" w:rsidRPr="00562F1C" w:rsidRDefault="00F14FAC" w:rsidP="003A5131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عند تحديد الجماعة المعنية، ينبغي أن تؤخ</w:t>
      </w:r>
      <w:r w:rsidR="00E379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ذ في الحسبان مجموعات متنو</w:t>
      </w:r>
      <w:r w:rsidR="005019B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عة وجماعة فان بمجملها على حدٍّ سواء</w:t>
      </w:r>
      <w:r w:rsidR="00E379E6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tbl>
      <w:tblPr>
        <w:tblStyle w:val="TableGrid"/>
        <w:bidiVisual/>
        <w:tblW w:w="12358" w:type="dxa"/>
        <w:tblInd w:w="1078" w:type="dxa"/>
        <w:tblLook w:val="04A0" w:firstRow="1" w:lastRow="0" w:firstColumn="1" w:lastColumn="0" w:noHBand="0" w:noVBand="1"/>
      </w:tblPr>
      <w:tblGrid>
        <w:gridCol w:w="4007"/>
        <w:gridCol w:w="8351"/>
      </w:tblGrid>
      <w:tr w:rsidR="00F14FAC" w:rsidRPr="00562F1C" w14:paraId="4FA725F9" w14:textId="77777777" w:rsidTr="00DF4BEC">
        <w:trPr>
          <w:trHeight w:val="71"/>
        </w:trPr>
        <w:tc>
          <w:tcPr>
            <w:tcW w:w="4007" w:type="dxa"/>
            <w:shd w:val="clear" w:color="auto" w:fill="B4C6E7" w:themeFill="accent1" w:themeFillTint="66"/>
          </w:tcPr>
          <w:p w14:paraId="6AFF2558" w14:textId="77777777" w:rsidR="00F14FAC" w:rsidRPr="00562F1C" w:rsidRDefault="00F14FAC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الجماعة/ المجموعة</w:t>
            </w:r>
          </w:p>
        </w:tc>
        <w:tc>
          <w:tcPr>
            <w:tcW w:w="8351" w:type="dxa"/>
            <w:shd w:val="clear" w:color="auto" w:fill="B4C6E7" w:themeFill="accent1" w:themeFillTint="66"/>
          </w:tcPr>
          <w:p w14:paraId="59488F1D" w14:textId="77777777" w:rsidR="00F14FAC" w:rsidRPr="00562F1C" w:rsidRDefault="00F14FAC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دورها في ما يتعلّق بالصون</w:t>
            </w:r>
          </w:p>
        </w:tc>
      </w:tr>
      <w:tr w:rsidR="00F14FAC" w:rsidRPr="00562F1C" w14:paraId="64FE2621" w14:textId="77777777" w:rsidTr="00DF4BEC">
        <w:trPr>
          <w:trHeight w:val="1277"/>
        </w:trPr>
        <w:tc>
          <w:tcPr>
            <w:tcW w:w="4007" w:type="dxa"/>
          </w:tcPr>
          <w:p w14:paraId="5A68A483" w14:textId="1BF1131E" w:rsidR="00F14FAC" w:rsidRPr="00562F1C" w:rsidRDefault="00E379E6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صانعو جبنة فانوكو، شبه الحضري</w:t>
            </w:r>
            <w:r w:rsidR="0002620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</w:t>
            </w:r>
            <w:r w:rsidR="00F14FA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منهم</w:t>
            </w:r>
            <w:r w:rsidR="00F14FA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والريفيون</w:t>
            </w:r>
          </w:p>
        </w:tc>
        <w:tc>
          <w:tcPr>
            <w:tcW w:w="8351" w:type="dxa"/>
          </w:tcPr>
          <w:p w14:paraId="7B7C145F" w14:textId="77777777" w:rsidR="00F14FAC" w:rsidRPr="00562F1C" w:rsidRDefault="006D2AF1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فهم معنى جبنة فانوكو وقيمتها</w:t>
            </w:r>
          </w:p>
          <w:p w14:paraId="62267818" w14:textId="77777777" w:rsidR="006D2AF1" w:rsidRPr="00562F1C" w:rsidRDefault="00E379E6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صناعة جبنة فانوكو ب</w:t>
            </w:r>
            <w:r w:rsidR="006D2AF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طريقة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6D2AF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تقليدية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يعتبرها</w:t>
            </w:r>
            <w:r w:rsidR="006D2AF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الفانيون جزء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="006D2AF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تراثهم</w:t>
            </w:r>
            <w:r w:rsidR="006D2AF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الثقافي</w:t>
            </w:r>
          </w:p>
          <w:p w14:paraId="78DA2D06" w14:textId="77777777" w:rsidR="006D2AF1" w:rsidRPr="00562F1C" w:rsidRDefault="006D393D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نقل مهارات صناعة جبنة فانوكو إلى الصانعين المبتدئين</w:t>
            </w:r>
          </w:p>
        </w:tc>
      </w:tr>
      <w:tr w:rsidR="00F14FAC" w:rsidRPr="00562F1C" w14:paraId="798398C2" w14:textId="77777777" w:rsidTr="00DF4BEC">
        <w:trPr>
          <w:trHeight w:val="782"/>
        </w:trPr>
        <w:tc>
          <w:tcPr>
            <w:tcW w:w="4007" w:type="dxa"/>
          </w:tcPr>
          <w:p w14:paraId="0509B003" w14:textId="7F1ED277" w:rsidR="00F14FAC" w:rsidRPr="00562F1C" w:rsidRDefault="001629A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أعضاء </w:t>
            </w:r>
            <w:r w:rsidR="005019B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جماعة فان، شبه الحضريين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منهم</w:t>
            </w:r>
            <w:r w:rsidR="002D2BB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والريفيون</w:t>
            </w:r>
          </w:p>
        </w:tc>
        <w:tc>
          <w:tcPr>
            <w:tcW w:w="8351" w:type="dxa"/>
          </w:tcPr>
          <w:p w14:paraId="5FB20568" w14:textId="7D97A313" w:rsidR="00F14FAC" w:rsidRPr="00562F1C" w:rsidRDefault="002D2BB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فهم معنى جبنة فانوكو وقيمتها؛ ونقلهما إلى </w:t>
            </w:r>
            <w:r w:rsidR="00DF4BE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أولادهم</w:t>
            </w:r>
          </w:p>
          <w:p w14:paraId="4B8647F6" w14:textId="4933BA7A" w:rsidR="002D2BB0" w:rsidRPr="00562F1C" w:rsidRDefault="005019B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</w:t>
            </w:r>
            <w:r w:rsidR="002D2BB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ستهلاك جبن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 فانوكو (على مدار السنة وخصوصًا</w:t>
            </w:r>
            <w:r w:rsidR="002D2BB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في عيد الخبز)</w:t>
            </w:r>
          </w:p>
        </w:tc>
      </w:tr>
      <w:tr w:rsidR="002D2BB0" w:rsidRPr="00562F1C" w14:paraId="03059549" w14:textId="77777777" w:rsidTr="00DF4BEC">
        <w:trPr>
          <w:trHeight w:val="782"/>
        </w:trPr>
        <w:tc>
          <w:tcPr>
            <w:tcW w:w="4007" w:type="dxa"/>
          </w:tcPr>
          <w:p w14:paraId="48883600" w14:textId="77777777" w:rsidR="002D2BB0" w:rsidRPr="00562F1C" w:rsidRDefault="002D2BB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مربّو الماشية وجامعو نبتة غويلاما</w:t>
            </w:r>
          </w:p>
        </w:tc>
        <w:tc>
          <w:tcPr>
            <w:tcW w:w="8351" w:type="dxa"/>
          </w:tcPr>
          <w:p w14:paraId="2C8C6AA7" w14:textId="77777777" w:rsidR="002D2BB0" w:rsidRPr="00562F1C" w:rsidRDefault="002D2BB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تربية الماعز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والإبل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لإنتاج الحليب</w:t>
            </w:r>
          </w:p>
          <w:p w14:paraId="21E45B8A" w14:textId="1E0AD534" w:rsidR="002D2BB0" w:rsidRPr="00562F1C" w:rsidRDefault="005019B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</w:t>
            </w:r>
            <w:r w:rsidR="002D2BB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ستزراع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نبتة</w:t>
            </w:r>
            <w:r w:rsidR="002D2BB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غويلاما (في المستقبل)</w:t>
            </w:r>
          </w:p>
          <w:p w14:paraId="509892ED" w14:textId="77777777" w:rsidR="002D2BB0" w:rsidRPr="00562F1C" w:rsidRDefault="002D2BB0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جمع ن</w:t>
            </w:r>
            <w:r w:rsidR="00810FF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بتة غويلاما لاستخدامها كمادة مخث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ِّ</w:t>
            </w:r>
            <w:r w:rsidR="00810FF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رة</w:t>
            </w:r>
          </w:p>
          <w:p w14:paraId="0849671E" w14:textId="6344EF81" w:rsidR="00810FFD" w:rsidRPr="00562F1C" w:rsidRDefault="00810FFD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ملاحظة: </w:t>
            </w:r>
            <w:r w:rsidR="00C4668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قد يشير بعض المشاركين إلى هذه المجموعات بوصفها مجموعات تقدّم خدمات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C4668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أساسية لصانعي الجبنة الفانيين، لكنّ أعضاء</w:t>
            </w:r>
            <w:r w:rsidR="00C4668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ها ليسوا بالضرورة فان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يي</w:t>
            </w:r>
            <w:r w:rsidR="00A70E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،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كما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يحتمل أن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لا يعتبروا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صناعة جبنة فانوكو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جزءًا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تراثهم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الثقافي. وبالتالي</w:t>
            </w:r>
            <w:r w:rsidR="00AA02C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،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قد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يرى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البعض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أن</w:t>
            </w:r>
            <w:r w:rsidR="00DF4BE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هذه الجماعات أو المجموعات </w:t>
            </w:r>
            <w:r w:rsidR="00E379E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ليست من الجماعات أو المجموعات ال</w:t>
            </w:r>
            <w:r w:rsidR="00916F3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معنية بالمعنى المقصود في الاتفاقية.</w:t>
            </w:r>
          </w:p>
        </w:tc>
      </w:tr>
      <w:tr w:rsidR="002D2BB0" w:rsidRPr="00562F1C" w14:paraId="1A2A8F93" w14:textId="77777777" w:rsidTr="00DF4BEC">
        <w:trPr>
          <w:trHeight w:val="782"/>
        </w:trPr>
        <w:tc>
          <w:tcPr>
            <w:tcW w:w="4007" w:type="dxa"/>
          </w:tcPr>
          <w:p w14:paraId="083CCB85" w14:textId="43EA564E" w:rsidR="002D2BB0" w:rsidRPr="00562F1C" w:rsidRDefault="00146532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أعضاء آخرون من الجماعة</w:t>
            </w:r>
            <w:r w:rsidR="00711DB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الكاسني</w:t>
            </w:r>
            <w:r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</w:t>
            </w:r>
            <w:r w:rsidR="001E7AA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يستهلكون جبنة فانوكو (حضريون، شبه حضريين)</w:t>
            </w:r>
          </w:p>
        </w:tc>
        <w:tc>
          <w:tcPr>
            <w:tcW w:w="8351" w:type="dxa"/>
          </w:tcPr>
          <w:p w14:paraId="1F585110" w14:textId="60EF731A" w:rsidR="002D2BB0" w:rsidRPr="00562F1C" w:rsidRDefault="00EB557B" w:rsidP="00DF4BEC">
            <w:pPr>
              <w:tabs>
                <w:tab w:val="clear" w:pos="567"/>
                <w:tab w:val="center" w:pos="4819"/>
              </w:tabs>
              <w:bidi/>
              <w:snapToGrid/>
              <w:spacing w:before="100" w:after="100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</w:t>
            </w:r>
            <w:r w:rsidR="00C6074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ستهلاك جبنة فانوكو</w:t>
            </w:r>
          </w:p>
        </w:tc>
      </w:tr>
    </w:tbl>
    <w:p w14:paraId="45E5782A" w14:textId="589FE15D" w:rsidR="00F14FAC" w:rsidRPr="00562F1C" w:rsidRDefault="004F0ABD" w:rsidP="001008C8">
      <w:pPr>
        <w:pStyle w:val="Heading4"/>
        <w:rPr>
          <w:rtl/>
        </w:rPr>
      </w:pPr>
      <w:r w:rsidRPr="00562F1C">
        <w:rPr>
          <w:rFonts w:hint="cs"/>
          <w:rtl/>
        </w:rPr>
        <w:lastRenderedPageBreak/>
        <w:t>خطة الصون: الأنشطة الرامية إلى معالجة التهديدات والمخاطر (خطة لأربع سنوات)</w:t>
      </w:r>
    </w:p>
    <w:p w14:paraId="0F3FC771" w14:textId="642C85CF" w:rsidR="004F0ABD" w:rsidRPr="00562F1C" w:rsidRDefault="004F0ABD" w:rsidP="004F0ABD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يقترح نموذج خطة الصون الوارد </w:t>
      </w:r>
      <w:r w:rsidR="007E212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أدناه مجموعة</w:t>
      </w:r>
      <w:r w:rsidR="000172E8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7E212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واسعة من الأنشطة وي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تضمّن أيضًا احتمالات التمويل والتقييم. يحتمل أ</w:t>
      </w:r>
      <w:r w:rsidR="007E212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يكون المشاركون قد صبّوا تركيزهم على عدد</w:t>
      </w:r>
      <w:r w:rsidR="00A92157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أقلّ من التهديد</w:t>
      </w:r>
      <w:r w:rsidR="0009059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ات والمخاطر، وصاغوا في المقابل ا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قتر</w:t>
      </w:r>
      <w:r w:rsidR="00B93F3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حات</w:t>
      </w:r>
      <w:r w:rsidR="00090590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أكثر تفصيلًا.</w:t>
      </w:r>
    </w:p>
    <w:tbl>
      <w:tblPr>
        <w:tblStyle w:val="TableGrid"/>
        <w:bidiVisual/>
        <w:tblW w:w="13516" w:type="dxa"/>
        <w:tblInd w:w="34" w:type="dxa"/>
        <w:tblLook w:val="04A0" w:firstRow="1" w:lastRow="0" w:firstColumn="1" w:lastColumn="0" w:noHBand="0" w:noVBand="1"/>
      </w:tblPr>
      <w:tblGrid>
        <w:gridCol w:w="2559"/>
        <w:gridCol w:w="1620"/>
        <w:gridCol w:w="2610"/>
        <w:gridCol w:w="2813"/>
        <w:gridCol w:w="1957"/>
        <w:gridCol w:w="1957"/>
      </w:tblGrid>
      <w:tr w:rsidR="00DC3130" w:rsidRPr="00562F1C" w14:paraId="49789ED8" w14:textId="77777777" w:rsidTr="00645B0A">
        <w:trPr>
          <w:cantSplit/>
          <w:trHeight w:val="197"/>
          <w:tblHeader/>
        </w:trPr>
        <w:tc>
          <w:tcPr>
            <w:tcW w:w="2559" w:type="dxa"/>
            <w:shd w:val="clear" w:color="auto" w:fill="B4C6E7" w:themeFill="accent1" w:themeFillTint="66"/>
          </w:tcPr>
          <w:p w14:paraId="1CD2E7E9" w14:textId="77777777" w:rsidR="00DC3130" w:rsidRPr="00562F1C" w:rsidRDefault="00DC313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التهديدات والمخاطر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62178F6A" w14:textId="77777777" w:rsidR="00DC3130" w:rsidRPr="00562F1C" w:rsidRDefault="00DC313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الأهداف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3CE5B112" w14:textId="77777777" w:rsidR="00DC3130" w:rsidRPr="00562F1C" w:rsidRDefault="00DC313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الأنشطة</w:t>
            </w:r>
          </w:p>
        </w:tc>
        <w:tc>
          <w:tcPr>
            <w:tcW w:w="2813" w:type="dxa"/>
            <w:shd w:val="clear" w:color="auto" w:fill="B4C6E7" w:themeFill="accent1" w:themeFillTint="66"/>
          </w:tcPr>
          <w:p w14:paraId="52C6D807" w14:textId="77777777" w:rsidR="00DC3130" w:rsidRPr="00562F1C" w:rsidRDefault="00DC313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النتائج</w:t>
            </w:r>
          </w:p>
        </w:tc>
        <w:tc>
          <w:tcPr>
            <w:tcW w:w="1957" w:type="dxa"/>
            <w:shd w:val="clear" w:color="auto" w:fill="B4C6E7" w:themeFill="accent1" w:themeFillTint="66"/>
          </w:tcPr>
          <w:p w14:paraId="315A723D" w14:textId="77777777" w:rsidR="00DC3130" w:rsidRPr="00562F1C" w:rsidRDefault="00DC313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الموارد والميزانيات</w:t>
            </w:r>
          </w:p>
        </w:tc>
        <w:tc>
          <w:tcPr>
            <w:tcW w:w="1957" w:type="dxa"/>
            <w:shd w:val="clear" w:color="auto" w:fill="B4C6E7" w:themeFill="accent1" w:themeFillTint="66"/>
          </w:tcPr>
          <w:p w14:paraId="75DD6500" w14:textId="77777777" w:rsidR="00DC3130" w:rsidRPr="00562F1C" w:rsidRDefault="00DC313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التقييم</w:t>
            </w:r>
          </w:p>
        </w:tc>
      </w:tr>
      <w:tr w:rsidR="00DC3130" w:rsidRPr="00562F1C" w14:paraId="664734CD" w14:textId="77777777" w:rsidTr="00645B0A">
        <w:trPr>
          <w:trHeight w:val="1641"/>
        </w:trPr>
        <w:tc>
          <w:tcPr>
            <w:tcW w:w="2559" w:type="dxa"/>
          </w:tcPr>
          <w:p w14:paraId="3372A966" w14:textId="77777777" w:rsidR="00DC3130" w:rsidRPr="00562F1C" w:rsidRDefault="00E82D3B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التنمية المجتمعية</w:t>
            </w:r>
          </w:p>
          <w:p w14:paraId="50D97B3B" w14:textId="2CBD3275" w:rsidR="00E82D3B" w:rsidRPr="00562F1C" w:rsidRDefault="00F5688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نقص فرص العمل في المناطق الريفية</w:t>
            </w:r>
            <w:r w:rsidR="00B4015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للشباب يهدّد </w:t>
            </w:r>
            <w:r w:rsidR="00714C15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نقل العنصر</w:t>
            </w:r>
          </w:p>
          <w:p w14:paraId="425963B8" w14:textId="3CBEE9FB" w:rsidR="00B4015E" w:rsidRPr="00562F1C" w:rsidRDefault="00B4015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عدم كفاية الفرص </w:t>
            </w:r>
            <w:r w:rsidR="002E0DB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المدرّة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للدخل </w:t>
            </w:r>
            <w:r w:rsidR="002E0DB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المتاحة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للفانيين الذين يعيشون في المناطق شبه الحضرية</w:t>
            </w:r>
          </w:p>
          <w:p w14:paraId="7A536926" w14:textId="579F5F61" w:rsidR="00B4015E" w:rsidRPr="00562F1C" w:rsidRDefault="00B4015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تزايد كلفة جبنة فانوكو </w:t>
            </w:r>
            <w:r w:rsidR="00A9215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وضعف الإمداد بها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في المناطق الحضرية وشبه الحضرية </w:t>
            </w:r>
            <w:r w:rsidR="002E0DB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يحولان دون تمكّن بعض الفانيين من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تناولها في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عيد الخبز</w:t>
            </w:r>
          </w:p>
          <w:p w14:paraId="2E8B365F" w14:textId="3601897E" w:rsidR="00B4015E" w:rsidRPr="00562F1C" w:rsidRDefault="00C945D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</w:t>
            </w:r>
            <w:r w:rsidR="00B4015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فتقار صانعي جبنة فانوكو لأيّ هياكل تنظيمية تحمي مصالحهم</w:t>
            </w:r>
          </w:p>
        </w:tc>
        <w:tc>
          <w:tcPr>
            <w:tcW w:w="1620" w:type="dxa"/>
          </w:tcPr>
          <w:p w14:paraId="2DB1A4C4" w14:textId="77777777" w:rsidR="00DC3130" w:rsidRPr="00562F1C" w:rsidRDefault="00B4015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ضمان استفادة صانعي جبنة فانوكو (والفانيين إجمالًا) من الأنشطة الرامية إلى صون صناعة الجبنة</w:t>
            </w:r>
          </w:p>
          <w:p w14:paraId="130ACD45" w14:textId="54917DEA" w:rsidR="00B4015E" w:rsidRPr="00562F1C" w:rsidRDefault="00B4015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تقوية حسّ الهوية والتماسك </w:t>
            </w:r>
            <w:r w:rsidR="00476AB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بين الفانيين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في المناطق الريفية وشبه الحضرية</w:t>
            </w:r>
          </w:p>
        </w:tc>
        <w:tc>
          <w:tcPr>
            <w:tcW w:w="2610" w:type="dxa"/>
          </w:tcPr>
          <w:p w14:paraId="20719048" w14:textId="042BF5E0" w:rsidR="00DC3130" w:rsidRPr="00562F1C" w:rsidRDefault="00476ABD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السنة 1: إستحداث فرص عمل لصانعي جبنة فانوك</w:t>
            </w:r>
            <w:r w:rsidR="00B4015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 والفانيين في المناطق شبه الحضرية من خل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 تعزيز إنتاج الجبنة، وتسويقها</w:t>
            </w:r>
            <w:r w:rsidR="00B4015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، وتوزيعها</w:t>
            </w:r>
          </w:p>
          <w:p w14:paraId="3FB8E72F" w14:textId="09B4BD33" w:rsidR="00B4015E" w:rsidRPr="00562F1C" w:rsidRDefault="00B4015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السنة 1: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إتاحة الجبنة للفقراء من الفانيين في المناطق شبه الحضرية بكلفة</w:t>
            </w:r>
            <w:r w:rsidR="00476AB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منخفضة في عيد الخبز من خلال المساهمات الخيرية</w:t>
            </w:r>
          </w:p>
          <w:p w14:paraId="3389C56D" w14:textId="6E3132E1" w:rsidR="00F30067" w:rsidRPr="00562F1C" w:rsidRDefault="00F3006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1: </w:t>
            </w:r>
            <w:r w:rsidR="00A9215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تنظيم </w:t>
            </w:r>
            <w:r w:rsidR="00476AB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مشاورات بين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صانعي جبنة فانوكو بشأن تأسيس جمعية تحمي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مصالحهم</w:t>
            </w:r>
          </w:p>
          <w:p w14:paraId="4767A7C9" w14:textId="3F9FDA32" w:rsidR="00F30067" w:rsidRPr="00562F1C" w:rsidRDefault="00476ABD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السنوات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1 </w:t>
            </w:r>
            <w:r w:rsidR="00F30067" w:rsidRPr="00562F1C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–</w:t>
            </w:r>
            <w:r w:rsidR="00FA5E6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4: 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تخطيط</w:t>
            </w:r>
            <w:r w:rsidR="00FA5E6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/ تنظيم 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معارض تجارية تسمح بقدوم صانعي الجبنة الريفيين إلى المدينة في عيد الخبز</w:t>
            </w:r>
          </w:p>
          <w:p w14:paraId="6E9CA4E8" w14:textId="6CE1F81A" w:rsidR="00F30067" w:rsidRPr="00562F1C" w:rsidRDefault="00BD5E2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السنوات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2-4: تحسين البنى التحتية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للنقل</w:t>
            </w:r>
            <w:r w:rsidR="00F300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بين الشرق والجنوب و</w:t>
            </w:r>
            <w:r w:rsidR="00F67DD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تعزيز السوق الحضرية للمنتجات الريفية (مثل مكوّنات الجبنة والأجبان)</w:t>
            </w:r>
          </w:p>
        </w:tc>
        <w:tc>
          <w:tcPr>
            <w:tcW w:w="2813" w:type="dxa"/>
          </w:tcPr>
          <w:p w14:paraId="0A6F3EC9" w14:textId="29181F43" w:rsidR="00DC3130" w:rsidRPr="00562F1C" w:rsidRDefault="000E1113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توفّر ا</w:t>
            </w:r>
            <w:r w:rsidR="00F67DD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لمزيد من الفرص المالية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للفانيين </w:t>
            </w:r>
            <w:r w:rsidR="00F67DD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 المناطق الريفية وشبه الحضرية</w:t>
            </w:r>
          </w:p>
          <w:p w14:paraId="68C86B13" w14:textId="040C89F4" w:rsidR="00F67DD1" w:rsidRPr="00562F1C" w:rsidRDefault="000E1113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تمكّن الفانيي</w:t>
            </w:r>
            <w:r w:rsidR="00F67DD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</w:t>
            </w:r>
            <w:r w:rsidR="00C0579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</w:t>
            </w:r>
            <w:r w:rsidR="00F67DD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الاحتفال بعيد الخبز سويًا في المناطق شبه الحضرية</w:t>
            </w:r>
          </w:p>
          <w:p w14:paraId="6BC0B1BC" w14:textId="3EF403EB" w:rsidR="00F67DD1" w:rsidRPr="00562F1C" w:rsidRDefault="00C0579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استفادة</w:t>
            </w:r>
            <w:r w:rsidR="007A7AC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F67DD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مصالح صانعي جبنة فانوكو</w:t>
            </w:r>
            <w:r w:rsidR="007A7AC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من </w:t>
            </w:r>
            <w:r w:rsidR="007A7AC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الحماية والتعزيز</w:t>
            </w:r>
          </w:p>
        </w:tc>
        <w:tc>
          <w:tcPr>
            <w:tcW w:w="1957" w:type="dxa"/>
          </w:tcPr>
          <w:p w14:paraId="5A6F6079" w14:textId="45C55AE9" w:rsidR="00DC3130" w:rsidRPr="00562F1C" w:rsidRDefault="0044445D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</w:t>
            </w:r>
            <w:r w:rsidR="0067227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طاعم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فاخرة</w:t>
            </w:r>
            <w:r w:rsidR="0067227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9B277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تتبرّع </w:t>
            </w:r>
            <w:r w:rsidR="0067227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بكميات</w:t>
            </w:r>
            <w:r w:rsidR="00C0579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67227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 الجبنة للفقراء</w:t>
            </w:r>
          </w:p>
          <w:p w14:paraId="7DD4E070" w14:textId="4B220123" w:rsidR="0067227E" w:rsidRPr="00562F1C" w:rsidRDefault="0067227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جماعة فان</w:t>
            </w:r>
            <w:r w:rsidR="009B277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توزّع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الجبنة على سبيل تبرّعات في المناطق شبه الحضرية</w:t>
            </w:r>
          </w:p>
          <w:p w14:paraId="2AC4A7AD" w14:textId="6391A39B" w:rsidR="0067227E" w:rsidRPr="00562F1C" w:rsidRDefault="0067227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صانعو الجبنة</w:t>
            </w:r>
            <w:r w:rsidR="009B277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يخصّصون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وقتًا للمعارض التجارية ا</w:t>
            </w:r>
            <w:r w:rsidR="007A7AC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لتي تقام في المدينة (من دون أن ت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ترت</w:t>
            </w:r>
            <w:r w:rsidR="007A7AC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 على ذلك كلفة إضافية)</w:t>
            </w:r>
          </w:p>
          <w:p w14:paraId="653E5EA1" w14:textId="1BC912B1" w:rsidR="00CD4508" w:rsidRPr="00562F1C" w:rsidRDefault="00CD4508" w:rsidP="00CD4508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 xml:space="preserve">الصندوق الحكومي لدعم الأعمال الصغيرة يقدّم التمويل لتأسيس جمعية فانوكو (إذا اقتضت الحاجة </w:t>
            </w:r>
            <w:r w:rsidRPr="00562F1C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–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5000 دولار أميركي)</w:t>
            </w:r>
          </w:p>
          <w:p w14:paraId="6AB32AC3" w14:textId="1520EA2E" w:rsidR="00CD4508" w:rsidRPr="00562F1C" w:rsidRDefault="00CD4508" w:rsidP="00CD4508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</w:p>
        </w:tc>
        <w:tc>
          <w:tcPr>
            <w:tcW w:w="1957" w:type="dxa"/>
          </w:tcPr>
          <w:p w14:paraId="767C6144" w14:textId="6A33067A" w:rsidR="00DC3130" w:rsidRPr="00562F1C" w:rsidRDefault="002B49C4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السنوات</w:t>
            </w:r>
            <w:r w:rsidR="00920AD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2-4: </w:t>
            </w:r>
            <w:r w:rsidR="005B63F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الاحتفال</w:t>
            </w:r>
            <w:r w:rsidR="009C231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بعيد الخبز كعلامة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9C231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فارقة قوية للهوية الفانية حتّى بين الفانيين الفقراء</w:t>
            </w:r>
          </w:p>
          <w:p w14:paraId="1CAC5329" w14:textId="60E6C27D" w:rsidR="009C2312" w:rsidRPr="00562F1C" w:rsidRDefault="009C231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4: </w:t>
            </w:r>
            <w:r w:rsidR="00FD4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تسجيل زيادة في</w:t>
            </w:r>
            <w:r w:rsidR="00C545C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العمالة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بين الفانيين</w:t>
            </w:r>
          </w:p>
          <w:p w14:paraId="19FEFD46" w14:textId="3D67D02A" w:rsidR="009C2312" w:rsidRPr="00562F1C" w:rsidRDefault="009C231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4: </w:t>
            </w:r>
            <w:r w:rsidR="00FD4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تسجيل ارتفاع في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عائدات صانعي الجبنة</w:t>
            </w:r>
          </w:p>
        </w:tc>
      </w:tr>
      <w:tr w:rsidR="00DC3130" w:rsidRPr="00562F1C" w14:paraId="71F39070" w14:textId="77777777" w:rsidTr="00645B0A">
        <w:trPr>
          <w:cantSplit/>
          <w:trHeight w:val="135"/>
        </w:trPr>
        <w:tc>
          <w:tcPr>
            <w:tcW w:w="2559" w:type="dxa"/>
          </w:tcPr>
          <w:p w14:paraId="54C19C86" w14:textId="77777777" w:rsidR="00DC3130" w:rsidRPr="00562F1C" w:rsidRDefault="00143581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lastRenderedPageBreak/>
              <w:t>توافر نبتة غويلاما</w:t>
            </w:r>
          </w:p>
          <w:p w14:paraId="229EAAC8" w14:textId="15BE1652" w:rsidR="00143581" w:rsidRPr="00562F1C" w:rsidRDefault="00477B2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تراجع إمدادات ن</w:t>
            </w:r>
            <w:r w:rsidR="0014358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بتة غويلاما بسبب الجفاف</w:t>
            </w:r>
          </w:p>
          <w:p w14:paraId="3C0A75ED" w14:textId="761E49F5" w:rsidR="00143581" w:rsidRPr="00562F1C" w:rsidRDefault="00477B2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صانعو الجبنة شبه الحضريي</w:t>
            </w:r>
            <w:r w:rsidR="003B14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 يواجهون صعوبات في تأمين النبتة من المناطق الريفية</w:t>
            </w:r>
          </w:p>
          <w:p w14:paraId="785AD292" w14:textId="1F38440C" w:rsidR="003B1428" w:rsidRPr="00562F1C" w:rsidRDefault="00477B2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ازدياد</w:t>
            </w:r>
            <w:r w:rsidR="003B14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الطلب على جبنة فانوكو قد يهدّد استدا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مة نبتة غويلاما من جراء حصد نبت</w:t>
            </w:r>
            <w:r w:rsidR="003B14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اتها البرية بصورة</w:t>
            </w:r>
            <w:r w:rsidR="00F707C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3B14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غير منظّمة</w:t>
            </w:r>
          </w:p>
        </w:tc>
        <w:tc>
          <w:tcPr>
            <w:tcW w:w="1620" w:type="dxa"/>
          </w:tcPr>
          <w:p w14:paraId="4F4D2433" w14:textId="2DA1F3BD" w:rsidR="00DC3130" w:rsidRPr="00562F1C" w:rsidRDefault="00DE6E7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ضمان الإمداد المستدام بالمادة المخثّ</w:t>
            </w:r>
            <w:r w:rsidR="00477B2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ِ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رة التقليدية المستخد</w:t>
            </w:r>
            <w:r w:rsidR="00477B2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مة في صناعة الجبنة</w:t>
            </w:r>
          </w:p>
        </w:tc>
        <w:tc>
          <w:tcPr>
            <w:tcW w:w="2610" w:type="dxa"/>
          </w:tcPr>
          <w:p w14:paraId="5D72876D" w14:textId="3D14B935" w:rsidR="00DC3130" w:rsidRPr="00562F1C" w:rsidRDefault="00DE6E7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1: تقصّي احتمالات استزراع </w:t>
            </w:r>
            <w:r w:rsidR="00477B2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نبتة غويلاما لضمان استدامتها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(من المحتمل أن يجري </w:t>
            </w:r>
            <w:r w:rsidR="00477B2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هذا النشاط أيضًا في المناطق شبه الحضرية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حيث يمكن أن يوفّر فرص عملٍ جديدة)</w:t>
            </w:r>
          </w:p>
          <w:p w14:paraId="0DC244B5" w14:textId="5B5608B5" w:rsidR="00DE6E70" w:rsidRPr="00562F1C" w:rsidRDefault="00DE6E7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السنتان 1-2: تدريب ص</w:t>
            </w:r>
            <w:r w:rsidR="006C283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انعي الجبنة للتأكّد من شرائهم </w:t>
            </w:r>
            <w:r w:rsidR="00F86C7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نبتة</w:t>
            </w:r>
            <w:r w:rsidR="00477B2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غويلاما المحصود</w:t>
            </w:r>
            <w:r w:rsidR="00477B2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بشكلٍ مستدام</w:t>
            </w:r>
          </w:p>
          <w:p w14:paraId="70D27AA4" w14:textId="162EDA1B" w:rsidR="00DE6E70" w:rsidRPr="00562F1C" w:rsidRDefault="00DE6E7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السنوات 2-4: </w:t>
            </w:r>
            <w:r w:rsidR="005B647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فرض ضوابط على حصد 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نبتة</w:t>
            </w:r>
            <w:r w:rsidR="005B647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غويلاما</w:t>
            </w:r>
            <w:r w:rsidR="00D75D0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البرية </w:t>
            </w:r>
          </w:p>
        </w:tc>
        <w:tc>
          <w:tcPr>
            <w:tcW w:w="2813" w:type="dxa"/>
          </w:tcPr>
          <w:p w14:paraId="55B7C9D5" w14:textId="77777777" w:rsidR="00DC3130" w:rsidRPr="00562F1C" w:rsidRDefault="00D54AA6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ضمان توفّر نبتة غويلاما</w:t>
            </w:r>
          </w:p>
          <w:p w14:paraId="06C6CBB8" w14:textId="1DC79E8B" w:rsidR="00D54AA6" w:rsidRPr="00562F1C" w:rsidRDefault="00F86C73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غياب أيّ</w:t>
            </w:r>
            <w:r w:rsidR="00D54AA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آثار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سلبية</w:t>
            </w:r>
            <w:r w:rsidR="00D54AA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على استدامة نبتة غويلاما البرية </w:t>
            </w:r>
          </w:p>
        </w:tc>
        <w:tc>
          <w:tcPr>
            <w:tcW w:w="1957" w:type="dxa"/>
          </w:tcPr>
          <w:p w14:paraId="1382156F" w14:textId="5981D381" w:rsidR="00DC3130" w:rsidRPr="00562F1C" w:rsidRDefault="009B2779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المشروع البيئي الحكومي يدعم </w:t>
            </w:r>
            <w:r w:rsidR="004765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مقتر</w:t>
            </w:r>
            <w:r w:rsidR="00F707C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4765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 إنشاء المزارع ورص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د استدامة النبتة البرية (50000 </w:t>
            </w:r>
            <w:r w:rsidR="004765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دولار أميركي)</w:t>
            </w:r>
          </w:p>
        </w:tc>
        <w:tc>
          <w:tcPr>
            <w:tcW w:w="1957" w:type="dxa"/>
          </w:tcPr>
          <w:p w14:paraId="007CF0A9" w14:textId="208A9A93" w:rsidR="00DC3130" w:rsidRPr="00562F1C" w:rsidRDefault="0047658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السنة 4: الكميات المتوف</w:t>
            </w:r>
            <w:r w:rsidR="00FD484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رة من النبتة تتلاءم مع الطلب الحالي والمستقبلي</w:t>
            </w:r>
          </w:p>
          <w:p w14:paraId="542932C0" w14:textId="355EC298" w:rsidR="00476588" w:rsidRPr="00562F1C" w:rsidRDefault="0047658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</w:t>
            </w:r>
            <w:r w:rsidR="0078558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4: </w:t>
            </w:r>
            <w:r w:rsidR="0078558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النبتة البرية</w:t>
            </w:r>
            <w:r w:rsidR="009B277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تحافظ</w:t>
            </w:r>
            <w:r w:rsidR="0078558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على استدامتها</w:t>
            </w:r>
          </w:p>
          <w:p w14:paraId="4B8CC1CC" w14:textId="1CD01E2F" w:rsidR="00785582" w:rsidRPr="00562F1C" w:rsidRDefault="0078558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4: 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النبت</w:t>
            </w:r>
            <w:r w:rsidR="00F707C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المستزر</w:t>
            </w:r>
            <w:r w:rsidR="009B277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عة تضاهي في الجودة النب</w:t>
            </w:r>
            <w:r w:rsidR="00F707C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البرية، بحسب صانعي الجبنة</w:t>
            </w:r>
          </w:p>
        </w:tc>
      </w:tr>
      <w:tr w:rsidR="007B4ACB" w:rsidRPr="00562F1C" w14:paraId="4A95AFB7" w14:textId="77777777" w:rsidTr="00645B0A">
        <w:trPr>
          <w:cantSplit/>
          <w:trHeight w:val="1412"/>
        </w:trPr>
        <w:tc>
          <w:tcPr>
            <w:tcW w:w="2559" w:type="dxa"/>
          </w:tcPr>
          <w:p w14:paraId="27F91705" w14:textId="05C018B5" w:rsidR="007B4ACB" w:rsidRPr="00562F1C" w:rsidRDefault="00C42073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lastRenderedPageBreak/>
              <w:t>إمداد</w:t>
            </w:r>
            <w:r w:rsidR="009D357D"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 xml:space="preserve">ات </w:t>
            </w: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حليب الماعز والإبل</w:t>
            </w:r>
          </w:p>
          <w:p w14:paraId="19F4D7E3" w14:textId="5F2A1A80" w:rsidR="00C42073" w:rsidRPr="00562F1C" w:rsidRDefault="007F268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صانعو الجبنة شبه الحضريي</w:t>
            </w:r>
            <w:r w:rsidR="00C4207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</w:t>
            </w:r>
            <w:r w:rsidR="008109F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يواجهون صعوبات في الحصول على </w:t>
            </w:r>
            <w:r w:rsidR="00C4207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إمداد</w:t>
            </w:r>
            <w:r w:rsidR="008109F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ات </w:t>
            </w:r>
            <w:r w:rsidR="00C4207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حليب الماعز والإبل من المناطق الريفية</w:t>
            </w:r>
          </w:p>
        </w:tc>
        <w:tc>
          <w:tcPr>
            <w:tcW w:w="1620" w:type="dxa"/>
          </w:tcPr>
          <w:p w14:paraId="610AD45D" w14:textId="270C3180" w:rsidR="007B4ACB" w:rsidRPr="00562F1C" w:rsidRDefault="00C42073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ضمان </w:t>
            </w:r>
            <w:r w:rsidR="008109F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إمدادات م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ستدام</w:t>
            </w:r>
            <w:r w:rsidR="008109F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ة من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حليب الماعز والإبل من أجل صناعة الجبنة</w:t>
            </w:r>
          </w:p>
        </w:tc>
        <w:tc>
          <w:tcPr>
            <w:tcW w:w="2610" w:type="dxa"/>
          </w:tcPr>
          <w:p w14:paraId="7781D6C3" w14:textId="30673312" w:rsidR="007B4ACB" w:rsidRPr="00562F1C" w:rsidRDefault="00C42073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السنوات 2-4: تحسين</w:t>
            </w:r>
            <w:r w:rsidR="000F11D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البنى التحتية </w:t>
            </w:r>
            <w:r w:rsidR="00953DC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</w:t>
            </w:r>
            <w:r w:rsidR="000F11D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لنقل بين المناطق الشرقية والجنوبية والريفية والحضرية/ شبه الحضرية</w:t>
            </w:r>
          </w:p>
          <w:p w14:paraId="4B18F505" w14:textId="77777777" w:rsidR="000F11D7" w:rsidRPr="00562F1C" w:rsidRDefault="000F11D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السنوات 1-4: تحسين أساليب نقل حليب الماعز والإبل إلى المناطق شبه الحضرية</w:t>
            </w:r>
          </w:p>
        </w:tc>
        <w:tc>
          <w:tcPr>
            <w:tcW w:w="2813" w:type="dxa"/>
          </w:tcPr>
          <w:p w14:paraId="177C962A" w14:textId="77777777" w:rsidR="007B4ACB" w:rsidRPr="00562F1C" w:rsidRDefault="00D3635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ضمان توفّر حليب الماعز والإبل</w:t>
            </w:r>
          </w:p>
        </w:tc>
        <w:tc>
          <w:tcPr>
            <w:tcW w:w="1957" w:type="dxa"/>
          </w:tcPr>
          <w:p w14:paraId="21997877" w14:textId="6DBB11C5" w:rsidR="007B4ACB" w:rsidRPr="00562F1C" w:rsidRDefault="00D3635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صندوق التنمية الريفي</w:t>
            </w:r>
            <w:r w:rsidR="0024505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الحكومي </w:t>
            </w:r>
            <w:r w:rsidR="006D75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يموّل</w:t>
            </w:r>
            <w:r w:rsidR="00953DC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تحسين البنى التحتية الخاصّة بالطرقات (</w:t>
            </w:r>
            <w:r w:rsidR="006D75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تمويل غير محتس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6D75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</w:t>
            </w:r>
            <w:r w:rsidR="00EE01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ضمن الخطة)</w:t>
            </w:r>
          </w:p>
          <w:p w14:paraId="17AF3158" w14:textId="06747FAC" w:rsidR="00EE0126" w:rsidRPr="00562F1C" w:rsidRDefault="006D7554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رجل الأعمال يتبرّع بشاحنات</w:t>
            </w:r>
            <w:r w:rsidR="00347A9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مبرّدة</w:t>
            </w:r>
          </w:p>
        </w:tc>
        <w:tc>
          <w:tcPr>
            <w:tcW w:w="1957" w:type="dxa"/>
          </w:tcPr>
          <w:p w14:paraId="3704B4B7" w14:textId="28D77A98" w:rsidR="007B4ACB" w:rsidRPr="00562F1C" w:rsidRDefault="00347A9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السنوات 2-4: </w:t>
            </w:r>
            <w:r w:rsidR="007F268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كفاية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إمدادات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EE01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حليب الماعز والإبل لتلبية الطل</w:t>
            </w:r>
            <w:r w:rsidR="00672E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</w:t>
            </w:r>
            <w:r w:rsidR="00EE01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في المناطق شبه الحضرية</w:t>
            </w:r>
          </w:p>
        </w:tc>
      </w:tr>
      <w:tr w:rsidR="00672E6C" w:rsidRPr="00562F1C" w14:paraId="1F5BC6E0" w14:textId="77777777" w:rsidTr="00645B0A">
        <w:trPr>
          <w:cantSplit/>
          <w:trHeight w:val="1151"/>
        </w:trPr>
        <w:tc>
          <w:tcPr>
            <w:tcW w:w="2559" w:type="dxa"/>
          </w:tcPr>
          <w:p w14:paraId="6B82D426" w14:textId="77777777" w:rsidR="00672E6C" w:rsidRPr="00562F1C" w:rsidRDefault="00672E6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lastRenderedPageBreak/>
              <w:t>المخاطر الصحية</w:t>
            </w:r>
          </w:p>
          <w:p w14:paraId="15119963" w14:textId="742115AD" w:rsidR="00672E6C" w:rsidRPr="00562F1C" w:rsidRDefault="008D0DC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المخاطر الصحية المرتبطة باستخدام حليب الماعز والإبل الملوّ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ث في صناعة الجبنة</w:t>
            </w:r>
          </w:p>
          <w:p w14:paraId="5F362DE0" w14:textId="644F6F66" w:rsidR="001F318A" w:rsidRPr="00562F1C" w:rsidRDefault="008D0DC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المخاطر الصحية المرتبطة بإنضاج الجبنة 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الأ</w:t>
            </w:r>
            <w:r w:rsidR="001F318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رض في بعض المناطق</w:t>
            </w:r>
          </w:p>
          <w:p w14:paraId="3C8ACC15" w14:textId="346F8BED" w:rsidR="001F318A" w:rsidRPr="00562F1C" w:rsidRDefault="001F318A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إحتمال أن تمنع بعض التشريعات 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 مجال الصحة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استخدام الحليب غير المبست</w:t>
            </w:r>
            <w:r w:rsidR="00495B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 في صناعة جبنة فانوكو</w:t>
            </w:r>
          </w:p>
        </w:tc>
        <w:tc>
          <w:tcPr>
            <w:tcW w:w="1620" w:type="dxa"/>
          </w:tcPr>
          <w:p w14:paraId="33C41613" w14:textId="14306B44" w:rsidR="00672E6C" w:rsidRPr="00562F1C" w:rsidRDefault="00AF54A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ضمان إمكانية ص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ناعة جبنة فانوكو على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الطريقة التقليدية قدر المستطاع من دون التسب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 بمشاكل صحية</w:t>
            </w:r>
          </w:p>
        </w:tc>
        <w:tc>
          <w:tcPr>
            <w:tcW w:w="2610" w:type="dxa"/>
          </w:tcPr>
          <w:p w14:paraId="048FA595" w14:textId="06AAA9E1" w:rsidR="00672E6C" w:rsidRPr="00562F1C" w:rsidRDefault="00AF54A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1: تدريب صانعي جبنة فانوكو للتأكّد من عدم 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قيامهم ب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إنضاج 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الجبنة 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الأرض 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عندما ينطوي ذلك على مخاطر صحية.</w:t>
            </w:r>
          </w:p>
          <w:p w14:paraId="15CFEDF8" w14:textId="54CA07F3" w:rsidR="00AF54A5" w:rsidRPr="00562F1C" w:rsidRDefault="00AF54A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السنة 1:</w:t>
            </w:r>
            <w:r w:rsidR="0061169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الحرص على أن يسمح المشرّعون باستخدام حليب الماعز والإبل غير المبست</w:t>
            </w:r>
            <w:r w:rsidR="00495B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61169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ر </w:t>
            </w:r>
            <w:r w:rsidR="00495B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عبر</w:t>
            </w:r>
            <w:r w:rsidR="0061169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التخلّص من الإمدادات الملوّ</w:t>
            </w:r>
            <w:r w:rsidR="00495B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61169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ثة من هذا الحليب (فرض رقابة على جودة الحليب)</w:t>
            </w:r>
          </w:p>
          <w:p w14:paraId="64E8F658" w14:textId="77777777" w:rsidR="008D3564" w:rsidRPr="00562F1C" w:rsidRDefault="008D3564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1: </w:t>
            </w:r>
            <w:r w:rsidR="0053597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توفير الشاحنات المبرّدة لإمداد المدن بحليب الماعز والإبل من أجل التقليل من احتمالات التلوّث</w:t>
            </w:r>
          </w:p>
          <w:p w14:paraId="583F7119" w14:textId="601A09B8" w:rsidR="00075DC5" w:rsidRPr="00562F1C" w:rsidRDefault="00075DC5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السنوات 2-4: إنشاء نظام </w:t>
            </w:r>
            <w:r w:rsidR="00495B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فحص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صحي لتتأكّد من امتثال مكوّنات جبنة فانوكو و</w:t>
            </w:r>
            <w:r w:rsidR="00D44C6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نتجاتها للتشريعات السارية</w:t>
            </w:r>
          </w:p>
        </w:tc>
        <w:tc>
          <w:tcPr>
            <w:tcW w:w="2813" w:type="dxa"/>
          </w:tcPr>
          <w:p w14:paraId="14E2B1D6" w14:textId="05323911" w:rsidR="00672E6C" w:rsidRPr="00562F1C" w:rsidRDefault="009C208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السماح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با</w:t>
            </w:r>
            <w:r w:rsidR="00C87F3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ستخدام حليب الماعز والإبل غير المبست</w:t>
            </w:r>
            <w:r w:rsidR="009C58B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C87F3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</w:t>
            </w:r>
          </w:p>
          <w:p w14:paraId="57CD2BD8" w14:textId="3A482E75" w:rsidR="00C87F31" w:rsidRPr="00562F1C" w:rsidRDefault="009C208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تأمين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C87F3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بدائل للإنضاج </w:t>
            </w:r>
            <w:r w:rsidR="009C58B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</w:t>
            </w:r>
            <w:r w:rsidR="00C87F3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الأرض في المناطق شبه الحضرية</w:t>
            </w:r>
          </w:p>
          <w:p w14:paraId="7517D3C9" w14:textId="587B3160" w:rsidR="00C87F31" w:rsidRPr="00562F1C" w:rsidRDefault="009C208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حصول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183AB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منتجات جبنة فانوكو 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على موافقة </w:t>
            </w:r>
            <w:r w:rsidR="00183AB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المفت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="00183AB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شين الصحيين</w:t>
            </w:r>
          </w:p>
        </w:tc>
        <w:tc>
          <w:tcPr>
            <w:tcW w:w="1957" w:type="dxa"/>
          </w:tcPr>
          <w:p w14:paraId="2E24A973" w14:textId="4EB9541D" w:rsidR="00672E6C" w:rsidRPr="00562F1C" w:rsidRDefault="0090373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وزارة الصحة تموّل نظام </w:t>
            </w:r>
            <w:r w:rsidR="009C58B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الفحص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(</w:t>
            </w:r>
            <w:r w:rsidR="00F3375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20000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دولار أميركي سنويًا)</w:t>
            </w:r>
          </w:p>
          <w:p w14:paraId="4F857C1D" w14:textId="24FD7B8A" w:rsidR="0090373C" w:rsidRPr="00562F1C" w:rsidRDefault="0090373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الهيئات الصحية 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الحكومية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الناظمة تنشئ نظام 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فحصٍ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صحي</w:t>
            </w:r>
          </w:p>
          <w:p w14:paraId="4EF74E7C" w14:textId="4E089E1E" w:rsidR="0090373C" w:rsidRPr="00562F1C" w:rsidRDefault="00AD728B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جمعية فانوك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 ومديرية الصحة ت</w:t>
            </w:r>
            <w:r w:rsidR="0090373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قدّمان برنامج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="0090373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تدريبي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ًا</w:t>
            </w:r>
            <w:r w:rsidR="0090373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لصانعي الجبنة (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10000</w:t>
            </w:r>
            <w:r w:rsidR="0090373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دولار أميركي لمكان انعقاد البرنامج)</w:t>
            </w:r>
          </w:p>
          <w:p w14:paraId="008ABEBF" w14:textId="77777777" w:rsidR="0090373C" w:rsidRPr="00562F1C" w:rsidRDefault="0090373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(التبرّع بشاحنات مبرّدة </w:t>
            </w:r>
            <w:r w:rsidRPr="00562F1C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–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أنظر أعلاه) </w:t>
            </w:r>
          </w:p>
        </w:tc>
        <w:tc>
          <w:tcPr>
            <w:tcW w:w="1957" w:type="dxa"/>
          </w:tcPr>
          <w:p w14:paraId="65C454BD" w14:textId="0E5CB5F2" w:rsidR="00672E6C" w:rsidRPr="00562F1C" w:rsidRDefault="00EE27D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4: </w:t>
            </w:r>
            <w:r w:rsidR="00CB583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سلسلة 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إمداد خالية من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المكوّنا</w:t>
            </w:r>
            <w:r w:rsidR="00AD728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 الملوَّثة/ العمليات الملوِّثة</w:t>
            </w:r>
          </w:p>
          <w:p w14:paraId="37F3CF12" w14:textId="18A8B6A9" w:rsidR="00EE27D2" w:rsidRPr="00562F1C" w:rsidRDefault="00EE27D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السنوات </w:t>
            </w:r>
            <w:r w:rsidR="00C15BC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2-4: </w:t>
            </w:r>
            <w:r w:rsidR="00C433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حصول</w:t>
            </w:r>
            <w:r w:rsidR="00F8714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C15BC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جبنة فانوكو المصنوعة من حليب الماعز والإبل غير المبست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C15BC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ر </w:t>
            </w:r>
            <w:r w:rsidR="00F8714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على ترخيصٍ</w:t>
            </w:r>
            <w:r w:rsidR="00C15BC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من المفت</w:t>
            </w:r>
            <w:r w:rsidR="001E022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="00C15BC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شين كجبنة</w:t>
            </w:r>
            <w:r w:rsidR="00F8714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C15BC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صالحة للاستهلاك</w:t>
            </w:r>
          </w:p>
        </w:tc>
      </w:tr>
      <w:tr w:rsidR="00600A0C" w:rsidRPr="00562F1C" w14:paraId="25D64FFA" w14:textId="77777777" w:rsidTr="00645B0A">
        <w:trPr>
          <w:trHeight w:val="3653"/>
        </w:trPr>
        <w:tc>
          <w:tcPr>
            <w:tcW w:w="2559" w:type="dxa"/>
          </w:tcPr>
          <w:p w14:paraId="1EE930FB" w14:textId="77777777" w:rsidR="00600A0C" w:rsidRPr="00562F1C" w:rsidRDefault="00600A0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lastRenderedPageBreak/>
              <w:t>نقل المهارات</w:t>
            </w:r>
          </w:p>
          <w:p w14:paraId="7308CA19" w14:textId="10A1541A" w:rsidR="00600A0C" w:rsidRPr="00562F1C" w:rsidRDefault="00600A0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عدم كفاية التدريب الذي يخضع له صانعو جبنة فانوكو في المناطق شبه الحضرية/ الحضرية </w:t>
            </w:r>
            <w:r w:rsidR="00E66A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يمكن أن 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</w:t>
            </w:r>
            <w:r w:rsidR="00E66A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فضي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إلى</w:t>
            </w:r>
            <w:r w:rsidR="00FE109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نقص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FE109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في الثقة والابتكار </w:t>
            </w:r>
            <w:r w:rsidR="000A135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في ما يتعلّق</w:t>
            </w:r>
            <w:r w:rsidR="00E66A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FF1DB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</w:t>
            </w:r>
            <w:r w:rsidR="00FE109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أمزجة المكس</w:t>
            </w:r>
            <w:r w:rsidR="00E66A5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="00FE109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رات، والبذور، والفاكهة المجفّفة</w:t>
            </w:r>
          </w:p>
        </w:tc>
        <w:tc>
          <w:tcPr>
            <w:tcW w:w="1620" w:type="dxa"/>
          </w:tcPr>
          <w:p w14:paraId="333E14C6" w14:textId="77777777" w:rsidR="00600A0C" w:rsidRPr="00562F1C" w:rsidRDefault="001900E1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ضمان استدامة صناعة جبنة فانوكو في المناطق الريفية وشبه الحضرية على السواء</w:t>
            </w:r>
          </w:p>
        </w:tc>
        <w:tc>
          <w:tcPr>
            <w:tcW w:w="2610" w:type="dxa"/>
          </w:tcPr>
          <w:p w14:paraId="6FAFB4C9" w14:textId="49DF1830" w:rsidR="00600A0C" w:rsidRPr="00562F1C" w:rsidRDefault="004B1F44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السنوات</w:t>
            </w:r>
            <w:r w:rsidR="001900E1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1-4: </w:t>
            </w:r>
            <w:r w:rsidR="0043704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تعزيز</w:t>
            </w:r>
            <w:r w:rsidR="00E8768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43704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التواصل</w:t>
            </w:r>
            <w:r w:rsidR="00E8768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بين صانعي الجبنة الريفيين وشبه الحضريين، عن طريق برامج تدريب</w:t>
            </w:r>
            <w:r w:rsidR="0043704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E8768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مهني و/ أو المشاركة في معارض تجارية</w:t>
            </w:r>
            <w:r w:rsidR="000168A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مثلًا</w:t>
            </w:r>
          </w:p>
        </w:tc>
        <w:tc>
          <w:tcPr>
            <w:tcW w:w="2813" w:type="dxa"/>
          </w:tcPr>
          <w:p w14:paraId="42B78073" w14:textId="77777777" w:rsidR="00600A0C" w:rsidRPr="00562F1C" w:rsidRDefault="00953BA0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نقل مهارات جبنة فانوكو إلى الأجيال القادمة</w:t>
            </w:r>
          </w:p>
          <w:p w14:paraId="14C79851" w14:textId="79B38E5D" w:rsidR="00953BA0" w:rsidRPr="00562F1C" w:rsidRDefault="008409B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تشجيع الابتكار في الم</w:t>
            </w:r>
            <w:r w:rsidR="00953BA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ضافات من المكس</w:t>
            </w:r>
            <w:r w:rsidR="0043704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="00953BA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رات، والبذور، والفاكهة المجفّفة</w:t>
            </w:r>
          </w:p>
        </w:tc>
        <w:tc>
          <w:tcPr>
            <w:tcW w:w="1957" w:type="dxa"/>
          </w:tcPr>
          <w:p w14:paraId="535AAE23" w14:textId="2096C4C5" w:rsidR="003A3C9B" w:rsidRPr="00562F1C" w:rsidRDefault="003A3C9B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صانعو الجبنة الأكبر سنًا يخصّصون وقتًا للخطة</w:t>
            </w:r>
            <w:r w:rsidR="00953BA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</w:p>
          <w:p w14:paraId="38C78FFE" w14:textId="3091E3CE" w:rsidR="00953BA0" w:rsidRPr="00562F1C" w:rsidRDefault="003A3C9B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الحكومة والقطاع الخاصّ يموّلان المعارض التجارية </w:t>
            </w:r>
            <w:r w:rsidR="0031781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(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20000</w:t>
            </w:r>
            <w:r w:rsidR="0031781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دولار أميركي)</w:t>
            </w:r>
          </w:p>
        </w:tc>
        <w:tc>
          <w:tcPr>
            <w:tcW w:w="1957" w:type="dxa"/>
          </w:tcPr>
          <w:p w14:paraId="5AEBDEFC" w14:textId="2D612C52" w:rsidR="00600A0C" w:rsidRPr="00562F1C" w:rsidRDefault="00643CBB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4: </w:t>
            </w:r>
            <w:r w:rsidR="00C433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تمتُّع</w:t>
            </w:r>
            <w:r w:rsidR="003A3C9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0168A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صانعي</w:t>
            </w:r>
            <w:r w:rsidR="000D305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جبنة فانوكو </w:t>
            </w:r>
            <w:r w:rsidR="00A85F5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في المناطق شبه الحضرية </w:t>
            </w:r>
            <w:r w:rsidR="003A3C9B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بالثقة لإنتاج الجبنة على </w:t>
            </w:r>
            <w:r w:rsidR="007F2250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الطريقة التقليدية</w:t>
            </w:r>
          </w:p>
        </w:tc>
      </w:tr>
      <w:tr w:rsidR="00BE5767" w:rsidRPr="00562F1C" w14:paraId="099653F1" w14:textId="77777777" w:rsidTr="00645B0A">
        <w:trPr>
          <w:trHeight w:val="1641"/>
        </w:trPr>
        <w:tc>
          <w:tcPr>
            <w:tcW w:w="2559" w:type="dxa"/>
          </w:tcPr>
          <w:p w14:paraId="29C6E8E9" w14:textId="77777777" w:rsidR="00BE5767" w:rsidRPr="00562F1C" w:rsidRDefault="00BE576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النزاع</w:t>
            </w:r>
          </w:p>
          <w:p w14:paraId="4EE20A3C" w14:textId="5C0F48F8" w:rsidR="00BE5767" w:rsidRPr="00562F1C" w:rsidRDefault="00EC613D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تأثير </w:t>
            </w:r>
            <w:r w:rsidR="00BE576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النزاع الدائر في المنطقة الحدودية على جماعات فان، والمشاريع التنموية، وإنتاج جبنة فانوكو في المناطق الريفية</w:t>
            </w:r>
          </w:p>
        </w:tc>
        <w:tc>
          <w:tcPr>
            <w:tcW w:w="1620" w:type="dxa"/>
          </w:tcPr>
          <w:p w14:paraId="50AF8699" w14:textId="77777777" w:rsidR="00BE5767" w:rsidRPr="00562F1C" w:rsidRDefault="00BE576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إعادة إرساء السلام مع البلد المجاور</w:t>
            </w:r>
          </w:p>
        </w:tc>
        <w:tc>
          <w:tcPr>
            <w:tcW w:w="2610" w:type="dxa"/>
          </w:tcPr>
          <w:p w14:paraId="78CB7D83" w14:textId="225713D6" w:rsidR="00BE5767" w:rsidRPr="00562F1C" w:rsidRDefault="00485582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1: </w:t>
            </w:r>
            <w:r w:rsidR="00F27F6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تقييم أيّ آثار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F27F6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سلبية محتملة للنزاع الحالي على مشاريع البنى التحتية في المناطق الريفية قبل </w:t>
            </w:r>
            <w:r w:rsidR="00EC613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المباشرة بها</w:t>
            </w:r>
            <w:r w:rsidR="00F27F6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، والتخفيف من تلك الآثار</w:t>
            </w:r>
          </w:p>
          <w:p w14:paraId="319AF3F1" w14:textId="3F81295D" w:rsidR="00D12A63" w:rsidRPr="00562F1C" w:rsidRDefault="00C344BF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3: </w:t>
            </w:r>
            <w:r w:rsidR="00F3791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تنظيم حملة</w:t>
            </w:r>
            <w:r w:rsidR="000168A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F3791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لمعالجة النزاع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في المناطق الحدود</w:t>
            </w:r>
            <w:r w:rsidR="0041117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ة عبر </w:t>
            </w:r>
            <w:r w:rsidR="0041117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الجهود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الدبلوماسية</w:t>
            </w:r>
          </w:p>
        </w:tc>
        <w:tc>
          <w:tcPr>
            <w:tcW w:w="2813" w:type="dxa"/>
          </w:tcPr>
          <w:p w14:paraId="208D2704" w14:textId="189A8D8C" w:rsidR="00BE5767" w:rsidRPr="00562F1C" w:rsidRDefault="00E4212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تراج</w:t>
            </w:r>
            <w:r w:rsidR="00F617D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ُ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ع 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النزاع في المناطق الحدودية</w:t>
            </w:r>
          </w:p>
          <w:p w14:paraId="621E7C59" w14:textId="681ED843" w:rsidR="00D12A63" w:rsidRPr="00562F1C" w:rsidRDefault="00F617D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تخصيص</w:t>
            </w:r>
            <w:r w:rsidR="00E421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استثمارات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لبنى التحتية في المناطق الحدودية</w:t>
            </w:r>
          </w:p>
          <w:p w14:paraId="46954F81" w14:textId="62100839" w:rsidR="00D12A63" w:rsidRPr="00562F1C" w:rsidRDefault="00F617DC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تنامي</w:t>
            </w:r>
            <w:r w:rsidR="00E421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</w:t>
            </w:r>
            <w:r w:rsidR="00D12A63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علاقات عبر الحدود بين أعضاء جماعة فان</w:t>
            </w:r>
          </w:p>
          <w:p w14:paraId="6917D44A" w14:textId="2ED1210A" w:rsidR="00D12A63" w:rsidRPr="00562F1C" w:rsidRDefault="000463F1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جماعات فان أكثر قابلية للبقاء، 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وانتشار أكبر ل</w:t>
            </w:r>
            <w:r w:rsidR="00E23E2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تربية الماعز والإبل</w:t>
            </w:r>
            <w:r w:rsidR="00E421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E23E2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، </w:t>
            </w:r>
            <w:r w:rsidR="00F617DC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وزيادة</w:t>
            </w:r>
            <w:r w:rsidR="00E23E2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0168A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في </w:t>
            </w:r>
            <w:r w:rsidR="00E23E2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إنتاج جبنة فانوكو</w:t>
            </w:r>
          </w:p>
        </w:tc>
        <w:tc>
          <w:tcPr>
            <w:tcW w:w="1957" w:type="dxa"/>
          </w:tcPr>
          <w:p w14:paraId="5237FF36" w14:textId="03C45ED9" w:rsidR="00BE5767" w:rsidRPr="00562F1C" w:rsidRDefault="00E23E2F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الإلتزام الدبلوماسي من جانب حكومة </w:t>
            </w:r>
            <w:r w:rsidR="00C22AF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كاسن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(غير المحتس</w:t>
            </w:r>
            <w:r w:rsidR="00E421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 ضمن الخطة)</w:t>
            </w:r>
          </w:p>
          <w:p w14:paraId="49469CC6" w14:textId="2AFD2034" w:rsidR="00E23E2F" w:rsidRPr="00562F1C" w:rsidRDefault="00E4212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الحكومة تخصّص اس</w:t>
            </w:r>
            <w:r w:rsidR="000168A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ثمارات للبنى التحتية </w:t>
            </w:r>
            <w:r w:rsidR="00E23E2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(أنظر أعلاه)</w:t>
            </w:r>
          </w:p>
        </w:tc>
        <w:tc>
          <w:tcPr>
            <w:tcW w:w="1957" w:type="dxa"/>
          </w:tcPr>
          <w:p w14:paraId="34F92FD2" w14:textId="6A60FB1B" w:rsidR="00BE5767" w:rsidRPr="00562F1C" w:rsidRDefault="00E23E2F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السنة 4 وما بعدها: نزاع متراج</w:t>
            </w:r>
            <w:r w:rsidR="00C433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ِ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ع الوتيرة</w:t>
            </w:r>
          </w:p>
          <w:p w14:paraId="56AC679A" w14:textId="29CC293B" w:rsidR="00E23E2F" w:rsidRPr="00562F1C" w:rsidRDefault="00E4212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السنوات 2-4: استثمارات ح</w:t>
            </w:r>
            <w:r w:rsidR="00E23E2F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كومية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أكبر</w:t>
            </w:r>
          </w:p>
          <w:p w14:paraId="798BF72C" w14:textId="5A9AADD2" w:rsidR="00E23E2F" w:rsidRPr="00562F1C" w:rsidRDefault="00E23E2F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 وما بعدها: </w:t>
            </w:r>
            <w:r w:rsidR="00E421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انتشار أكبر ل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تربية </w:t>
            </w:r>
            <w:r w:rsidR="00AC236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الماشية </w:t>
            </w:r>
            <w:r w:rsidR="00E4212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وصناعة الجبنة الريفية</w:t>
            </w:r>
          </w:p>
        </w:tc>
      </w:tr>
      <w:tr w:rsidR="008D6CFD" w:rsidRPr="00562F1C" w14:paraId="114F54EA" w14:textId="77777777" w:rsidTr="00645B0A">
        <w:trPr>
          <w:trHeight w:val="2753"/>
        </w:trPr>
        <w:tc>
          <w:tcPr>
            <w:tcW w:w="2559" w:type="dxa"/>
          </w:tcPr>
          <w:p w14:paraId="671EE8E4" w14:textId="77777777" w:rsidR="008D6CFD" w:rsidRPr="00562F1C" w:rsidRDefault="00974C8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lastRenderedPageBreak/>
              <w:t>التشويه/ إساءة الاستخدام</w:t>
            </w:r>
          </w:p>
          <w:p w14:paraId="27D95057" w14:textId="646D78C2" w:rsidR="00974C88" w:rsidRPr="00562F1C" w:rsidRDefault="00EF6C34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من المحتمل</w:t>
            </w:r>
            <w:r w:rsidR="00974C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أن 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يؤدّي</w:t>
            </w:r>
            <w:r w:rsidR="00974C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استخدام إسم فانوكو لأجبان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974C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رديئة أو منتجات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="00974C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مقلّدة 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إلى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تقلّص سوق الجبنة المصنوعة على ا</w:t>
            </w:r>
            <w:r w:rsidR="00974C8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لطريقة التقليدية أو أن يخدع المستهلكين</w:t>
            </w:r>
          </w:p>
          <w:p w14:paraId="56EBE774" w14:textId="5BEBCC87" w:rsidR="00974C88" w:rsidRPr="00562F1C" w:rsidRDefault="00974C8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من شأن حصر جبنة فانوكو كـ"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تراثٍ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C22AF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كاسن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ي" أن يعكس صورة مشوّ</w:t>
            </w:r>
            <w:r w:rsidR="0097644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هة عن علاقتها بجماعة فان</w:t>
            </w:r>
          </w:p>
          <w:p w14:paraId="331B42C7" w14:textId="06E50CC4" w:rsidR="00974C88" w:rsidRPr="00562F1C" w:rsidRDefault="00974C8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ي</w:t>
            </w:r>
            <w:r w:rsidR="0097644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ُ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حتمل أن يتسب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ب الإنتاج الصناعي بالتقليل من المنتجات الح</w:t>
            </w:r>
            <w:r w:rsidR="0097644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ِ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رفية من جبنة فانوكو</w:t>
            </w:r>
          </w:p>
        </w:tc>
        <w:tc>
          <w:tcPr>
            <w:tcW w:w="1620" w:type="dxa"/>
          </w:tcPr>
          <w:p w14:paraId="37DDACE0" w14:textId="2204C4BF" w:rsidR="008D6CFD" w:rsidRPr="00562F1C" w:rsidRDefault="00EF6C34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تمكين صانعي جبنة فانوكو و</w:t>
            </w:r>
            <w:r w:rsidR="003672B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جماعة فان من تحديد م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="003672B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 يستطيع استخدام إسم فانوكو وبأيّ شروط</w:t>
            </w:r>
          </w:p>
        </w:tc>
        <w:tc>
          <w:tcPr>
            <w:tcW w:w="2610" w:type="dxa"/>
          </w:tcPr>
          <w:p w14:paraId="4E3DEC62" w14:textId="2D06E525" w:rsidR="008D6CFD" w:rsidRPr="00562F1C" w:rsidRDefault="009F2DC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1: </w:t>
            </w:r>
            <w:r w:rsidR="001421E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ضمان مشار</w:t>
            </w:r>
            <w:r w:rsidR="000560C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كة جماعة فان وموافقتها على إدراج</w:t>
            </w:r>
            <w:r w:rsidR="001421E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تقليد جبنة فانوكو </w:t>
            </w:r>
            <w:r w:rsidR="00EF6C3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في </w:t>
            </w:r>
            <w:r w:rsidR="00447D05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قوائم</w:t>
            </w:r>
            <w:r w:rsidR="001421EA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الحصر</w:t>
            </w:r>
          </w:p>
          <w:p w14:paraId="38A251BB" w14:textId="1415DC3D" w:rsidR="001421EA" w:rsidRPr="00562F1C" w:rsidRDefault="001421EA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السنوات 1-4: </w:t>
            </w:r>
            <w:r w:rsidR="00053B3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المشاركة في المعارض التجارية والمشاريع الإعلانية </w:t>
            </w:r>
            <w:r w:rsidR="00EF6C3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لنشر</w:t>
            </w:r>
            <w:r w:rsidR="006D44F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الوعي بشأن جبنة فانوكو ضمن جماعة فان، </w:t>
            </w:r>
            <w:r w:rsidR="00EF6C3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ولدى </w:t>
            </w:r>
            <w:r w:rsidR="006D44F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المطاعم، وشركات التصدير، و</w:t>
            </w:r>
            <w:r w:rsidR="00A537E9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عامّة </w:t>
            </w:r>
            <w:r w:rsidR="006D44F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الجمهور</w:t>
            </w:r>
          </w:p>
          <w:p w14:paraId="46263C83" w14:textId="4AA150BA" w:rsidR="006D44F7" w:rsidRPr="00562F1C" w:rsidRDefault="006D44F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السنوات 2-4: اللجوء </w:t>
            </w:r>
            <w:r w:rsidR="00CC032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إلى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حماية الملكية الفكرية لضمان عدم استخدام إسم فانوكو إلا للجبنة المصنوعة من مكو</w:t>
            </w:r>
            <w:r w:rsidR="00653B0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نات معيّنة (حليب الماعز والإبل غير المبست</w:t>
            </w:r>
            <w:r w:rsidR="00653B0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َ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ر ونبتة غويلاما) والخاضع</w:t>
            </w:r>
            <w:r w:rsidR="00CC032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ة لفترة إنض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اج طويلة في بيئة</w:t>
            </w:r>
            <w:r w:rsidR="00653B06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ٍ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باردة</w:t>
            </w:r>
          </w:p>
          <w:p w14:paraId="43EC55AA" w14:textId="419DCE2B" w:rsidR="006D44F7" w:rsidRPr="00562F1C" w:rsidRDefault="006D44F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3: منح جبنة فانوكو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المصنوعة يدويًا حماية الملكية الفكرية (في حال اعت</w:t>
            </w:r>
            <w:r w:rsidR="00CC032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ُ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مدت في الانتاج الصناعي المكو</w:t>
            </w:r>
            <w:r w:rsidR="00CC032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ّ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نات والطريقة التقليدية)</w:t>
            </w:r>
          </w:p>
          <w:p w14:paraId="5C9F400F" w14:textId="5CB35F95" w:rsidR="006D44F7" w:rsidRPr="00562F1C" w:rsidRDefault="006D44F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السنتان 3-4: تطوير أسواق جديدة لجبنة فانوكو؛ على سبيل المثال</w:t>
            </w:r>
            <w:r w:rsidR="007E2A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،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إهداء جبنة فانوكو لسفارات البلدان التي ي</w:t>
            </w:r>
            <w:r w:rsidR="00CC032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ُ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حتمل أن تستوردها في أوائل تشرين الثاني/ نوفمبر من كلّ عام.</w:t>
            </w:r>
          </w:p>
        </w:tc>
        <w:tc>
          <w:tcPr>
            <w:tcW w:w="2813" w:type="dxa"/>
          </w:tcPr>
          <w:p w14:paraId="64696F77" w14:textId="007BE2F0" w:rsidR="008D6CFD" w:rsidRPr="00562F1C" w:rsidRDefault="00653B06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lastRenderedPageBreak/>
              <w:t>إ</w:t>
            </w:r>
            <w:r w:rsidR="006D44F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نتشار الوعي بشأن معنى جبنة فانوكو وقيمتها</w:t>
            </w:r>
          </w:p>
          <w:p w14:paraId="3BE61746" w14:textId="77777777" w:rsidR="006D44F7" w:rsidRPr="00562F1C" w:rsidRDefault="006D44F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إعادة التأكيد على الرابط القائم بين جبنة فانوكو وجماعة فان</w:t>
            </w:r>
          </w:p>
          <w:p w14:paraId="0517B99E" w14:textId="562BEF07" w:rsidR="006D44F7" w:rsidRPr="00562F1C" w:rsidRDefault="006D44F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تمتّ</w:t>
            </w:r>
            <w:r w:rsidR="007E2A7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ُ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ع إسم فانوكو بالحماية في المناطق الريفية والحضرية على السواء بواسطة </w:t>
            </w:r>
            <w:r w:rsidR="00AF2E0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البيان الجغرافي، أو العلامة الجماعية،</w:t>
            </w:r>
            <w:r w:rsidR="00CC032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أو</w:t>
            </w:r>
            <w:r w:rsidR="00AF2E0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علامة التصديق</w:t>
            </w:r>
          </w:p>
          <w:p w14:paraId="7A388610" w14:textId="61A1D47A" w:rsidR="00AF2E08" w:rsidRPr="00562F1C" w:rsidRDefault="00AF2E08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أسواق موسّعة ومحميّة لجبنة فانوكو المصنوعة على يد ح</w:t>
            </w:r>
            <w:r w:rsidR="0097644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ِ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رفيين، داخل </w:t>
            </w:r>
            <w:r w:rsidR="00C22AF8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كاسن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وخارجها</w:t>
            </w:r>
          </w:p>
        </w:tc>
        <w:tc>
          <w:tcPr>
            <w:tcW w:w="1957" w:type="dxa"/>
          </w:tcPr>
          <w:p w14:paraId="657BFF55" w14:textId="35F04BB8" w:rsidR="008D6CFD" w:rsidRPr="00562F1C" w:rsidRDefault="0081541A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الجامعة </w:t>
            </w:r>
            <w:r w:rsidR="00C9291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ترعى بشكل جزئي ال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مشروع الإعلامي المنفَّذ من قبل الشباب الفاني (</w:t>
            </w:r>
            <w:r w:rsidR="00C9291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2000 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دولار أميركي)</w:t>
            </w:r>
          </w:p>
          <w:p w14:paraId="60FF52E4" w14:textId="77777777" w:rsidR="0081541A" w:rsidRPr="00562F1C" w:rsidRDefault="0081541A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دعم تنظيم المعارض التجارية/ المشاركة فيها (أنظر أعلاه)</w:t>
            </w:r>
          </w:p>
          <w:p w14:paraId="3E1BEE10" w14:textId="1C7401F9" w:rsidR="0081541A" w:rsidRPr="00562F1C" w:rsidRDefault="0097644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جمعية فانوكو تغطي </w:t>
            </w:r>
            <w:r w:rsidR="002D232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تكاليف التسويق وغيرها من التكا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ليف المتّصلة بتطوير أسواق جديدة </w:t>
            </w:r>
            <w:r w:rsidR="00CB5834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(10000 </w:t>
            </w:r>
            <w:r w:rsidR="002D232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دولار أميركي)</w:t>
            </w:r>
          </w:p>
          <w:p w14:paraId="5088B19B" w14:textId="1753A2DF" w:rsidR="002D2322" w:rsidRPr="00562F1C" w:rsidRDefault="0097644E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مساعد الحامي الفاني يقدّم مجانًا </w:t>
            </w:r>
            <w:r w:rsidR="002D2322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خدمات استش</w:t>
            </w: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ارية بشأن حماية الملكية الفكرية</w:t>
            </w:r>
          </w:p>
        </w:tc>
        <w:tc>
          <w:tcPr>
            <w:tcW w:w="1957" w:type="dxa"/>
          </w:tcPr>
          <w:p w14:paraId="27126053" w14:textId="5D0719F3" w:rsidR="00710F37" w:rsidRPr="00562F1C" w:rsidRDefault="000A34AB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السنة 1:</w:t>
            </w:r>
            <w:r w:rsidR="0055283D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97644E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تمّت استشارة </w:t>
            </w:r>
            <w:r w:rsidR="00710F3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جماعة بشأن عملية</w:t>
            </w:r>
            <w:r w:rsidR="00544BC5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إعداد قائمة</w:t>
            </w:r>
            <w:r w:rsidR="00710F37"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 الحصر</w:t>
            </w:r>
          </w:p>
          <w:p w14:paraId="070621E7" w14:textId="77777777" w:rsidR="00710F37" w:rsidRPr="00562F1C" w:rsidRDefault="00710F37" w:rsidP="00714C15">
            <w:pPr>
              <w:tabs>
                <w:tab w:val="clear" w:pos="567"/>
                <w:tab w:val="center" w:pos="4819"/>
              </w:tabs>
              <w:bidi/>
              <w:snapToGrid/>
              <w:spacing w:line="187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562F1C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 xml:space="preserve">السنة 4: صانعو جبنة فانوكو يسيطرون على استخدام الاسم </w:t>
            </w:r>
          </w:p>
        </w:tc>
      </w:tr>
    </w:tbl>
    <w:p w14:paraId="79AEC4D8" w14:textId="47572DE8" w:rsidR="00B17ED8" w:rsidRPr="00562F1C" w:rsidRDefault="00B17ED8" w:rsidP="00B17ED8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</w:p>
    <w:p w14:paraId="7689097A" w14:textId="0445FD3B" w:rsidR="00B17ED8" w:rsidRPr="00562F1C" w:rsidRDefault="00B17ED8" w:rsidP="00B17ED8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0C106095" w14:textId="77777777" w:rsidR="00637A99" w:rsidRPr="00562F1C" w:rsidRDefault="00637A99" w:rsidP="00637A99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6A42A7A9" w14:textId="77777777" w:rsidR="0010346F" w:rsidRPr="00562F1C" w:rsidRDefault="00852A4C" w:rsidP="00176CCA">
      <w:pPr>
        <w:pStyle w:val="Heading4"/>
        <w:rPr>
          <w:rtl/>
        </w:rPr>
      </w:pPr>
      <w:r w:rsidRPr="00562F1C">
        <w:rPr>
          <w:rFonts w:hint="cs"/>
          <w:rtl/>
        </w:rPr>
        <w:t>الكلفة الإجمالية لخطة الصون</w:t>
      </w:r>
    </w:p>
    <w:p w14:paraId="1A26ED37" w14:textId="73103438" w:rsidR="00852A4C" w:rsidRPr="00562F1C" w:rsidRDefault="00852A4C" w:rsidP="00852A4C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000 177 دولار</w:t>
      </w:r>
      <w:r w:rsidR="00176CCA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أميركي، بما في ذلك الاستثمارات الحكوم</w:t>
      </w:r>
      <w:r w:rsidR="00176CCA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وباستثناء البنى التحتية وبناء السلام.</w:t>
      </w:r>
    </w:p>
    <w:p w14:paraId="62672341" w14:textId="77777777" w:rsidR="00852A4C" w:rsidRPr="00562F1C" w:rsidRDefault="00852A4C" w:rsidP="00176CCA">
      <w:pPr>
        <w:pStyle w:val="Heading4"/>
        <w:rPr>
          <w:rtl/>
        </w:rPr>
      </w:pPr>
      <w:r w:rsidRPr="00562F1C">
        <w:rPr>
          <w:rFonts w:hint="cs"/>
          <w:rtl/>
        </w:rPr>
        <w:t>كيف تمّ إشراك الجماعات المعنية؟</w:t>
      </w:r>
    </w:p>
    <w:p w14:paraId="29C0715F" w14:textId="05D22F4C" w:rsidR="00852A4C" w:rsidRPr="00562F1C" w:rsidRDefault="00852A4C" w:rsidP="00852A4C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التشاور مع صانعي جبنة فانوكو وأعضاء جماعة فان (خل</w:t>
      </w:r>
      <w:r w:rsidR="00176CCA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 الاجتماع الحالي وبعده) بشأن ا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قترحات الحصر وخطة الصون.</w:t>
      </w:r>
    </w:p>
    <w:p w14:paraId="56CA0D8C" w14:textId="77777777" w:rsidR="00852A4C" w:rsidRPr="00562F1C" w:rsidRDefault="00121A92" w:rsidP="00852A4C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إستطلاع آراء صانعي جبنة فانوكو وأعضاء جماعة فان بشأن معنى جبنة فانوكو بعد الاجتماع الحالي.</w:t>
      </w:r>
    </w:p>
    <w:p w14:paraId="20768B01" w14:textId="77777777" w:rsidR="00121A92" w:rsidRPr="00562F1C" w:rsidRDefault="00121A92" w:rsidP="00121A92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عقد اجتماعات مع صانعي جبنة فانوكو والمورّدين بش</w:t>
      </w:r>
      <w:bookmarkStart w:id="3" w:name="_GoBack"/>
      <w:bookmarkEnd w:id="3"/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 تطبيق نظام فحص الحليب وتعزيز فعالية سلاسل الإمداد.</w:t>
      </w:r>
    </w:p>
    <w:p w14:paraId="7EBF625A" w14:textId="3714FDAE" w:rsidR="00121A92" w:rsidRPr="00562F1C" w:rsidRDefault="009B2B9C" w:rsidP="00121A92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عقد اجتماعات مع صانعي جبنة فانوكو بشأن تأسيس جمعية و</w:t>
      </w:r>
      <w:r w:rsidR="00562C6B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تحويل الاسم إلى علامة تجارية؛ والتشاور مع الفانيين بشأن الاقتراحات المقدّ</w:t>
      </w:r>
      <w:r w:rsidR="00FB4C59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562C6B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مة في هذا الخصوص.</w:t>
      </w:r>
    </w:p>
    <w:p w14:paraId="0F2D115B" w14:textId="223141D1" w:rsidR="001F6D41" w:rsidRPr="00562F1C" w:rsidRDefault="001F6D41" w:rsidP="001F6D41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عقد اجتماعات مع صانعي جبنة فانوكو الريفيين، وشبه الحضريين، والحضريين من أجل تنفيذ برنامج</w:t>
      </w:r>
      <w:r w:rsidR="00FB4C59"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562F1C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تدريبي وتأسيس جمعية، فضلًا عن تنظيم المعارض التجارية وتطوير أسواق جديدة.</w:t>
      </w:r>
    </w:p>
    <w:p w14:paraId="4EFF90DF" w14:textId="77777777" w:rsidR="00D473F8" w:rsidRPr="005E04E4" w:rsidRDefault="00D473F8" w:rsidP="00D473F8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sectPr w:rsidR="00D473F8" w:rsidRPr="005E04E4" w:rsidSect="00B9777D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B4CB" w14:textId="77777777" w:rsidR="000E3EF2" w:rsidRDefault="000E3EF2" w:rsidP="002341DD">
      <w:pPr>
        <w:spacing w:before="0" w:after="0"/>
      </w:pPr>
      <w:r>
        <w:separator/>
      </w:r>
    </w:p>
  </w:endnote>
  <w:endnote w:type="continuationSeparator" w:id="0">
    <w:p w14:paraId="63B14E89" w14:textId="77777777" w:rsidR="000E3EF2" w:rsidRDefault="000E3EF2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8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0"/>
      <w:gridCol w:w="8594"/>
      <w:gridCol w:w="2562"/>
    </w:tblGrid>
    <w:tr w:rsidR="00CB5834" w:rsidRPr="002254D1" w14:paraId="02CB5C88" w14:textId="77777777" w:rsidTr="00CB5834">
      <w:trPr>
        <w:trHeight w:val="1478"/>
      </w:trPr>
      <w:tc>
        <w:tcPr>
          <w:tcW w:w="933" w:type="pct"/>
          <w:vAlign w:val="bottom"/>
        </w:tcPr>
        <w:p w14:paraId="5D49C633" w14:textId="77777777" w:rsidR="00B17ED8" w:rsidRPr="00424C21" w:rsidRDefault="00B17ED8" w:rsidP="00B17ED8">
          <w:pPr>
            <w:pStyle w:val="Footer"/>
            <w:tabs>
              <w:tab w:val="right" w:pos="2018"/>
            </w:tabs>
            <w:spacing w:after="200"/>
            <w:jc w:val="left"/>
            <w:rPr>
              <w:lang w:val="de-DE"/>
            </w:rPr>
          </w:pP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U046-v1.0-Kassen-HO</w:t>
          </w:r>
          <w:r>
            <w:rPr>
              <w:rFonts w:eastAsia="Calibri" w:cs="Times New Roman" w:hint="cs"/>
              <w:snapToGrid/>
              <w:sz w:val="17"/>
              <w:szCs w:val="17"/>
              <w:rtl/>
              <w:lang w:val="it-IT" w:eastAsia="en-US"/>
            </w:rPr>
            <w:t>3</w:t>
          </w: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-</w:t>
          </w:r>
          <w:r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AR</w:t>
          </w:r>
        </w:p>
      </w:tc>
      <w:tc>
        <w:tcPr>
          <w:tcW w:w="3133" w:type="pct"/>
          <w:vAlign w:val="bottom"/>
        </w:tcPr>
        <w:p w14:paraId="7245853D" w14:textId="468BD4D3" w:rsidR="00B17ED8" w:rsidRPr="00424C21" w:rsidRDefault="006418C7" w:rsidP="006418C7">
          <w:pPr>
            <w:pStyle w:val="Footer"/>
            <w:bidi/>
            <w:spacing w:after="120"/>
            <w:jc w:val="center"/>
            <w:rPr>
              <w:lang w:val="de-DE"/>
            </w:rPr>
          </w:pPr>
          <w:r w:rsidRPr="006021AD">
            <w:rPr>
              <w:noProof/>
              <w:lang w:val="fr-FR" w:eastAsia="zh-TW"/>
            </w:rPr>
            <w:drawing>
              <wp:anchor distT="0" distB="0" distL="114300" distR="114300" simplePos="0" relativeHeight="251665408" behindDoc="0" locked="0" layoutInCell="1" allowOverlap="1" wp14:anchorId="7D708794" wp14:editId="1268E7D2">
                <wp:simplePos x="0" y="0"/>
                <wp:positionH relativeFrom="column">
                  <wp:posOffset>2573655</wp:posOffset>
                </wp:positionH>
                <wp:positionV relativeFrom="paragraph">
                  <wp:posOffset>504190</wp:posOffset>
                </wp:positionV>
                <wp:extent cx="542925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4" w:type="pct"/>
          <w:vAlign w:val="bottom"/>
        </w:tcPr>
        <w:p w14:paraId="701578E2" w14:textId="77777777" w:rsidR="00B17ED8" w:rsidRPr="000A0687" w:rsidRDefault="00B17ED8" w:rsidP="00B17ED8">
          <w:pPr>
            <w:pStyle w:val="Footer"/>
            <w:spacing w:after="120"/>
            <w:jc w:val="right"/>
            <w:rPr>
              <w:rFonts w:eastAsia="Calibri" w:cs="Times New Roman"/>
              <w:snapToGrid/>
              <w:sz w:val="17"/>
              <w:szCs w:val="17"/>
              <w:lang w:val="it-IT" w:eastAsia="en-US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4EA98C92" wp14:editId="59829B9A">
                <wp:extent cx="1033145" cy="664845"/>
                <wp:effectExtent l="0" t="0" r="0" b="1905"/>
                <wp:docPr id="1" name="Picture 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ABF73B" w14:textId="04D9959B" w:rsidR="00C945D5" w:rsidRPr="00B81AFD" w:rsidRDefault="00C945D5" w:rsidP="00B8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8"/>
      <w:gridCol w:w="8097"/>
      <w:gridCol w:w="2612"/>
    </w:tblGrid>
    <w:tr w:rsidR="00C945D5" w:rsidRPr="002254D1" w14:paraId="13A231C5" w14:textId="77777777" w:rsidTr="000A0687">
      <w:trPr>
        <w:trHeight w:val="1478"/>
      </w:trPr>
      <w:tc>
        <w:tcPr>
          <w:tcW w:w="1130" w:type="pct"/>
          <w:vAlign w:val="bottom"/>
        </w:tcPr>
        <w:p w14:paraId="5507400D" w14:textId="32936408" w:rsidR="00C945D5" w:rsidRPr="00424C21" w:rsidRDefault="000A0687" w:rsidP="00B17ED8">
          <w:pPr>
            <w:pStyle w:val="Footer"/>
            <w:tabs>
              <w:tab w:val="right" w:pos="2018"/>
            </w:tabs>
            <w:spacing w:after="200"/>
            <w:jc w:val="left"/>
            <w:rPr>
              <w:lang w:val="de-DE"/>
            </w:rPr>
          </w:pP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U046-v1.0-Kassen-HO</w:t>
          </w:r>
          <w:r>
            <w:rPr>
              <w:rFonts w:eastAsia="Calibri" w:cs="Times New Roman" w:hint="cs"/>
              <w:snapToGrid/>
              <w:sz w:val="17"/>
              <w:szCs w:val="17"/>
              <w:rtl/>
              <w:lang w:val="it-IT" w:eastAsia="en-US"/>
            </w:rPr>
            <w:t>3</w:t>
          </w: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-</w:t>
          </w:r>
          <w:r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AR</w:t>
          </w:r>
        </w:p>
      </w:tc>
      <w:tc>
        <w:tcPr>
          <w:tcW w:w="2926" w:type="pct"/>
          <w:vAlign w:val="bottom"/>
        </w:tcPr>
        <w:p w14:paraId="12311388" w14:textId="0C2E9D85" w:rsidR="00C945D5" w:rsidRPr="00424C21" w:rsidRDefault="006418C7" w:rsidP="006418C7">
          <w:pPr>
            <w:pStyle w:val="Footer"/>
            <w:bidi/>
            <w:spacing w:after="120"/>
            <w:jc w:val="center"/>
            <w:rPr>
              <w:lang w:val="de-DE"/>
            </w:rPr>
          </w:pPr>
          <w:r w:rsidRPr="006021AD">
            <w:rPr>
              <w:noProof/>
              <w:lang w:val="fr-FR" w:eastAsia="zh-TW"/>
            </w:rPr>
            <w:drawing>
              <wp:anchor distT="0" distB="0" distL="114300" distR="114300" simplePos="0" relativeHeight="251663360" behindDoc="0" locked="0" layoutInCell="1" allowOverlap="1" wp14:anchorId="735DADDD" wp14:editId="031DB23F">
                <wp:simplePos x="0" y="0"/>
                <wp:positionH relativeFrom="column">
                  <wp:posOffset>2247265</wp:posOffset>
                </wp:positionH>
                <wp:positionV relativeFrom="paragraph">
                  <wp:posOffset>404495</wp:posOffset>
                </wp:positionV>
                <wp:extent cx="542925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4" w:type="pct"/>
          <w:vAlign w:val="bottom"/>
        </w:tcPr>
        <w:p w14:paraId="7FC715F4" w14:textId="79FE569B" w:rsidR="00C945D5" w:rsidRPr="000A0687" w:rsidRDefault="000A0687" w:rsidP="000A0687">
          <w:pPr>
            <w:pStyle w:val="Footer"/>
            <w:spacing w:after="120"/>
            <w:jc w:val="right"/>
            <w:rPr>
              <w:rFonts w:eastAsia="Calibri" w:cs="Times New Roman"/>
              <w:snapToGrid/>
              <w:sz w:val="17"/>
              <w:szCs w:val="17"/>
              <w:lang w:val="it-IT" w:eastAsia="en-US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2151EA09" wp14:editId="5E8C0F1E">
                <wp:extent cx="1033145" cy="664845"/>
                <wp:effectExtent l="0" t="0" r="0" b="1905"/>
                <wp:docPr id="2" name="Picture 2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5C1D6B" w14:textId="77777777" w:rsidR="00C945D5" w:rsidRDefault="00C94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27F1" w14:textId="77777777" w:rsidR="000E3EF2" w:rsidRDefault="000E3EF2" w:rsidP="002341DD">
      <w:pPr>
        <w:spacing w:before="0" w:after="0"/>
      </w:pPr>
      <w:r>
        <w:separator/>
      </w:r>
    </w:p>
  </w:footnote>
  <w:footnote w:type="continuationSeparator" w:id="0">
    <w:p w14:paraId="3CAD3133" w14:textId="77777777" w:rsidR="000E3EF2" w:rsidRDefault="000E3EF2" w:rsidP="002341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84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DA218A" w14:textId="1562ADB2" w:rsidR="00C945D5" w:rsidRPr="00BC2CBC" w:rsidRDefault="00BC2CBC" w:rsidP="00BC2CBC">
        <w:pPr>
          <w:pStyle w:val="Head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C7">
          <w:rPr>
            <w:noProof/>
          </w:rPr>
          <w:t>12</w:t>
        </w:r>
        <w:r>
          <w:rPr>
            <w:noProof/>
          </w:rPr>
          <w:fldChar w:fldCharType="end"/>
        </w:r>
        <w:r w:rsidRPr="00BC2CBC">
          <w:rPr>
            <w:rFonts w:ascii="Traditional Arabic" w:hAnsi="Traditional Arabic" w:cs="Traditional Arabic"/>
            <w:noProof/>
            <w:rtl/>
          </w:rPr>
          <w:t>ال</w:t>
        </w:r>
        <w:r w:rsidRPr="00BC2CBC">
          <w:rPr>
            <w:rFonts w:ascii="Traditional Arabic" w:hAnsi="Traditional Arabic" w:cs="Traditional Arabic"/>
            <w:rtl/>
          </w:rPr>
          <w:t>ورقة</w:t>
        </w:r>
        <w:r w:rsidRPr="00856E6B">
          <w:rPr>
            <w:rFonts w:ascii="Traditional Arabic" w:hAnsi="Traditional Arabic" w:cs="Traditional Arabic"/>
            <w:rtl/>
          </w:rPr>
          <w:t xml:space="preserve"> المعدّة للتوزيع</w:t>
        </w:r>
        <w:r>
          <w:rPr>
            <w:rFonts w:ascii="Traditional Arabic" w:hAnsi="Traditional Arabic" w:cs="Traditional Arabic" w:hint="cs"/>
            <w:rtl/>
          </w:rPr>
          <w:t xml:space="preserve"> 3</w:t>
        </w:r>
        <w:r w:rsidRPr="00856E6B">
          <w:rPr>
            <w:rFonts w:ascii="Traditional Arabic" w:hAnsi="Traditional Arabic" w:cs="Traditional Arabic"/>
            <w:rtl/>
          </w:rPr>
          <w:t xml:space="preserve"> لسيناريو </w:t>
        </w:r>
        <w:r>
          <w:rPr>
            <w:rFonts w:ascii="Traditional Arabic" w:hAnsi="Traditional Arabic" w:cs="Traditional Arabic"/>
            <w:rtl/>
          </w:rPr>
          <w:t>كاسن</w:t>
        </w:r>
        <w:r w:rsidRPr="00856E6B">
          <w:rPr>
            <w:rFonts w:ascii="Traditional Arabic" w:hAnsi="Traditional Arabic" w:cs="Traditional Arabic"/>
            <w:rtl/>
          </w:rPr>
          <w:t xml:space="preserve">    </w:t>
        </w:r>
        <w:r>
          <w:rPr>
            <w:rFonts w:ascii="Traditional Arabic" w:hAnsi="Traditional Arabic" w:cs="Traditional Arabic" w:hint="cs"/>
            <w:rtl/>
          </w:rPr>
          <w:t xml:space="preserve">                           </w:t>
        </w:r>
        <w:r w:rsidR="00547A5F">
          <w:rPr>
            <w:rFonts w:ascii="Traditional Arabic" w:hAnsi="Traditional Arabic" w:cs="Traditional Arabic" w:hint="cs"/>
            <w:rtl/>
          </w:rPr>
          <w:t xml:space="preserve">   </w:t>
        </w:r>
        <w:r>
          <w:rPr>
            <w:rFonts w:ascii="Traditional Arabic" w:hAnsi="Traditional Arabic" w:cs="Traditional Arabic" w:hint="cs"/>
            <w:rtl/>
          </w:rPr>
          <w:t xml:space="preserve">               </w:t>
        </w:r>
        <w:r w:rsidRPr="00856E6B">
          <w:rPr>
            <w:rFonts w:ascii="Traditional Arabic" w:hAnsi="Traditional Arabic" w:cs="Traditional Arabic"/>
            <w:rtl/>
          </w:rPr>
          <w:t xml:space="preserve">   الوحدة 46: س</w:t>
        </w:r>
        <w:r>
          <w:rPr>
            <w:rFonts w:ascii="Traditional Arabic" w:hAnsi="Traditional Arabic" w:cs="Traditional Arabic"/>
            <w:rtl/>
          </w:rPr>
          <w:t>يناريوهات وألعاب</w:t>
        </w:r>
        <w:r w:rsidRPr="00856E6B">
          <w:rPr>
            <w:rFonts w:ascii="Traditional Arabic" w:hAnsi="Traditional Arabic" w:cs="Traditional Arabic"/>
            <w:rtl/>
          </w:rPr>
          <w:t xml:space="preserve"> حول وضع خطط الصون</w:t>
        </w:r>
        <w:r>
          <w:rPr>
            <w:rFonts w:ascii="Traditional Arabic" w:hAnsi="Traditional Arabic" w:cs="Traditional Arabic" w:hint="cs"/>
            <w:rtl/>
          </w:rPr>
          <w:t xml:space="preserve">                                                                                   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B49A" w14:textId="77777777" w:rsidR="00C945D5" w:rsidRPr="00856E6B" w:rsidRDefault="00C945D5" w:rsidP="000C3024">
    <w:pPr>
      <w:pStyle w:val="Header"/>
      <w:bidi/>
      <w:jc w:val="center"/>
      <w:rPr>
        <w:rFonts w:ascii="Traditional Arabic" w:hAnsi="Traditional Arabic" w:cs="Traditional Arabic"/>
        <w:rtl/>
        <w:lang w:bidi="ar-KW"/>
      </w:rPr>
    </w:pPr>
    <w:r w:rsidRPr="00856E6B">
      <w:rPr>
        <w:rFonts w:ascii="Traditional Arabic" w:hAnsi="Traditional Arabic" w:cs="Traditional Arabic"/>
        <w:rtl/>
        <w:lang w:bidi="ar-KW"/>
      </w:rPr>
      <w:t xml:space="preserve">الورقة المعدّة للتوزيع </w:t>
    </w:r>
    <w:r>
      <w:rPr>
        <w:rFonts w:ascii="Traditional Arabic" w:hAnsi="Traditional Arabic" w:cs="Traditional Arabic" w:hint="cs"/>
        <w:rtl/>
        <w:lang w:bidi="ar-KW"/>
      </w:rPr>
      <w:t>3</w:t>
    </w:r>
    <w:r>
      <w:rPr>
        <w:rFonts w:ascii="Traditional Arabic" w:hAnsi="Traditional Arabic" w:cs="Traditional Arabic"/>
        <w:rtl/>
        <w:lang w:bidi="ar-KW"/>
      </w:rPr>
      <w:t xml:space="preserve"> لسيناريو كاس</w:t>
    </w:r>
    <w:r w:rsidRPr="00856E6B">
      <w:rPr>
        <w:rFonts w:ascii="Traditional Arabic" w:hAnsi="Traditional Arabic" w:cs="Traditional Arabic"/>
        <w:rtl/>
        <w:lang w:bidi="ar-KW"/>
      </w:rPr>
      <w:t>ن</w:t>
    </w:r>
  </w:p>
  <w:p w14:paraId="2A2736D0" w14:textId="77777777" w:rsidR="00C945D5" w:rsidRDefault="00C94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BC8"/>
    <w:multiLevelType w:val="hybridMultilevel"/>
    <w:tmpl w:val="044E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779"/>
    <w:multiLevelType w:val="hybridMultilevel"/>
    <w:tmpl w:val="7D2E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166B"/>
    <w:multiLevelType w:val="hybridMultilevel"/>
    <w:tmpl w:val="7BA0155E"/>
    <w:lvl w:ilvl="0" w:tplc="75329B40">
      <w:start w:val="1"/>
      <w:numFmt w:val="bullet"/>
      <w:lvlText w:val="•"/>
      <w:lvlJc w:val="left"/>
      <w:pPr>
        <w:ind w:left="1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05D3E"/>
    <w:rsid w:val="0000784C"/>
    <w:rsid w:val="0001115A"/>
    <w:rsid w:val="00013245"/>
    <w:rsid w:val="00015786"/>
    <w:rsid w:val="000168AE"/>
    <w:rsid w:val="000172E8"/>
    <w:rsid w:val="000207B5"/>
    <w:rsid w:val="00025EFE"/>
    <w:rsid w:val="00026201"/>
    <w:rsid w:val="000328E0"/>
    <w:rsid w:val="00033453"/>
    <w:rsid w:val="000340B9"/>
    <w:rsid w:val="00037026"/>
    <w:rsid w:val="000463F1"/>
    <w:rsid w:val="00053B32"/>
    <w:rsid w:val="000560C9"/>
    <w:rsid w:val="00061DAE"/>
    <w:rsid w:val="00064BC0"/>
    <w:rsid w:val="00075DC5"/>
    <w:rsid w:val="000818B2"/>
    <w:rsid w:val="000832BE"/>
    <w:rsid w:val="00090590"/>
    <w:rsid w:val="0009149B"/>
    <w:rsid w:val="00091CC2"/>
    <w:rsid w:val="000A0687"/>
    <w:rsid w:val="000A1351"/>
    <w:rsid w:val="000A34AB"/>
    <w:rsid w:val="000B1763"/>
    <w:rsid w:val="000B26DE"/>
    <w:rsid w:val="000B2D53"/>
    <w:rsid w:val="000C194B"/>
    <w:rsid w:val="000C3024"/>
    <w:rsid w:val="000C490E"/>
    <w:rsid w:val="000C59BD"/>
    <w:rsid w:val="000D3058"/>
    <w:rsid w:val="000E1113"/>
    <w:rsid w:val="000E1DEB"/>
    <w:rsid w:val="000E3EF2"/>
    <w:rsid w:val="000F0749"/>
    <w:rsid w:val="000F11D7"/>
    <w:rsid w:val="000F4B9F"/>
    <w:rsid w:val="000F7BBB"/>
    <w:rsid w:val="001008C8"/>
    <w:rsid w:val="0010346F"/>
    <w:rsid w:val="00106442"/>
    <w:rsid w:val="00110ADB"/>
    <w:rsid w:val="0011728E"/>
    <w:rsid w:val="00117CC0"/>
    <w:rsid w:val="00121A92"/>
    <w:rsid w:val="00121EDB"/>
    <w:rsid w:val="00123F71"/>
    <w:rsid w:val="001244D6"/>
    <w:rsid w:val="00132D61"/>
    <w:rsid w:val="001421EA"/>
    <w:rsid w:val="00143581"/>
    <w:rsid w:val="00145A08"/>
    <w:rsid w:val="00145EA6"/>
    <w:rsid w:val="00146532"/>
    <w:rsid w:val="001523F3"/>
    <w:rsid w:val="00154A5C"/>
    <w:rsid w:val="001560AB"/>
    <w:rsid w:val="001629A0"/>
    <w:rsid w:val="00174836"/>
    <w:rsid w:val="00176CCA"/>
    <w:rsid w:val="00181293"/>
    <w:rsid w:val="001816C8"/>
    <w:rsid w:val="00183AB9"/>
    <w:rsid w:val="00185F38"/>
    <w:rsid w:val="001900E1"/>
    <w:rsid w:val="00193FD7"/>
    <w:rsid w:val="00195AAB"/>
    <w:rsid w:val="001A35E4"/>
    <w:rsid w:val="001A5C6B"/>
    <w:rsid w:val="001B1B52"/>
    <w:rsid w:val="001B4759"/>
    <w:rsid w:val="001B6B91"/>
    <w:rsid w:val="001C4831"/>
    <w:rsid w:val="001C5766"/>
    <w:rsid w:val="001C6286"/>
    <w:rsid w:val="001D0330"/>
    <w:rsid w:val="001D1341"/>
    <w:rsid w:val="001D397E"/>
    <w:rsid w:val="001E00F3"/>
    <w:rsid w:val="001E0226"/>
    <w:rsid w:val="001E1649"/>
    <w:rsid w:val="001E5D56"/>
    <w:rsid w:val="001E7AA4"/>
    <w:rsid w:val="001F318A"/>
    <w:rsid w:val="001F53AA"/>
    <w:rsid w:val="001F5EE3"/>
    <w:rsid w:val="001F6D41"/>
    <w:rsid w:val="002064F0"/>
    <w:rsid w:val="0021176C"/>
    <w:rsid w:val="00214D8C"/>
    <w:rsid w:val="00215F08"/>
    <w:rsid w:val="002240AD"/>
    <w:rsid w:val="002302B9"/>
    <w:rsid w:val="00232454"/>
    <w:rsid w:val="002341DD"/>
    <w:rsid w:val="0024494B"/>
    <w:rsid w:val="00245056"/>
    <w:rsid w:val="00253460"/>
    <w:rsid w:val="00257653"/>
    <w:rsid w:val="0026170D"/>
    <w:rsid w:val="002627E9"/>
    <w:rsid w:val="00266181"/>
    <w:rsid w:val="00267C1C"/>
    <w:rsid w:val="00270B48"/>
    <w:rsid w:val="0029218E"/>
    <w:rsid w:val="0029398A"/>
    <w:rsid w:val="00294EA9"/>
    <w:rsid w:val="002956CD"/>
    <w:rsid w:val="002A34E5"/>
    <w:rsid w:val="002B1F98"/>
    <w:rsid w:val="002B49C4"/>
    <w:rsid w:val="002D2322"/>
    <w:rsid w:val="002D2BB0"/>
    <w:rsid w:val="002D7D8D"/>
    <w:rsid w:val="002E0DBB"/>
    <w:rsid w:val="002F2D22"/>
    <w:rsid w:val="002F2E5E"/>
    <w:rsid w:val="00306518"/>
    <w:rsid w:val="003067DC"/>
    <w:rsid w:val="00307428"/>
    <w:rsid w:val="00310031"/>
    <w:rsid w:val="00314DFB"/>
    <w:rsid w:val="00315683"/>
    <w:rsid w:val="0031781B"/>
    <w:rsid w:val="00347A9C"/>
    <w:rsid w:val="00353119"/>
    <w:rsid w:val="00355EB0"/>
    <w:rsid w:val="00360F85"/>
    <w:rsid w:val="003672BE"/>
    <w:rsid w:val="00370C01"/>
    <w:rsid w:val="00371FFF"/>
    <w:rsid w:val="00373321"/>
    <w:rsid w:val="00377256"/>
    <w:rsid w:val="00396225"/>
    <w:rsid w:val="003A3C9B"/>
    <w:rsid w:val="003A5131"/>
    <w:rsid w:val="003B1428"/>
    <w:rsid w:val="003B245C"/>
    <w:rsid w:val="003C5E15"/>
    <w:rsid w:val="003D6818"/>
    <w:rsid w:val="003D6C25"/>
    <w:rsid w:val="003F4393"/>
    <w:rsid w:val="003F49E9"/>
    <w:rsid w:val="003F5C44"/>
    <w:rsid w:val="0040087F"/>
    <w:rsid w:val="00406066"/>
    <w:rsid w:val="00411176"/>
    <w:rsid w:val="0041746D"/>
    <w:rsid w:val="0042421F"/>
    <w:rsid w:val="00424C21"/>
    <w:rsid w:val="00425CC9"/>
    <w:rsid w:val="0043105D"/>
    <w:rsid w:val="00434EB1"/>
    <w:rsid w:val="00437046"/>
    <w:rsid w:val="0044397B"/>
    <w:rsid w:val="0044445D"/>
    <w:rsid w:val="00447D05"/>
    <w:rsid w:val="00450C7A"/>
    <w:rsid w:val="00454ADB"/>
    <w:rsid w:val="00456060"/>
    <w:rsid w:val="00461636"/>
    <w:rsid w:val="00471C0B"/>
    <w:rsid w:val="0047261E"/>
    <w:rsid w:val="00472BE3"/>
    <w:rsid w:val="004758D8"/>
    <w:rsid w:val="00475C89"/>
    <w:rsid w:val="00476588"/>
    <w:rsid w:val="004769BE"/>
    <w:rsid w:val="00476ABD"/>
    <w:rsid w:val="00477B2E"/>
    <w:rsid w:val="00485582"/>
    <w:rsid w:val="00487C21"/>
    <w:rsid w:val="00491A18"/>
    <w:rsid w:val="00495B74"/>
    <w:rsid w:val="004A037A"/>
    <w:rsid w:val="004A3DD3"/>
    <w:rsid w:val="004B09F2"/>
    <w:rsid w:val="004B1F44"/>
    <w:rsid w:val="004B6938"/>
    <w:rsid w:val="004C025D"/>
    <w:rsid w:val="004C2871"/>
    <w:rsid w:val="004C58AE"/>
    <w:rsid w:val="004C66E2"/>
    <w:rsid w:val="004D3D87"/>
    <w:rsid w:val="004E180E"/>
    <w:rsid w:val="004E273C"/>
    <w:rsid w:val="004E3D07"/>
    <w:rsid w:val="004E7717"/>
    <w:rsid w:val="004F0ABD"/>
    <w:rsid w:val="004F1ED6"/>
    <w:rsid w:val="00501376"/>
    <w:rsid w:val="005019B0"/>
    <w:rsid w:val="00513929"/>
    <w:rsid w:val="005340E1"/>
    <w:rsid w:val="0053597C"/>
    <w:rsid w:val="00544BC5"/>
    <w:rsid w:val="005477A8"/>
    <w:rsid w:val="00547A5F"/>
    <w:rsid w:val="005501E0"/>
    <w:rsid w:val="0055283D"/>
    <w:rsid w:val="00562C6B"/>
    <w:rsid w:val="00562F1C"/>
    <w:rsid w:val="00563499"/>
    <w:rsid w:val="00565D1E"/>
    <w:rsid w:val="00571393"/>
    <w:rsid w:val="005821AD"/>
    <w:rsid w:val="00590663"/>
    <w:rsid w:val="0059184C"/>
    <w:rsid w:val="005931B9"/>
    <w:rsid w:val="005A1DCF"/>
    <w:rsid w:val="005A7C0C"/>
    <w:rsid w:val="005B1BF5"/>
    <w:rsid w:val="005B63FA"/>
    <w:rsid w:val="005B6477"/>
    <w:rsid w:val="005B6DD2"/>
    <w:rsid w:val="005C0F96"/>
    <w:rsid w:val="005C446A"/>
    <w:rsid w:val="005C5B4C"/>
    <w:rsid w:val="005D18AD"/>
    <w:rsid w:val="005D33B8"/>
    <w:rsid w:val="005D5897"/>
    <w:rsid w:val="005E04E4"/>
    <w:rsid w:val="005E0950"/>
    <w:rsid w:val="005E232E"/>
    <w:rsid w:val="005E7938"/>
    <w:rsid w:val="005F0DFC"/>
    <w:rsid w:val="005F35C7"/>
    <w:rsid w:val="005F3E35"/>
    <w:rsid w:val="00600A0C"/>
    <w:rsid w:val="00607FD3"/>
    <w:rsid w:val="0061169A"/>
    <w:rsid w:val="006121BA"/>
    <w:rsid w:val="0061300A"/>
    <w:rsid w:val="0062108E"/>
    <w:rsid w:val="00626830"/>
    <w:rsid w:val="00631285"/>
    <w:rsid w:val="00637A99"/>
    <w:rsid w:val="00640C95"/>
    <w:rsid w:val="006418C7"/>
    <w:rsid w:val="00643CBB"/>
    <w:rsid w:val="00645B0A"/>
    <w:rsid w:val="00653B06"/>
    <w:rsid w:val="00653C13"/>
    <w:rsid w:val="00655756"/>
    <w:rsid w:val="00657AFA"/>
    <w:rsid w:val="006612A0"/>
    <w:rsid w:val="006625CC"/>
    <w:rsid w:val="00664586"/>
    <w:rsid w:val="006667AD"/>
    <w:rsid w:val="0067227E"/>
    <w:rsid w:val="00672E6C"/>
    <w:rsid w:val="006734C8"/>
    <w:rsid w:val="0067727A"/>
    <w:rsid w:val="00682957"/>
    <w:rsid w:val="006B176F"/>
    <w:rsid w:val="006B5DD7"/>
    <w:rsid w:val="006C2830"/>
    <w:rsid w:val="006C45FD"/>
    <w:rsid w:val="006D2107"/>
    <w:rsid w:val="006D2AF1"/>
    <w:rsid w:val="006D393D"/>
    <w:rsid w:val="006D44F7"/>
    <w:rsid w:val="006D7554"/>
    <w:rsid w:val="006E2B25"/>
    <w:rsid w:val="006F7067"/>
    <w:rsid w:val="00701034"/>
    <w:rsid w:val="007078CF"/>
    <w:rsid w:val="00710F37"/>
    <w:rsid w:val="00711DBB"/>
    <w:rsid w:val="00712848"/>
    <w:rsid w:val="00714C15"/>
    <w:rsid w:val="00717D62"/>
    <w:rsid w:val="00742554"/>
    <w:rsid w:val="007453C6"/>
    <w:rsid w:val="00750E72"/>
    <w:rsid w:val="0075765A"/>
    <w:rsid w:val="0077308D"/>
    <w:rsid w:val="007743E8"/>
    <w:rsid w:val="007745CA"/>
    <w:rsid w:val="00785582"/>
    <w:rsid w:val="00787974"/>
    <w:rsid w:val="00791A2B"/>
    <w:rsid w:val="00795BCD"/>
    <w:rsid w:val="00795BE9"/>
    <w:rsid w:val="00796807"/>
    <w:rsid w:val="007A4456"/>
    <w:rsid w:val="007A618F"/>
    <w:rsid w:val="007A7ACB"/>
    <w:rsid w:val="007B1E3E"/>
    <w:rsid w:val="007B4ACB"/>
    <w:rsid w:val="007B615B"/>
    <w:rsid w:val="007C0BBD"/>
    <w:rsid w:val="007C1162"/>
    <w:rsid w:val="007D2303"/>
    <w:rsid w:val="007E0DEF"/>
    <w:rsid w:val="007E2120"/>
    <w:rsid w:val="007E2A74"/>
    <w:rsid w:val="007F14BE"/>
    <w:rsid w:val="007F2250"/>
    <w:rsid w:val="007F268C"/>
    <w:rsid w:val="007F6DA6"/>
    <w:rsid w:val="00805300"/>
    <w:rsid w:val="008109FE"/>
    <w:rsid w:val="00810F3D"/>
    <w:rsid w:val="00810FFD"/>
    <w:rsid w:val="00813023"/>
    <w:rsid w:val="0081541A"/>
    <w:rsid w:val="008203CE"/>
    <w:rsid w:val="008216E5"/>
    <w:rsid w:val="00832FDC"/>
    <w:rsid w:val="008409B8"/>
    <w:rsid w:val="00852A4C"/>
    <w:rsid w:val="00856E6B"/>
    <w:rsid w:val="00863C05"/>
    <w:rsid w:val="008673E1"/>
    <w:rsid w:val="008768D7"/>
    <w:rsid w:val="0088567E"/>
    <w:rsid w:val="008869C7"/>
    <w:rsid w:val="00895037"/>
    <w:rsid w:val="0089757D"/>
    <w:rsid w:val="008A4BAA"/>
    <w:rsid w:val="008B0937"/>
    <w:rsid w:val="008B41F9"/>
    <w:rsid w:val="008B6734"/>
    <w:rsid w:val="008C5118"/>
    <w:rsid w:val="008C60BF"/>
    <w:rsid w:val="008D0DC5"/>
    <w:rsid w:val="008D3255"/>
    <w:rsid w:val="008D3564"/>
    <w:rsid w:val="008D6CFD"/>
    <w:rsid w:val="008E6C36"/>
    <w:rsid w:val="008F5613"/>
    <w:rsid w:val="0090373C"/>
    <w:rsid w:val="0090697A"/>
    <w:rsid w:val="00911490"/>
    <w:rsid w:val="00915DFD"/>
    <w:rsid w:val="00916D73"/>
    <w:rsid w:val="00916F0A"/>
    <w:rsid w:val="00916F33"/>
    <w:rsid w:val="009203EF"/>
    <w:rsid w:val="00920AD7"/>
    <w:rsid w:val="009316DB"/>
    <w:rsid w:val="00932FEE"/>
    <w:rsid w:val="00936C32"/>
    <w:rsid w:val="00953BA0"/>
    <w:rsid w:val="00953DC4"/>
    <w:rsid w:val="00963526"/>
    <w:rsid w:val="00964347"/>
    <w:rsid w:val="009675AB"/>
    <w:rsid w:val="00971DE9"/>
    <w:rsid w:val="00974C88"/>
    <w:rsid w:val="0097644E"/>
    <w:rsid w:val="0098581A"/>
    <w:rsid w:val="00987746"/>
    <w:rsid w:val="0099063A"/>
    <w:rsid w:val="00994E1D"/>
    <w:rsid w:val="009957A5"/>
    <w:rsid w:val="00996303"/>
    <w:rsid w:val="009B2779"/>
    <w:rsid w:val="009B2B9C"/>
    <w:rsid w:val="009C2087"/>
    <w:rsid w:val="009C2312"/>
    <w:rsid w:val="009C2405"/>
    <w:rsid w:val="009C58B2"/>
    <w:rsid w:val="009D061D"/>
    <w:rsid w:val="009D1822"/>
    <w:rsid w:val="009D1824"/>
    <w:rsid w:val="009D3085"/>
    <w:rsid w:val="009D357D"/>
    <w:rsid w:val="009D3BF6"/>
    <w:rsid w:val="009E6056"/>
    <w:rsid w:val="009F1D9B"/>
    <w:rsid w:val="009F2DC7"/>
    <w:rsid w:val="00A0732E"/>
    <w:rsid w:val="00A11BC4"/>
    <w:rsid w:val="00A24E12"/>
    <w:rsid w:val="00A26968"/>
    <w:rsid w:val="00A32E4F"/>
    <w:rsid w:val="00A360D9"/>
    <w:rsid w:val="00A41D04"/>
    <w:rsid w:val="00A4781F"/>
    <w:rsid w:val="00A537E9"/>
    <w:rsid w:val="00A656EC"/>
    <w:rsid w:val="00A70E26"/>
    <w:rsid w:val="00A715C3"/>
    <w:rsid w:val="00A8116F"/>
    <w:rsid w:val="00A846E9"/>
    <w:rsid w:val="00A85F50"/>
    <w:rsid w:val="00A92157"/>
    <w:rsid w:val="00A94198"/>
    <w:rsid w:val="00AA02C3"/>
    <w:rsid w:val="00AA22F5"/>
    <w:rsid w:val="00AA6FDE"/>
    <w:rsid w:val="00AB45A2"/>
    <w:rsid w:val="00AB7AFF"/>
    <w:rsid w:val="00AB7B0A"/>
    <w:rsid w:val="00AC236A"/>
    <w:rsid w:val="00AC43A0"/>
    <w:rsid w:val="00AC6E7F"/>
    <w:rsid w:val="00AD714A"/>
    <w:rsid w:val="00AD728B"/>
    <w:rsid w:val="00AF2E08"/>
    <w:rsid w:val="00AF54A5"/>
    <w:rsid w:val="00AF6B5A"/>
    <w:rsid w:val="00B02062"/>
    <w:rsid w:val="00B11B65"/>
    <w:rsid w:val="00B1260D"/>
    <w:rsid w:val="00B12B57"/>
    <w:rsid w:val="00B17ED8"/>
    <w:rsid w:val="00B248BE"/>
    <w:rsid w:val="00B253A8"/>
    <w:rsid w:val="00B27F16"/>
    <w:rsid w:val="00B30B35"/>
    <w:rsid w:val="00B30F7B"/>
    <w:rsid w:val="00B3456E"/>
    <w:rsid w:val="00B3774F"/>
    <w:rsid w:val="00B4015E"/>
    <w:rsid w:val="00B41E39"/>
    <w:rsid w:val="00B46B1D"/>
    <w:rsid w:val="00B54ADC"/>
    <w:rsid w:val="00B5506B"/>
    <w:rsid w:val="00B6334A"/>
    <w:rsid w:val="00B64BE0"/>
    <w:rsid w:val="00B654B0"/>
    <w:rsid w:val="00B75ADC"/>
    <w:rsid w:val="00B81AFD"/>
    <w:rsid w:val="00B8655D"/>
    <w:rsid w:val="00B93F30"/>
    <w:rsid w:val="00B965F6"/>
    <w:rsid w:val="00B9777D"/>
    <w:rsid w:val="00BA3AF0"/>
    <w:rsid w:val="00BB2CFB"/>
    <w:rsid w:val="00BB3CC1"/>
    <w:rsid w:val="00BB4B8F"/>
    <w:rsid w:val="00BC23E3"/>
    <w:rsid w:val="00BC2CBC"/>
    <w:rsid w:val="00BC580D"/>
    <w:rsid w:val="00BD3D45"/>
    <w:rsid w:val="00BD5E20"/>
    <w:rsid w:val="00BE0246"/>
    <w:rsid w:val="00BE20E2"/>
    <w:rsid w:val="00BE2A56"/>
    <w:rsid w:val="00BE5767"/>
    <w:rsid w:val="00BF5138"/>
    <w:rsid w:val="00BF63A2"/>
    <w:rsid w:val="00BF7764"/>
    <w:rsid w:val="00C05797"/>
    <w:rsid w:val="00C119BF"/>
    <w:rsid w:val="00C15825"/>
    <w:rsid w:val="00C15BCE"/>
    <w:rsid w:val="00C21352"/>
    <w:rsid w:val="00C22AF8"/>
    <w:rsid w:val="00C2394B"/>
    <w:rsid w:val="00C2634C"/>
    <w:rsid w:val="00C27553"/>
    <w:rsid w:val="00C344BF"/>
    <w:rsid w:val="00C37952"/>
    <w:rsid w:val="00C42073"/>
    <w:rsid w:val="00C43374"/>
    <w:rsid w:val="00C46681"/>
    <w:rsid w:val="00C52025"/>
    <w:rsid w:val="00C545CB"/>
    <w:rsid w:val="00C6074D"/>
    <w:rsid w:val="00C61DBA"/>
    <w:rsid w:val="00C61F5C"/>
    <w:rsid w:val="00C6661D"/>
    <w:rsid w:val="00C723F4"/>
    <w:rsid w:val="00C74ED7"/>
    <w:rsid w:val="00C75CF6"/>
    <w:rsid w:val="00C802E4"/>
    <w:rsid w:val="00C85503"/>
    <w:rsid w:val="00C86C0A"/>
    <w:rsid w:val="00C87F31"/>
    <w:rsid w:val="00C92917"/>
    <w:rsid w:val="00C945D5"/>
    <w:rsid w:val="00CA2EB1"/>
    <w:rsid w:val="00CA6569"/>
    <w:rsid w:val="00CA7A4E"/>
    <w:rsid w:val="00CB5834"/>
    <w:rsid w:val="00CC032D"/>
    <w:rsid w:val="00CC78A3"/>
    <w:rsid w:val="00CD4508"/>
    <w:rsid w:val="00CF10D8"/>
    <w:rsid w:val="00CF37F5"/>
    <w:rsid w:val="00D12A63"/>
    <w:rsid w:val="00D13BA6"/>
    <w:rsid w:val="00D20D57"/>
    <w:rsid w:val="00D228E6"/>
    <w:rsid w:val="00D2500A"/>
    <w:rsid w:val="00D25BDF"/>
    <w:rsid w:val="00D30935"/>
    <w:rsid w:val="00D36352"/>
    <w:rsid w:val="00D44C6C"/>
    <w:rsid w:val="00D473F8"/>
    <w:rsid w:val="00D52363"/>
    <w:rsid w:val="00D54AA6"/>
    <w:rsid w:val="00D57850"/>
    <w:rsid w:val="00D64426"/>
    <w:rsid w:val="00D64E57"/>
    <w:rsid w:val="00D662AB"/>
    <w:rsid w:val="00D71DF3"/>
    <w:rsid w:val="00D74178"/>
    <w:rsid w:val="00D747ED"/>
    <w:rsid w:val="00D75D03"/>
    <w:rsid w:val="00D8610F"/>
    <w:rsid w:val="00DA2E4F"/>
    <w:rsid w:val="00DA5ECF"/>
    <w:rsid w:val="00DB4B5A"/>
    <w:rsid w:val="00DB6537"/>
    <w:rsid w:val="00DB66CF"/>
    <w:rsid w:val="00DC060E"/>
    <w:rsid w:val="00DC0F53"/>
    <w:rsid w:val="00DC2920"/>
    <w:rsid w:val="00DC3130"/>
    <w:rsid w:val="00DC6209"/>
    <w:rsid w:val="00DC7280"/>
    <w:rsid w:val="00DD3883"/>
    <w:rsid w:val="00DE0FBC"/>
    <w:rsid w:val="00DE469F"/>
    <w:rsid w:val="00DE6E70"/>
    <w:rsid w:val="00DF4BEC"/>
    <w:rsid w:val="00DF6E70"/>
    <w:rsid w:val="00E0371E"/>
    <w:rsid w:val="00E05E0C"/>
    <w:rsid w:val="00E22217"/>
    <w:rsid w:val="00E22D32"/>
    <w:rsid w:val="00E23E2F"/>
    <w:rsid w:val="00E2712C"/>
    <w:rsid w:val="00E27F04"/>
    <w:rsid w:val="00E34E29"/>
    <w:rsid w:val="00E379E6"/>
    <w:rsid w:val="00E42128"/>
    <w:rsid w:val="00E51807"/>
    <w:rsid w:val="00E52061"/>
    <w:rsid w:val="00E52E41"/>
    <w:rsid w:val="00E52F9B"/>
    <w:rsid w:val="00E5301C"/>
    <w:rsid w:val="00E54BF5"/>
    <w:rsid w:val="00E564B6"/>
    <w:rsid w:val="00E66A54"/>
    <w:rsid w:val="00E67347"/>
    <w:rsid w:val="00E74AF6"/>
    <w:rsid w:val="00E82D3B"/>
    <w:rsid w:val="00E84ACD"/>
    <w:rsid w:val="00E8768E"/>
    <w:rsid w:val="00EB1C36"/>
    <w:rsid w:val="00EB3142"/>
    <w:rsid w:val="00EB557B"/>
    <w:rsid w:val="00EB62E6"/>
    <w:rsid w:val="00EC38FA"/>
    <w:rsid w:val="00EC613D"/>
    <w:rsid w:val="00ED062B"/>
    <w:rsid w:val="00ED236B"/>
    <w:rsid w:val="00ED4214"/>
    <w:rsid w:val="00EE0126"/>
    <w:rsid w:val="00EE0D28"/>
    <w:rsid w:val="00EE16C1"/>
    <w:rsid w:val="00EE27D2"/>
    <w:rsid w:val="00EF2461"/>
    <w:rsid w:val="00EF6476"/>
    <w:rsid w:val="00EF6C34"/>
    <w:rsid w:val="00F03AFC"/>
    <w:rsid w:val="00F12974"/>
    <w:rsid w:val="00F14519"/>
    <w:rsid w:val="00F14FAC"/>
    <w:rsid w:val="00F168FD"/>
    <w:rsid w:val="00F27365"/>
    <w:rsid w:val="00F27F68"/>
    <w:rsid w:val="00F30067"/>
    <w:rsid w:val="00F33751"/>
    <w:rsid w:val="00F37918"/>
    <w:rsid w:val="00F400C0"/>
    <w:rsid w:val="00F42500"/>
    <w:rsid w:val="00F448FF"/>
    <w:rsid w:val="00F47EEC"/>
    <w:rsid w:val="00F56887"/>
    <w:rsid w:val="00F617DC"/>
    <w:rsid w:val="00F67DD1"/>
    <w:rsid w:val="00F70650"/>
    <w:rsid w:val="00F707C4"/>
    <w:rsid w:val="00F7347D"/>
    <w:rsid w:val="00F737CD"/>
    <w:rsid w:val="00F846F1"/>
    <w:rsid w:val="00F86C73"/>
    <w:rsid w:val="00F8714D"/>
    <w:rsid w:val="00F87426"/>
    <w:rsid w:val="00F9289E"/>
    <w:rsid w:val="00F92EC3"/>
    <w:rsid w:val="00FA41DD"/>
    <w:rsid w:val="00FA4471"/>
    <w:rsid w:val="00FA5E66"/>
    <w:rsid w:val="00FB2CE9"/>
    <w:rsid w:val="00FB4C59"/>
    <w:rsid w:val="00FB59C3"/>
    <w:rsid w:val="00FB6D83"/>
    <w:rsid w:val="00FC3133"/>
    <w:rsid w:val="00FC5861"/>
    <w:rsid w:val="00FD484C"/>
    <w:rsid w:val="00FE109D"/>
    <w:rsid w:val="00FE3DBE"/>
    <w:rsid w:val="00FE452F"/>
    <w:rsid w:val="00FF0629"/>
    <w:rsid w:val="00FF1DB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16048B"/>
  <w15:docId w15:val="{02591E63-B412-4C89-852D-4A0D1D2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A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45C"/>
    <w:pPr>
      <w:tabs>
        <w:tab w:val="clear" w:pos="567"/>
        <w:tab w:val="center" w:pos="4819"/>
      </w:tabs>
      <w:bidi/>
      <w:snapToGrid/>
      <w:spacing w:beforeLines="20" w:before="48" w:afterLines="20" w:after="48"/>
      <w:jc w:val="left"/>
      <w:outlineLvl w:val="0"/>
    </w:pPr>
    <w:rPr>
      <w:rFonts w:ascii="Traditional Arabic" w:eastAsiaTheme="minorHAnsi" w:hAnsi="Traditional Arabic" w:cs="Traditional Arabic"/>
      <w:b/>
      <w:bCs/>
      <w:snapToGrid/>
      <w:color w:val="3366FF"/>
      <w:sz w:val="44"/>
      <w:szCs w:val="44"/>
      <w:lang w:eastAsia="en-US" w:bidi="ar-IQ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22AF8"/>
    <w:pPr>
      <w:spacing w:beforeLines="0" w:before="0" w:afterLines="0" w:after="0"/>
      <w:jc w:val="both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22AF8"/>
    <w:pPr>
      <w:spacing w:beforeLines="0" w:before="0" w:afterLines="0" w:after="0"/>
      <w:jc w:val="both"/>
      <w:outlineLvl w:val="2"/>
    </w:pPr>
    <w:rPr>
      <w:sz w:val="50"/>
      <w:szCs w:val="50"/>
      <w:lang w:bidi="ar-KW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22AF8"/>
    <w:pPr>
      <w:spacing w:before="240" w:after="240"/>
      <w:outlineLvl w:val="3"/>
    </w:pPr>
    <w:rPr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B245C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C22AF8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paragraph" w:styleId="ListParagraph">
    <w:name w:val="List Paragraph"/>
    <w:basedOn w:val="Normal"/>
    <w:uiPriority w:val="34"/>
    <w:qFormat/>
    <w:rsid w:val="003F49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2AF8"/>
    <w:rPr>
      <w:rFonts w:ascii="Traditional Arabic" w:hAnsi="Traditional Arabic" w:cs="Traditional Arabic"/>
      <w:b/>
      <w:bCs/>
      <w:color w:val="3366FF"/>
      <w:sz w:val="50"/>
      <w:szCs w:val="50"/>
      <w:lang w:bidi="ar-KW"/>
    </w:rPr>
  </w:style>
  <w:style w:type="character" w:customStyle="1" w:styleId="Heading4Char">
    <w:name w:val="Heading 4 Char"/>
    <w:basedOn w:val="DefaultParagraphFont"/>
    <w:link w:val="Heading4"/>
    <w:uiPriority w:val="9"/>
    <w:rsid w:val="00C22AF8"/>
    <w:rPr>
      <w:rFonts w:ascii="Traditional Arabic" w:hAnsi="Traditional Arabic" w:cs="Traditional Arabic"/>
      <w:b/>
      <w:bCs/>
      <w:sz w:val="36"/>
      <w:szCs w:val="36"/>
      <w:lang w:bidi="ar-IQ"/>
    </w:rPr>
  </w:style>
  <w:style w:type="character" w:styleId="CommentReference">
    <w:name w:val="annotation reference"/>
    <w:basedOn w:val="DefaultParagraphFont"/>
    <w:uiPriority w:val="99"/>
    <w:semiHidden/>
    <w:unhideWhenUsed/>
    <w:rsid w:val="00711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BB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BB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B"/>
    <w:rPr>
      <w:rFonts w:ascii="Segoe UI" w:eastAsia="SimSun" w:hAnsi="Segoe UI" w:cs="Segoe UI"/>
      <w:snapToGrid w:val="0"/>
      <w:sz w:val="18"/>
      <w:szCs w:val="18"/>
      <w:lang w:eastAsia="zh-CN"/>
    </w:rPr>
  </w:style>
  <w:style w:type="character" w:styleId="Hyperlink">
    <w:name w:val="Hyperlink"/>
    <w:uiPriority w:val="99"/>
    <w:unhideWhenUsed/>
    <w:rsid w:val="0042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2099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5</cp:revision>
  <dcterms:created xsi:type="dcterms:W3CDTF">2017-04-14T12:39:00Z</dcterms:created>
  <dcterms:modified xsi:type="dcterms:W3CDTF">2018-04-20T12:21:00Z</dcterms:modified>
</cp:coreProperties>
</file>