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E" w:rsidRPr="00453FEB" w:rsidRDefault="00BD7FCE" w:rsidP="00453FEB">
      <w:pPr>
        <w:pBdr>
          <w:bottom w:val="single" w:sz="4" w:space="1" w:color="3366FF"/>
        </w:pBdr>
        <w:bidi/>
        <w:spacing w:after="200" w:line="240" w:lineRule="auto"/>
        <w:rPr>
          <w:rFonts w:ascii="Traditional Arabic" w:hAnsi="Traditional Arabic" w:cs="Traditional Arabic"/>
          <w:b/>
          <w:bCs/>
          <w:color w:val="3366FF"/>
          <w:sz w:val="72"/>
          <w:szCs w:val="72"/>
          <w:rtl/>
          <w:lang w:val="en-US" w:bidi="ar-IQ"/>
        </w:rPr>
      </w:pPr>
      <w:bookmarkStart w:id="0" w:name="_Toc241229778"/>
      <w:bookmarkStart w:id="1" w:name="_Toc241229982"/>
      <w:bookmarkStart w:id="2" w:name="_Toc242165676"/>
      <w:r w:rsidRPr="00453FEB">
        <w:rPr>
          <w:rFonts w:ascii="Traditional Arabic" w:hAnsi="Traditional Arabic" w:cs="Traditional Arabic" w:hint="cs"/>
          <w:b/>
          <w:bCs/>
          <w:color w:val="3366FF"/>
          <w:sz w:val="72"/>
          <w:szCs w:val="72"/>
          <w:rtl/>
          <w:lang w:val="en-US" w:bidi="ar-IQ"/>
        </w:rPr>
        <w:t xml:space="preserve">الوحدة </w:t>
      </w:r>
      <w:r w:rsidR="00E512D8" w:rsidRPr="00453FEB">
        <w:rPr>
          <w:rFonts w:ascii="Traditional Arabic" w:hAnsi="Traditional Arabic" w:cs="Traditional Arabic" w:hint="cs"/>
          <w:b/>
          <w:bCs/>
          <w:color w:val="3366FF"/>
          <w:sz w:val="72"/>
          <w:szCs w:val="72"/>
          <w:rtl/>
          <w:lang w:val="en-US" w:bidi="ar-IQ"/>
        </w:rPr>
        <w:t>49</w:t>
      </w:r>
    </w:p>
    <w:bookmarkEnd w:id="0"/>
    <w:bookmarkEnd w:id="1"/>
    <w:bookmarkEnd w:id="2"/>
    <w:p w:rsidR="00BD7FCE" w:rsidRPr="00453FEB" w:rsidRDefault="00BD7FCE" w:rsidP="003F3347">
      <w:pPr>
        <w:bidi/>
        <w:spacing w:after="0"/>
        <w:jc w:val="both"/>
        <w:rPr>
          <w:rFonts w:ascii="Traditional Arabic" w:hAnsi="Traditional Arabic" w:cs="Traditional Arabic"/>
          <w:b/>
          <w:bCs/>
          <w:color w:val="3366FF"/>
          <w:sz w:val="40"/>
          <w:szCs w:val="40"/>
          <w:rtl/>
          <w:lang w:val="en-US" w:bidi="ar-IQ"/>
        </w:rPr>
      </w:pPr>
      <w:r w:rsidRPr="00453FEB">
        <w:rPr>
          <w:rFonts w:ascii="Traditional Arabic" w:hAnsi="Traditional Arabic" w:cs="Traditional Arabic" w:hint="cs"/>
          <w:b/>
          <w:bCs/>
          <w:color w:val="3366FF"/>
          <w:sz w:val="40"/>
          <w:szCs w:val="40"/>
          <w:rtl/>
          <w:lang w:val="en-US" w:bidi="ar-IQ"/>
        </w:rPr>
        <w:t>الورقة</w:t>
      </w:r>
      <w:r w:rsidRPr="00453FEB">
        <w:rPr>
          <w:rFonts w:ascii="Traditional Arabic" w:hAnsi="Traditional Arabic" w:cs="Traditional Arabic"/>
          <w:b/>
          <w:bCs/>
          <w:color w:val="3366FF"/>
          <w:sz w:val="40"/>
          <w:szCs w:val="40"/>
          <w:rtl/>
          <w:lang w:val="en-US" w:bidi="ar-IQ"/>
        </w:rPr>
        <w:t xml:space="preserve"> </w:t>
      </w:r>
      <w:r w:rsidR="0026705A" w:rsidRPr="00453FEB">
        <w:rPr>
          <w:rFonts w:ascii="Traditional Arabic" w:hAnsi="Traditional Arabic" w:cs="Traditional Arabic" w:hint="cs"/>
          <w:b/>
          <w:bCs/>
          <w:color w:val="3366FF"/>
          <w:sz w:val="40"/>
          <w:szCs w:val="40"/>
          <w:rtl/>
          <w:lang w:val="en-US" w:bidi="ar-IQ"/>
        </w:rPr>
        <w:t>الثامنة</w:t>
      </w:r>
      <w:r w:rsidRPr="00453FEB">
        <w:rPr>
          <w:rFonts w:ascii="Traditional Arabic" w:hAnsi="Traditional Arabic" w:cs="Traditional Arabic" w:hint="cs"/>
          <w:b/>
          <w:bCs/>
          <w:color w:val="3366FF"/>
          <w:sz w:val="40"/>
          <w:szCs w:val="40"/>
          <w:rtl/>
          <w:lang w:val="en-US" w:bidi="ar-IQ"/>
        </w:rPr>
        <w:t xml:space="preserve"> المعدة</w:t>
      </w:r>
      <w:r w:rsidRPr="00453FEB">
        <w:rPr>
          <w:rFonts w:ascii="Traditional Arabic" w:hAnsi="Traditional Arabic" w:cs="Traditional Arabic"/>
          <w:b/>
          <w:bCs/>
          <w:color w:val="3366FF"/>
          <w:sz w:val="40"/>
          <w:szCs w:val="40"/>
          <w:rtl/>
          <w:lang w:val="en-US" w:bidi="ar-IQ"/>
        </w:rPr>
        <w:t xml:space="preserve"> </w:t>
      </w:r>
      <w:r w:rsidRPr="00453FEB">
        <w:rPr>
          <w:rFonts w:ascii="Traditional Arabic" w:hAnsi="Traditional Arabic" w:cs="Traditional Arabic" w:hint="cs"/>
          <w:b/>
          <w:bCs/>
          <w:color w:val="3366FF"/>
          <w:sz w:val="40"/>
          <w:szCs w:val="40"/>
          <w:rtl/>
          <w:lang w:val="en-US" w:bidi="ar-IQ"/>
        </w:rPr>
        <w:t>للتوزيع</w:t>
      </w:r>
      <w:r w:rsidRPr="00453FEB">
        <w:rPr>
          <w:rFonts w:ascii="Traditional Arabic" w:hAnsi="Traditional Arabic" w:cs="Traditional Arabic"/>
          <w:b/>
          <w:bCs/>
          <w:color w:val="3366FF"/>
          <w:sz w:val="40"/>
          <w:szCs w:val="40"/>
          <w:rtl/>
          <w:lang w:val="en-US" w:bidi="ar-IQ"/>
        </w:rPr>
        <w:t>:</w:t>
      </w:r>
    </w:p>
    <w:p w:rsidR="00B467C0" w:rsidRPr="00453FEB" w:rsidRDefault="0026705A" w:rsidP="003F3347">
      <w:pPr>
        <w:bidi/>
        <w:jc w:val="both"/>
        <w:rPr>
          <w:rFonts w:ascii="Traditional Arabic" w:hAnsi="Traditional Arabic" w:cs="Traditional Arabic"/>
          <w:b/>
          <w:bCs/>
          <w:color w:val="3366FF"/>
          <w:sz w:val="48"/>
          <w:szCs w:val="48"/>
          <w:rtl/>
          <w:lang w:val="en-US"/>
        </w:rPr>
      </w:pPr>
      <w:r w:rsidRPr="00453FEB">
        <w:rPr>
          <w:rFonts w:ascii="Traditional Arabic" w:hAnsi="Traditional Arabic" w:cs="Traditional Arabic" w:hint="cs"/>
          <w:b/>
          <w:bCs/>
          <w:color w:val="3366FF"/>
          <w:sz w:val="48"/>
          <w:szCs w:val="48"/>
          <w:rtl/>
          <w:lang w:val="en-US" w:bidi="ar-IQ"/>
        </w:rPr>
        <w:t xml:space="preserve">خطة عمل </w:t>
      </w:r>
      <w:r w:rsidR="00B41300" w:rsidRPr="00453FEB">
        <w:rPr>
          <w:rFonts w:ascii="Traditional Arabic" w:hAnsi="Traditional Arabic" w:cs="Traditional Arabic" w:hint="cs"/>
          <w:b/>
          <w:bCs/>
          <w:color w:val="3366FF"/>
          <w:sz w:val="48"/>
          <w:szCs w:val="48"/>
          <w:rtl/>
          <w:lang w:val="en-US" w:bidi="ar-IQ"/>
        </w:rPr>
        <w:t>لصون عنصر تراثي</w:t>
      </w:r>
    </w:p>
    <w:p w:rsidR="009122EC" w:rsidRPr="003F3347" w:rsidRDefault="000108FD" w:rsidP="003F3347">
      <w:pPr>
        <w:pStyle w:val="BodyTextIndent2"/>
        <w:rPr>
          <w:rtl/>
        </w:rPr>
      </w:pPr>
      <w:r w:rsidRPr="003F3347">
        <w:rPr>
          <w:rFonts w:hint="cs"/>
          <w:rtl/>
        </w:rPr>
        <w:t>خطة عمل لصون</w:t>
      </w:r>
      <w:r w:rsidR="00836D11" w:rsidRPr="003F3347">
        <w:rPr>
          <w:rFonts w:hint="cs"/>
          <w:rtl/>
        </w:rPr>
        <w:t xml:space="preserve"> التقاليد والممارسات المقترنة بالكايا </w:t>
      </w:r>
      <w:r w:rsidR="00033141" w:rsidRPr="003F3347">
        <w:rPr>
          <w:rFonts w:hint="cs"/>
          <w:rtl/>
        </w:rPr>
        <w:t>(</w:t>
      </w:r>
      <w:r w:rsidR="00476BA9" w:rsidRPr="003F3347">
        <w:rPr>
          <w:rFonts w:hint="cs"/>
          <w:rtl/>
        </w:rPr>
        <w:t>المستوطنة</w:t>
      </w:r>
      <w:r w:rsidR="00033141" w:rsidRPr="003F3347">
        <w:rPr>
          <w:rFonts w:hint="cs"/>
          <w:rtl/>
        </w:rPr>
        <w:t xml:space="preserve"> المحصنة) </w:t>
      </w:r>
      <w:r w:rsidR="009122EC" w:rsidRPr="003F3347">
        <w:rPr>
          <w:rFonts w:hint="cs"/>
          <w:rtl/>
        </w:rPr>
        <w:t>المرتبطة بجماعات وغابات الميجيكندا</w:t>
      </w:r>
      <w:r w:rsidR="003F3347" w:rsidRPr="003F3347">
        <w:rPr>
          <w:rFonts w:hint="cs"/>
          <w:rtl/>
        </w:rPr>
        <w:t xml:space="preserve"> في عام 2009</w:t>
      </w:r>
    </w:p>
    <w:p w:rsidR="00D9523D" w:rsidRPr="003F3347" w:rsidRDefault="00903DC7" w:rsidP="003F3347">
      <w:pPr>
        <w:pStyle w:val="BodyTextIndent"/>
        <w:rPr>
          <w:rtl/>
        </w:rPr>
      </w:pPr>
      <w:r w:rsidRPr="003F3347">
        <w:rPr>
          <w:rFonts w:hint="cs"/>
          <w:rtl/>
        </w:rPr>
        <w:t>عملت دائرة الثقافة الكينية في الفترة بين عامي 2011 و2013 على وضع وتنفيذ أنشطة في إطار مشروع لصون العنصر، وذلك بالتعاون مع مكتب اليونسكو في نيروبي، والمتاحف الوطنية في كينيا، ووحدة المحافظة على الغابات الساحلية، ومرفق غابات كينيا، ومركز تنمية التراث في أفريقيا</w:t>
      </w:r>
      <w:r w:rsidR="00033141" w:rsidRPr="003F3347">
        <w:rPr>
          <w:rFonts w:hint="cs"/>
          <w:rtl/>
        </w:rPr>
        <w:t>، والمسؤولين المحليين، وجماعات الميجيكندا.</w:t>
      </w:r>
    </w:p>
    <w:p w:rsidR="00D536B9" w:rsidRPr="003F3347" w:rsidRDefault="00033141" w:rsidP="003F3347">
      <w:pPr>
        <w:bidi/>
        <w:spacing w:after="200" w:line="240" w:lineRule="auto"/>
        <w:ind w:left="850"/>
        <w:jc w:val="both"/>
        <w:rPr>
          <w:rFonts w:ascii="Arial" w:hAnsi="Arial" w:cs="Traditional Arabic"/>
          <w:szCs w:val="32"/>
          <w:rtl/>
          <w:lang w:bidi="ar-IQ"/>
        </w:rPr>
      </w:pPr>
      <w:r w:rsidRPr="003F3347">
        <w:rPr>
          <w:rFonts w:ascii="Arial" w:hAnsi="Arial" w:cs="Traditional Arabic" w:hint="cs"/>
          <w:szCs w:val="32"/>
          <w:rtl/>
          <w:lang w:bidi="ar-IQ"/>
        </w:rPr>
        <w:t xml:space="preserve">وترد أدناه العناصر الرئيسة لخطة العمل. أما المطلوب فهو </w:t>
      </w:r>
      <w:r w:rsidR="00342674" w:rsidRPr="003F3347">
        <w:rPr>
          <w:rFonts w:ascii="Arial" w:hAnsi="Arial" w:cs="Traditional Arabic" w:hint="cs"/>
          <w:szCs w:val="32"/>
          <w:rtl/>
          <w:lang w:bidi="ar-IQ"/>
        </w:rPr>
        <w:t xml:space="preserve">التمعن في هذه العناصر لمعرفة المجالات التي تصلح كمداخل لاعتماد نهوج مراعية لقضايا الجنسين في سياق المشاركة المجتمعية في صون عناصر التراث الثقافي غير المادي </w:t>
      </w:r>
      <w:r w:rsidR="00476BA9" w:rsidRPr="003F3347">
        <w:rPr>
          <w:rFonts w:ascii="Arial" w:hAnsi="Arial" w:cs="Traditional Arabic" w:hint="cs"/>
          <w:szCs w:val="32"/>
          <w:rtl/>
          <w:lang w:bidi="ar-IQ"/>
        </w:rPr>
        <w:t>وتشخيص</w:t>
      </w:r>
      <w:r w:rsidR="00342674" w:rsidRPr="003F3347">
        <w:rPr>
          <w:rFonts w:ascii="Arial" w:hAnsi="Arial" w:cs="Traditional Arabic" w:hint="cs"/>
          <w:szCs w:val="32"/>
          <w:rtl/>
          <w:lang w:bidi="ar-IQ"/>
        </w:rPr>
        <w:t xml:space="preserve"> التدابير المحددة التي يمكن اتخاذها لتحقيق هذا الأمر.</w:t>
      </w:r>
    </w:p>
    <w:p w:rsidR="00D536B9" w:rsidRPr="003F3347" w:rsidRDefault="00D536B9" w:rsidP="003F3347">
      <w:pPr>
        <w:bidi/>
        <w:spacing w:after="200" w:line="240" w:lineRule="auto"/>
        <w:jc w:val="both"/>
        <w:rPr>
          <w:rFonts w:ascii="Arial" w:hAnsi="Arial" w:cs="Traditional Arabic"/>
          <w:b/>
          <w:bCs/>
          <w:szCs w:val="32"/>
          <w:rtl/>
          <w:lang w:bidi="ar-IQ"/>
        </w:rPr>
      </w:pPr>
      <w:r w:rsidRPr="003F3347">
        <w:rPr>
          <w:rFonts w:ascii="Arial" w:hAnsi="Arial" w:cs="Traditional Arabic" w:hint="cs"/>
          <w:b/>
          <w:bCs/>
          <w:szCs w:val="32"/>
          <w:rtl/>
          <w:lang w:bidi="ar-IQ"/>
        </w:rPr>
        <w:t>خطة عمل لصون العنصر التراثي</w:t>
      </w:r>
    </w:p>
    <w:p w:rsidR="00D536B9" w:rsidRPr="003F3347" w:rsidRDefault="00D536B9" w:rsidP="003F3347">
      <w:pPr>
        <w:bidi/>
        <w:spacing w:after="120" w:line="240" w:lineRule="auto"/>
        <w:ind w:left="850"/>
        <w:jc w:val="both"/>
        <w:rPr>
          <w:rFonts w:ascii="Arial" w:hAnsi="Arial" w:cs="Traditional Arabic"/>
          <w:b/>
          <w:bCs/>
          <w:szCs w:val="32"/>
          <w:rtl/>
          <w:lang w:bidi="ar-IQ"/>
        </w:rPr>
      </w:pPr>
      <w:r w:rsidRPr="003F3347">
        <w:rPr>
          <w:rFonts w:ascii="Arial" w:hAnsi="Arial" w:cs="Traditional Arabic" w:hint="cs"/>
          <w:b/>
          <w:bCs/>
          <w:szCs w:val="32"/>
          <w:rtl/>
          <w:lang w:bidi="ar-IQ"/>
        </w:rPr>
        <w:t>تشمل أنشطة المشروع ما يلي:</w:t>
      </w:r>
    </w:p>
    <w:p w:rsidR="00033141" w:rsidRPr="003F3347" w:rsidRDefault="00D536B9"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تصميم واستهلال انشطة مدرة للدخل مع الأخذ في الاعتبار خصوصية كل جماعة من جماعات الميجيكندا وتوفير المعدات والخبرة اللازمة.</w:t>
      </w:r>
    </w:p>
    <w:p w:rsidR="00D536B9" w:rsidRPr="003F3347" w:rsidRDefault="00D536B9"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 xml:space="preserve">دعم الاحتفالات والشعائر المتعلقة بالكايا التي تمارس في الحياة اليومية </w:t>
      </w:r>
      <w:r w:rsidR="00D330A5" w:rsidRPr="003F3347">
        <w:rPr>
          <w:rFonts w:ascii="Arial" w:hAnsi="Arial" w:cs="Traditional Arabic" w:hint="cs"/>
          <w:szCs w:val="32"/>
          <w:rtl/>
          <w:lang w:bidi="ar-IQ"/>
        </w:rPr>
        <w:t>ل</w:t>
      </w:r>
      <w:r w:rsidRPr="003F3347">
        <w:rPr>
          <w:rFonts w:ascii="Arial" w:hAnsi="Arial" w:cs="Traditional Arabic" w:hint="cs"/>
          <w:szCs w:val="32"/>
          <w:rtl/>
          <w:lang w:bidi="ar-IQ"/>
        </w:rPr>
        <w:t>لمجتمعات المحلية المحيطة</w:t>
      </w:r>
      <w:r w:rsidR="00D330A5" w:rsidRPr="003F3347">
        <w:rPr>
          <w:rFonts w:ascii="Arial" w:hAnsi="Arial" w:cs="Traditional Arabic" w:hint="cs"/>
          <w:szCs w:val="32"/>
          <w:rtl/>
          <w:lang w:bidi="ar-IQ"/>
        </w:rPr>
        <w:t xml:space="preserve"> بالكايا، ومنها أنشطة التدريب والتلمذة.</w:t>
      </w:r>
    </w:p>
    <w:p w:rsidR="00D330A5" w:rsidRPr="003F3347" w:rsidRDefault="00525A3E"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مراجعة المعلومات وإدراجها في قائمة الحصر الوطنية وإقامة حلقة عمل لجماعات الميجيكندا لتوعيتهم بشأن عملية الحصر القائمة على المجتمع المحلي والجماعة.</w:t>
      </w:r>
    </w:p>
    <w:p w:rsidR="00525A3E" w:rsidRPr="003F3347" w:rsidRDefault="00525A3E"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توزيع أربعة آلاف كتيب باللغتين الإنجليزية والسواحيلية</w:t>
      </w:r>
      <w:r w:rsidR="00FA2C01" w:rsidRPr="003F3347">
        <w:rPr>
          <w:rFonts w:ascii="Arial" w:hAnsi="Arial" w:cs="Traditional Arabic" w:hint="cs"/>
          <w:szCs w:val="32"/>
          <w:rtl/>
          <w:lang w:bidi="ar-IQ"/>
        </w:rPr>
        <w:t xml:space="preserve"> للمجتمعات المحلية والجماعات المعنية وغيرهم من الأطراف المعنية من أجل الترويج للمشروع ونشر المعلومات بشأن تقاليد وممارسات الميجيكندا.</w:t>
      </w:r>
    </w:p>
    <w:p w:rsidR="0015621C" w:rsidRPr="003F3347" w:rsidRDefault="001A22A9"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lastRenderedPageBreak/>
        <w:t xml:space="preserve">تنظيم احتفالات ثقافية مجتمعية، مثل الاحتفال الثقافي المشترك بين </w:t>
      </w:r>
      <w:r w:rsidR="0015621C" w:rsidRPr="003F3347">
        <w:rPr>
          <w:rFonts w:ascii="Arial" w:hAnsi="Arial" w:cs="Traditional Arabic" w:hint="cs"/>
          <w:szCs w:val="32"/>
          <w:rtl/>
          <w:lang w:bidi="ar-IQ"/>
        </w:rPr>
        <w:t xml:space="preserve">جماعات </w:t>
      </w:r>
      <w:r w:rsidR="00631245" w:rsidRPr="003F3347">
        <w:rPr>
          <w:rFonts w:ascii="Arial" w:hAnsi="Arial" w:cs="Traditional Arabic" w:hint="cs"/>
          <w:szCs w:val="32"/>
          <w:rtl/>
          <w:lang w:bidi="ar-IQ"/>
        </w:rPr>
        <w:t>الميجيكندا</w:t>
      </w:r>
      <w:r w:rsidRPr="003F3347">
        <w:rPr>
          <w:rFonts w:ascii="Arial" w:hAnsi="Arial" w:cs="Traditional Arabic" w:hint="cs"/>
          <w:szCs w:val="32"/>
          <w:rtl/>
          <w:lang w:bidi="ar-IQ"/>
        </w:rPr>
        <w:t xml:space="preserve"> الذي أقيم في عام 2012 في كايا </w:t>
      </w:r>
      <w:r w:rsidR="0015621C" w:rsidRPr="003F3347">
        <w:rPr>
          <w:rFonts w:ascii="Arial" w:hAnsi="Arial" w:cs="Traditional Arabic"/>
          <w:szCs w:val="32"/>
          <w:lang w:bidi="ar-IQ"/>
        </w:rPr>
        <w:t>Rabai</w:t>
      </w:r>
      <w:r w:rsidR="0015621C" w:rsidRPr="003F3347">
        <w:rPr>
          <w:rFonts w:ascii="Arial" w:hAnsi="Arial" w:cs="Traditional Arabic"/>
          <w:szCs w:val="32"/>
          <w:rtl/>
          <w:lang w:bidi="ar-IQ"/>
        </w:rPr>
        <w:t xml:space="preserve"> </w:t>
      </w:r>
      <w:r w:rsidRPr="003F3347">
        <w:rPr>
          <w:rFonts w:ascii="Arial" w:hAnsi="Arial" w:cs="Traditional Arabic" w:hint="cs"/>
          <w:szCs w:val="32"/>
          <w:rtl/>
          <w:lang w:bidi="ar-IQ"/>
        </w:rPr>
        <w:t>والذي تجلى فيه تنوع الرقصات التقليدية وأشكال التعبير الثقافي لنمط حياة الكايا التقليدي</w:t>
      </w:r>
      <w:r w:rsidR="0015621C" w:rsidRPr="003F3347">
        <w:rPr>
          <w:rFonts w:ascii="Arial" w:hAnsi="Arial" w:cs="Traditional Arabic" w:hint="cs"/>
          <w:szCs w:val="32"/>
          <w:rtl/>
          <w:lang w:bidi="ar-IQ"/>
        </w:rPr>
        <w:t>، مثل التسقيف</w:t>
      </w:r>
      <w:r w:rsidR="0015621C" w:rsidRPr="003F3347">
        <w:rPr>
          <w:rFonts w:ascii="Arial" w:hAnsi="Arial" w:cs="Traditional Arabic" w:hint="cs"/>
          <w:i/>
          <w:iCs/>
          <w:szCs w:val="32"/>
          <w:rtl/>
          <w:lang w:bidi="ar-IQ"/>
        </w:rPr>
        <w:t xml:space="preserve"> (</w:t>
      </w:r>
      <w:r w:rsidR="003F3347" w:rsidRPr="003F3347">
        <w:rPr>
          <w:rFonts w:ascii="Arial" w:hAnsi="Arial" w:cs="Traditional Arabic" w:hint="cs"/>
          <w:i/>
          <w:iCs/>
          <w:szCs w:val="32"/>
          <w:rtl/>
          <w:lang w:bidi="ar-IQ"/>
        </w:rPr>
        <w:t>"</w:t>
      </w:r>
      <w:r w:rsidR="0015621C" w:rsidRPr="003F3347">
        <w:rPr>
          <w:rFonts w:ascii="Arial" w:hAnsi="Arial" w:cs="Traditional Arabic" w:hint="cs"/>
          <w:i/>
          <w:iCs/>
          <w:szCs w:val="32"/>
          <w:rtl/>
          <w:lang w:bidi="ar-IQ"/>
        </w:rPr>
        <w:t>الماكوتي</w:t>
      </w:r>
      <w:r w:rsidR="003F3347" w:rsidRPr="003F3347">
        <w:rPr>
          <w:rFonts w:ascii="Arial" w:hAnsi="Arial" w:cs="Traditional Arabic" w:hint="cs"/>
          <w:i/>
          <w:iCs/>
          <w:szCs w:val="32"/>
          <w:rtl/>
          <w:lang w:bidi="ar-IQ"/>
        </w:rPr>
        <w:t>"</w:t>
      </w:r>
      <w:r w:rsidR="0015621C" w:rsidRPr="003F3347">
        <w:rPr>
          <w:rFonts w:ascii="Arial" w:hAnsi="Arial" w:cs="Traditional Arabic" w:hint="cs"/>
          <w:i/>
          <w:iCs/>
          <w:szCs w:val="32"/>
          <w:rtl/>
          <w:lang w:bidi="ar-IQ"/>
        </w:rPr>
        <w:t>)</w:t>
      </w:r>
      <w:r w:rsidR="0015621C" w:rsidRPr="003F3347">
        <w:rPr>
          <w:rFonts w:ascii="Arial" w:hAnsi="Arial" w:cs="Traditional Arabic" w:hint="cs"/>
          <w:szCs w:val="32"/>
          <w:rtl/>
          <w:lang w:bidi="ar-IQ"/>
        </w:rPr>
        <w:t xml:space="preserve"> بالخوص والقش، والأطعمة التقليدية، والصناعات اليدوية.</w:t>
      </w:r>
    </w:p>
    <w:p w:rsidR="004D5794" w:rsidRPr="003F3347" w:rsidRDefault="0015621C"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تنظيم زيارات متبادلة بين ثلاث</w:t>
      </w:r>
      <w:r w:rsidR="00A46DE0" w:rsidRPr="003F3347">
        <w:rPr>
          <w:rFonts w:ascii="Arial" w:hAnsi="Arial" w:cs="Traditional Arabic" w:hint="cs"/>
          <w:szCs w:val="32"/>
          <w:rtl/>
          <w:lang w:bidi="ar-IQ"/>
        </w:rPr>
        <w:t xml:space="preserve"> مستوطنات محصنة</w:t>
      </w:r>
      <w:r w:rsidRPr="003F3347">
        <w:rPr>
          <w:rFonts w:ascii="Arial" w:hAnsi="Arial" w:cs="Traditional Arabic" w:hint="cs"/>
          <w:szCs w:val="32"/>
          <w:rtl/>
          <w:lang w:bidi="ar-IQ"/>
        </w:rPr>
        <w:t xml:space="preserve"> </w:t>
      </w:r>
      <w:r w:rsidR="00A46DE0" w:rsidRPr="003F3347">
        <w:rPr>
          <w:rFonts w:ascii="Arial" w:hAnsi="Arial" w:cs="Traditional Arabic" w:hint="cs"/>
          <w:szCs w:val="32"/>
          <w:rtl/>
          <w:lang w:bidi="ar-IQ"/>
        </w:rPr>
        <w:t>(</w:t>
      </w:r>
      <w:r w:rsidRPr="003F3347">
        <w:rPr>
          <w:rFonts w:ascii="Arial" w:hAnsi="Arial" w:cs="Traditional Arabic" w:hint="cs"/>
          <w:szCs w:val="32"/>
          <w:rtl/>
          <w:lang w:bidi="ar-IQ"/>
        </w:rPr>
        <w:t>كايات</w:t>
      </w:r>
      <w:r w:rsidR="00A46DE0" w:rsidRPr="003F3347">
        <w:rPr>
          <w:rFonts w:ascii="Arial" w:hAnsi="Arial" w:cs="Traditional Arabic" w:hint="cs"/>
          <w:szCs w:val="32"/>
          <w:rtl/>
          <w:lang w:bidi="ar-IQ"/>
        </w:rPr>
        <w:t>)</w:t>
      </w:r>
      <w:r w:rsidRPr="003F3347">
        <w:rPr>
          <w:rFonts w:ascii="Arial" w:hAnsi="Arial" w:cs="Traditional Arabic" w:hint="cs"/>
          <w:szCs w:val="32"/>
          <w:rtl/>
          <w:lang w:bidi="ar-IQ"/>
        </w:rPr>
        <w:t xml:space="preserve"> </w:t>
      </w:r>
      <w:r w:rsidR="00631245" w:rsidRPr="003F3347">
        <w:rPr>
          <w:rFonts w:ascii="Arial" w:hAnsi="Arial" w:cs="Traditional Arabic" w:hint="cs"/>
          <w:szCs w:val="32"/>
          <w:rtl/>
          <w:lang w:bidi="ar-IQ"/>
        </w:rPr>
        <w:t xml:space="preserve">للشيوخ والنساء والشباب </w:t>
      </w:r>
      <w:r w:rsidRPr="003F3347">
        <w:rPr>
          <w:rFonts w:ascii="Arial" w:hAnsi="Arial" w:cs="Traditional Arabic" w:hint="cs"/>
          <w:szCs w:val="32"/>
          <w:rtl/>
          <w:lang w:bidi="ar-IQ"/>
        </w:rPr>
        <w:t xml:space="preserve">للاطلاع على التقدم المحرز في تنفيذ المشاريع وتنمية الصلات الثقافية المشتركة، والتعاون وبناء الشبكات </w:t>
      </w:r>
      <w:r w:rsidR="004D5794" w:rsidRPr="003F3347">
        <w:rPr>
          <w:rFonts w:ascii="Arial" w:hAnsi="Arial" w:cs="Traditional Arabic" w:hint="cs"/>
          <w:szCs w:val="32"/>
          <w:rtl/>
          <w:lang w:bidi="ar-IQ"/>
        </w:rPr>
        <w:t>من أجل تعزيز الأنشطة المتعلقة با</w:t>
      </w:r>
      <w:r w:rsidR="00A46DE0" w:rsidRPr="003F3347">
        <w:rPr>
          <w:rFonts w:ascii="Arial" w:hAnsi="Arial" w:cs="Traditional Arabic" w:hint="cs"/>
          <w:szCs w:val="32"/>
          <w:rtl/>
          <w:lang w:bidi="ar-IQ"/>
        </w:rPr>
        <w:t>لمستوطنات المحصنة (ا</w:t>
      </w:r>
      <w:r w:rsidR="004D5794" w:rsidRPr="003F3347">
        <w:rPr>
          <w:rFonts w:ascii="Arial" w:hAnsi="Arial" w:cs="Traditional Arabic" w:hint="cs"/>
          <w:szCs w:val="32"/>
          <w:rtl/>
          <w:lang w:bidi="ar-IQ"/>
        </w:rPr>
        <w:t>لكايات</w:t>
      </w:r>
      <w:r w:rsidR="00A46DE0" w:rsidRPr="003F3347">
        <w:rPr>
          <w:rFonts w:ascii="Arial" w:hAnsi="Arial" w:cs="Traditional Arabic" w:hint="cs"/>
          <w:szCs w:val="32"/>
          <w:rtl/>
          <w:lang w:bidi="ar-IQ"/>
        </w:rPr>
        <w:t>)</w:t>
      </w:r>
      <w:r w:rsidR="004D5794" w:rsidRPr="003F3347">
        <w:rPr>
          <w:rFonts w:ascii="Arial" w:hAnsi="Arial" w:cs="Traditional Arabic" w:hint="cs"/>
          <w:szCs w:val="32"/>
          <w:rtl/>
          <w:lang w:bidi="ar-IQ"/>
        </w:rPr>
        <w:t>.</w:t>
      </w:r>
    </w:p>
    <w:p w:rsidR="004D5794" w:rsidRPr="003F3347" w:rsidRDefault="004D5794" w:rsidP="003F3347">
      <w:pPr>
        <w:pStyle w:val="ListParagraph"/>
        <w:numPr>
          <w:ilvl w:val="0"/>
          <w:numId w:val="4"/>
        </w:numPr>
        <w:bidi/>
        <w:spacing w:after="20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رصد وتقييم الأنشطة على مستويات مختلفة.</w:t>
      </w:r>
    </w:p>
    <w:p w:rsidR="004D5794" w:rsidRPr="003F3347" w:rsidRDefault="004D5794" w:rsidP="003F3347">
      <w:pPr>
        <w:pStyle w:val="ListParagraph"/>
        <w:bidi/>
        <w:spacing w:after="200" w:line="240" w:lineRule="auto"/>
        <w:ind w:left="850"/>
        <w:contextualSpacing w:val="0"/>
        <w:jc w:val="both"/>
        <w:rPr>
          <w:rFonts w:ascii="Arial" w:hAnsi="Arial" w:cs="Traditional Arabic"/>
          <w:b/>
          <w:bCs/>
          <w:szCs w:val="32"/>
          <w:rtl/>
          <w:lang w:bidi="ar-IQ"/>
        </w:rPr>
      </w:pPr>
      <w:r w:rsidRPr="003F3347">
        <w:rPr>
          <w:rFonts w:ascii="Arial" w:hAnsi="Arial" w:cs="Traditional Arabic" w:hint="cs"/>
          <w:b/>
          <w:bCs/>
          <w:szCs w:val="32"/>
          <w:rtl/>
          <w:lang w:bidi="ar-IQ"/>
        </w:rPr>
        <w:t>نتائج المشروع</w:t>
      </w:r>
      <w:r w:rsidR="00631245" w:rsidRPr="003F3347">
        <w:rPr>
          <w:rFonts w:ascii="Arial" w:hAnsi="Arial" w:cs="Traditional Arabic" w:hint="cs"/>
          <w:b/>
          <w:bCs/>
          <w:szCs w:val="32"/>
          <w:rtl/>
          <w:lang w:bidi="ar-IQ"/>
        </w:rPr>
        <w:t>:</w:t>
      </w:r>
    </w:p>
    <w:p w:rsidR="00631245" w:rsidRPr="003F3347" w:rsidRDefault="00A165EA"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 xml:space="preserve">تلقت ست جماعات من أصل تسع جماعات </w:t>
      </w:r>
      <w:r w:rsidR="005C387E" w:rsidRPr="003F3347">
        <w:rPr>
          <w:rFonts w:ascii="Arial" w:hAnsi="Arial" w:cs="Traditional Arabic" w:hint="cs"/>
          <w:szCs w:val="32"/>
          <w:rtl/>
          <w:lang w:bidi="ar-IQ"/>
        </w:rPr>
        <w:t xml:space="preserve">من </w:t>
      </w:r>
      <w:r w:rsidR="00631245" w:rsidRPr="003F3347">
        <w:rPr>
          <w:rFonts w:ascii="Arial" w:hAnsi="Arial" w:cs="Traditional Arabic" w:hint="cs"/>
          <w:szCs w:val="32"/>
          <w:rtl/>
          <w:lang w:bidi="ar-IQ"/>
        </w:rPr>
        <w:t>المجيكيندا</w:t>
      </w:r>
      <w:r w:rsidR="005C387E" w:rsidRPr="003F3347">
        <w:rPr>
          <w:rFonts w:ascii="Arial" w:hAnsi="Arial" w:cs="Traditional Arabic" w:hint="cs"/>
          <w:szCs w:val="32"/>
          <w:rtl/>
          <w:lang w:bidi="ar-IQ"/>
        </w:rPr>
        <w:t xml:space="preserve"> تدريباً على </w:t>
      </w:r>
      <w:r w:rsidR="00631245" w:rsidRPr="003F3347">
        <w:rPr>
          <w:rFonts w:ascii="Arial" w:hAnsi="Arial" w:cs="Traditional Arabic" w:hint="cs"/>
          <w:szCs w:val="32"/>
          <w:rtl/>
          <w:lang w:bidi="ar-IQ"/>
        </w:rPr>
        <w:t>بناء القدرات في مجال تصميم المشاريع والإدارة.</w:t>
      </w:r>
    </w:p>
    <w:p w:rsidR="00FA2C01" w:rsidRPr="003F3347" w:rsidRDefault="00631245"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جرى استهلال أنشطة</w:t>
      </w:r>
      <w:r w:rsidR="003F3347">
        <w:rPr>
          <w:rFonts w:ascii="Arial" w:hAnsi="Arial" w:cs="Traditional Arabic" w:hint="cs"/>
          <w:szCs w:val="32"/>
          <w:rtl/>
          <w:lang w:bidi="ar-IQ"/>
        </w:rPr>
        <w:t xml:space="preserve"> </w:t>
      </w:r>
      <w:r w:rsidRPr="003F3347">
        <w:rPr>
          <w:rFonts w:ascii="Arial" w:hAnsi="Arial" w:cs="Traditional Arabic" w:hint="cs"/>
          <w:szCs w:val="32"/>
          <w:rtl/>
          <w:lang w:bidi="ar-IQ"/>
        </w:rPr>
        <w:t>مدرة للدخل (</w:t>
      </w:r>
      <w:r w:rsidR="002128B3" w:rsidRPr="003F3347">
        <w:rPr>
          <w:rFonts w:ascii="Arial" w:hAnsi="Arial" w:cs="Traditional Arabic" w:hint="cs"/>
          <w:szCs w:val="32"/>
          <w:rtl/>
          <w:lang w:bidi="ar-IQ"/>
        </w:rPr>
        <w:t>مثل المشاتل وتربية النحل).</w:t>
      </w:r>
    </w:p>
    <w:p w:rsidR="002128B3" w:rsidRPr="003F3347" w:rsidRDefault="002128B3"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توعية الجماعة والأطراف المعنية الأخرى</w:t>
      </w:r>
      <w:r w:rsidR="003B4426" w:rsidRPr="003F3347">
        <w:rPr>
          <w:rFonts w:ascii="Arial" w:hAnsi="Arial" w:cs="Traditional Arabic" w:hint="cs"/>
          <w:szCs w:val="32"/>
          <w:rtl/>
          <w:lang w:bidi="ar-IQ"/>
        </w:rPr>
        <w:t xml:space="preserve"> ونشر المعلومات عن تقاليد وممارسات الميجيكندا.</w:t>
      </w:r>
    </w:p>
    <w:p w:rsidR="003B4426" w:rsidRPr="003F3347" w:rsidRDefault="00077C29"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 xml:space="preserve">زار طلاب المدارس الابتدائية والثانوية </w:t>
      </w:r>
      <w:r w:rsidR="00A46DE0" w:rsidRPr="003F3347">
        <w:rPr>
          <w:rFonts w:ascii="Arial" w:hAnsi="Arial" w:cs="Traditional Arabic" w:hint="cs"/>
          <w:szCs w:val="32"/>
          <w:rtl/>
          <w:lang w:bidi="ar-IQ"/>
        </w:rPr>
        <w:t>مستوطنات محصنة (</w:t>
      </w:r>
      <w:r w:rsidRPr="003F3347">
        <w:rPr>
          <w:rFonts w:ascii="Arial" w:hAnsi="Arial" w:cs="Traditional Arabic" w:hint="cs"/>
          <w:szCs w:val="32"/>
          <w:rtl/>
          <w:lang w:bidi="ar-IQ"/>
        </w:rPr>
        <w:t>كايات</w:t>
      </w:r>
      <w:r w:rsidR="00A46DE0" w:rsidRPr="003F3347">
        <w:rPr>
          <w:rFonts w:ascii="Arial" w:hAnsi="Arial" w:cs="Traditional Arabic" w:hint="cs"/>
          <w:szCs w:val="32"/>
          <w:rtl/>
          <w:lang w:bidi="ar-IQ"/>
        </w:rPr>
        <w:t>)</w:t>
      </w:r>
      <w:r w:rsidRPr="003F3347">
        <w:rPr>
          <w:rFonts w:ascii="Arial" w:hAnsi="Arial" w:cs="Traditional Arabic" w:hint="cs"/>
          <w:szCs w:val="32"/>
          <w:rtl/>
          <w:lang w:bidi="ar-IQ"/>
        </w:rPr>
        <w:t xml:space="preserve"> مختلفة للاطلاع على تقاليد وممارسات جماعات الميجيكندا.</w:t>
      </w:r>
    </w:p>
    <w:p w:rsidR="004058E3" w:rsidRPr="003F3347" w:rsidRDefault="005A4D68"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خضع الشباب من أفراد جماعة الميجيكندا للتدريب والتأهيل لحيازة المعرفة والدراية بالممارسات والتقاليد</w:t>
      </w:r>
      <w:r w:rsidR="003F3347">
        <w:rPr>
          <w:rFonts w:ascii="Arial" w:hAnsi="Arial" w:cs="Traditional Arabic" w:hint="cs"/>
          <w:szCs w:val="32"/>
          <w:rtl/>
          <w:lang w:bidi="ar-IQ"/>
        </w:rPr>
        <w:t xml:space="preserve"> </w:t>
      </w:r>
      <w:r w:rsidRPr="003F3347">
        <w:rPr>
          <w:rFonts w:ascii="Arial" w:hAnsi="Arial" w:cs="Traditional Arabic" w:hint="cs"/>
          <w:szCs w:val="32"/>
          <w:rtl/>
          <w:lang w:bidi="ar-IQ"/>
        </w:rPr>
        <w:t>في سياق إعدادهم لعضوية مجلس الشيوخ في المستقبل، ومن ذلك إجراء المراسيم والشعائر في عام 2013 من أجل اعتماد عشرة اعضاء من الشباب.</w:t>
      </w:r>
    </w:p>
    <w:p w:rsidR="005A4D68" w:rsidRPr="003F3347" w:rsidRDefault="00634B06"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Pr>
          <w:rFonts w:ascii="Arial" w:hAnsi="Arial" w:cs="Traditional Arabic" w:hint="cs"/>
          <w:szCs w:val="32"/>
          <w:rtl/>
          <w:lang w:bidi="ar-IQ"/>
        </w:rPr>
        <w:t>إ</w:t>
      </w:r>
      <w:r w:rsidR="005A4D68" w:rsidRPr="003F3347">
        <w:rPr>
          <w:rFonts w:ascii="Arial" w:hAnsi="Arial" w:cs="Traditional Arabic" w:hint="cs"/>
          <w:szCs w:val="32"/>
          <w:rtl/>
          <w:lang w:bidi="ar-IQ"/>
        </w:rPr>
        <w:t xml:space="preserve">قامة احتفال مشترك بين جماعات الميجيكندا شمل </w:t>
      </w:r>
      <w:r w:rsidR="00A46DE0" w:rsidRPr="003F3347">
        <w:rPr>
          <w:rFonts w:ascii="Arial" w:hAnsi="Arial" w:cs="Traditional Arabic" w:hint="cs"/>
          <w:szCs w:val="32"/>
          <w:rtl/>
          <w:lang w:bidi="ar-IQ"/>
        </w:rPr>
        <w:t xml:space="preserve">ثلاث </w:t>
      </w:r>
      <w:r w:rsidR="002D4B32" w:rsidRPr="003F3347">
        <w:rPr>
          <w:rFonts w:ascii="Arial" w:hAnsi="Arial" w:cs="Traditional Arabic" w:hint="cs"/>
          <w:szCs w:val="32"/>
          <w:rtl/>
          <w:lang w:bidi="ar-IQ"/>
        </w:rPr>
        <w:t xml:space="preserve">كايات </w:t>
      </w:r>
      <w:r w:rsidR="00A46DE0" w:rsidRPr="003F3347">
        <w:rPr>
          <w:rFonts w:ascii="Arial" w:hAnsi="Arial" w:cs="Traditional Arabic" w:hint="cs"/>
          <w:szCs w:val="32"/>
          <w:rtl/>
          <w:lang w:bidi="ar-IQ"/>
        </w:rPr>
        <w:t>(</w:t>
      </w:r>
      <w:r w:rsidR="002D4B32" w:rsidRPr="003F3347">
        <w:rPr>
          <w:rFonts w:ascii="Arial" w:hAnsi="Arial" w:cs="Traditional Arabic" w:hint="cs"/>
          <w:szCs w:val="32"/>
          <w:rtl/>
          <w:lang w:bidi="ar-IQ"/>
        </w:rPr>
        <w:t>مستوطنات محصنة</w:t>
      </w:r>
      <w:r w:rsidR="00A46DE0" w:rsidRPr="003F3347">
        <w:rPr>
          <w:rFonts w:ascii="Arial" w:hAnsi="Arial" w:cs="Traditional Arabic" w:hint="cs"/>
          <w:szCs w:val="32"/>
          <w:rtl/>
          <w:lang w:bidi="ar-IQ"/>
        </w:rPr>
        <w:t>) هي</w:t>
      </w:r>
      <w:r w:rsidR="005A4D68" w:rsidRPr="003F3347">
        <w:rPr>
          <w:rFonts w:ascii="Arial" w:hAnsi="Arial" w:cs="Traditional Arabic" w:hint="cs"/>
          <w:szCs w:val="32"/>
          <w:rtl/>
          <w:lang w:bidi="ar-IQ"/>
        </w:rPr>
        <w:t xml:space="preserve"> رباي وكوما ودوروما.</w:t>
      </w:r>
    </w:p>
    <w:p w:rsidR="005A4D68" w:rsidRPr="003F3347" w:rsidRDefault="005A4D68" w:rsidP="003F3347">
      <w:pPr>
        <w:pStyle w:val="ListParagraph"/>
        <w:numPr>
          <w:ilvl w:val="0"/>
          <w:numId w:val="4"/>
        </w:numPr>
        <w:bidi/>
        <w:spacing w:after="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 xml:space="preserve">تبادل الخبرات والإشكالات </w:t>
      </w:r>
      <w:r w:rsidR="00D2333B" w:rsidRPr="003F3347">
        <w:rPr>
          <w:rFonts w:ascii="Arial" w:hAnsi="Arial" w:cs="Traditional Arabic" w:hint="cs"/>
          <w:szCs w:val="32"/>
          <w:rtl/>
          <w:lang w:bidi="ar-IQ"/>
        </w:rPr>
        <w:t xml:space="preserve">بين </w:t>
      </w:r>
      <w:r w:rsidR="00A46DE0" w:rsidRPr="003F3347">
        <w:rPr>
          <w:rFonts w:ascii="Arial" w:hAnsi="Arial" w:cs="Traditional Arabic" w:hint="cs"/>
          <w:szCs w:val="32"/>
          <w:rtl/>
          <w:lang w:bidi="ar-IQ"/>
        </w:rPr>
        <w:t xml:space="preserve">ثلاث </w:t>
      </w:r>
      <w:r w:rsidR="002D4B32" w:rsidRPr="003F3347">
        <w:rPr>
          <w:rFonts w:ascii="Arial" w:hAnsi="Arial" w:cs="Traditional Arabic" w:hint="cs"/>
          <w:szCs w:val="32"/>
          <w:rtl/>
          <w:lang w:bidi="ar-IQ"/>
        </w:rPr>
        <w:t>ك</w:t>
      </w:r>
      <w:r w:rsidR="002D4B32" w:rsidRPr="003F3347">
        <w:rPr>
          <w:rFonts w:ascii="Arial" w:hAnsi="Arial" w:cs="Traditional Arabic" w:hint="cs"/>
          <w:szCs w:val="32"/>
          <w:rtl/>
          <w:lang w:bidi="ar-SY"/>
        </w:rPr>
        <w:t xml:space="preserve">ايات </w:t>
      </w:r>
      <w:r w:rsidRPr="003F3347">
        <w:rPr>
          <w:rFonts w:ascii="Arial" w:hAnsi="Arial" w:cs="Traditional Arabic" w:hint="cs"/>
          <w:szCs w:val="32"/>
          <w:rtl/>
          <w:lang w:bidi="ar-SY"/>
        </w:rPr>
        <w:t xml:space="preserve">في </w:t>
      </w:r>
      <w:r w:rsidR="00D2333B" w:rsidRPr="003F3347">
        <w:rPr>
          <w:rFonts w:ascii="Arial" w:hAnsi="Arial" w:cs="Traditional Arabic" w:hint="cs"/>
          <w:szCs w:val="32"/>
          <w:rtl/>
          <w:lang w:bidi="ar-SY"/>
        </w:rPr>
        <w:t xml:space="preserve">مجال </w:t>
      </w:r>
      <w:r w:rsidRPr="003F3347">
        <w:rPr>
          <w:rFonts w:ascii="Arial" w:hAnsi="Arial" w:cs="Traditional Arabic" w:hint="cs"/>
          <w:szCs w:val="32"/>
          <w:rtl/>
          <w:lang w:bidi="ar-SY"/>
        </w:rPr>
        <w:t>صون العنصر وتنفيذ المشروع.</w:t>
      </w:r>
    </w:p>
    <w:p w:rsidR="005A4D68" w:rsidRPr="003F3347" w:rsidRDefault="00D2333B" w:rsidP="003F3347">
      <w:pPr>
        <w:pStyle w:val="ListParagraph"/>
        <w:numPr>
          <w:ilvl w:val="0"/>
          <w:numId w:val="4"/>
        </w:numPr>
        <w:bidi/>
        <w:spacing w:after="200" w:line="240" w:lineRule="auto"/>
        <w:ind w:left="1210"/>
        <w:contextualSpacing w:val="0"/>
        <w:jc w:val="both"/>
        <w:rPr>
          <w:rFonts w:ascii="Arial" w:hAnsi="Arial" w:cs="Traditional Arabic"/>
          <w:szCs w:val="32"/>
          <w:lang w:bidi="ar-IQ"/>
        </w:rPr>
      </w:pPr>
      <w:r w:rsidRPr="003F3347">
        <w:rPr>
          <w:rFonts w:ascii="Arial" w:hAnsi="Arial" w:cs="Traditional Arabic" w:hint="cs"/>
          <w:szCs w:val="32"/>
          <w:rtl/>
          <w:lang w:bidi="ar-IQ"/>
        </w:rPr>
        <w:t>دخلت اليوم التأدية المستمرة للتقاليد والممارسات من قبل جماعات الكايا في طور الاستدامة.</w:t>
      </w:r>
    </w:p>
    <w:p w:rsidR="00D2333B" w:rsidRPr="003F3347" w:rsidRDefault="00D2333B" w:rsidP="003F3347">
      <w:pPr>
        <w:pStyle w:val="ListParagraph"/>
        <w:bidi/>
        <w:spacing w:after="200" w:line="240" w:lineRule="auto"/>
        <w:ind w:left="850"/>
        <w:contextualSpacing w:val="0"/>
        <w:jc w:val="both"/>
        <w:rPr>
          <w:rFonts w:ascii="Arial" w:hAnsi="Arial" w:cs="Traditional Arabic"/>
          <w:b/>
          <w:bCs/>
          <w:szCs w:val="32"/>
          <w:rtl/>
          <w:lang w:bidi="ar-IQ"/>
        </w:rPr>
      </w:pPr>
      <w:r w:rsidRPr="003F3347">
        <w:rPr>
          <w:rFonts w:ascii="Arial" w:hAnsi="Arial" w:cs="Traditional Arabic" w:hint="cs"/>
          <w:b/>
          <w:bCs/>
          <w:szCs w:val="32"/>
          <w:rtl/>
          <w:lang w:bidi="ar-IQ"/>
        </w:rPr>
        <w:t>المشاركة المجتمعية في المشروع:</w:t>
      </w:r>
    </w:p>
    <w:p w:rsidR="001B1396" w:rsidRPr="003F3347" w:rsidRDefault="00D2333B" w:rsidP="003F3347">
      <w:pPr>
        <w:pStyle w:val="ListParagraph"/>
        <w:bidi/>
        <w:spacing w:after="200" w:line="240" w:lineRule="auto"/>
        <w:ind w:left="850"/>
        <w:contextualSpacing w:val="0"/>
        <w:jc w:val="both"/>
        <w:rPr>
          <w:rFonts w:ascii="Arial" w:hAnsi="Arial" w:cs="Traditional Arabic"/>
          <w:szCs w:val="32"/>
          <w:rtl/>
          <w:lang w:bidi="ar-IQ"/>
        </w:rPr>
      </w:pPr>
      <w:r w:rsidRPr="003F3347">
        <w:rPr>
          <w:rFonts w:ascii="Arial" w:hAnsi="Arial" w:cs="Traditional Arabic" w:hint="cs"/>
          <w:szCs w:val="32"/>
          <w:rtl/>
          <w:lang w:bidi="ar-IQ"/>
        </w:rPr>
        <w:t xml:space="preserve">زودت أنشطة المشروع جماعات الميجيكندا بالمهارات والمعرفة والموارد وساهمت مساهمة فعالة في تعزيز نقل العنصر واستدامته. ثم إنها عززت إلى درجة كبيرة احترام الذات والقدرة على تحديد السكان المحليين وأيقظت اهتمام الشباب بالتقاليد والممارسات المرتبطة بالغابات المقدسة للميجيكندا. </w:t>
      </w:r>
      <w:r w:rsidR="001B1396" w:rsidRPr="003F3347">
        <w:rPr>
          <w:rFonts w:ascii="Arial" w:hAnsi="Arial" w:cs="Traditional Arabic" w:hint="cs"/>
          <w:szCs w:val="32"/>
          <w:rtl/>
          <w:lang w:bidi="ar-IQ"/>
        </w:rPr>
        <w:t>وقد حُددت فيما يلي الأطراف الفاعلة/الأطراف المعنية التي اعتبرت مهمة في إطار خطة العمل هذه:</w:t>
      </w:r>
    </w:p>
    <w:p w:rsidR="001B1396" w:rsidRPr="00634B06" w:rsidRDefault="001B1396" w:rsidP="00634B06">
      <w:pPr>
        <w:pStyle w:val="ListParagraph"/>
        <w:bidi/>
        <w:spacing w:after="200" w:line="240" w:lineRule="auto"/>
        <w:ind w:left="850"/>
        <w:contextualSpacing w:val="0"/>
        <w:jc w:val="both"/>
        <w:rPr>
          <w:rFonts w:ascii="Arial" w:hAnsi="Arial" w:cs="Traditional Arabic"/>
          <w:szCs w:val="32"/>
          <w:lang w:bidi="ar-IQ"/>
        </w:rPr>
      </w:pPr>
      <w:r w:rsidRPr="00634B06">
        <w:rPr>
          <w:rFonts w:ascii="Arial" w:hAnsi="Arial" w:cs="Traditional Arabic" w:hint="cs"/>
          <w:szCs w:val="32"/>
          <w:rtl/>
          <w:lang w:bidi="ar-IQ"/>
        </w:rPr>
        <w:lastRenderedPageBreak/>
        <w:t xml:space="preserve">مجالس الشيوخ أو الحكماء: وهي تقوم بنقل المعرفة </w:t>
      </w:r>
      <w:r w:rsidR="00634B06" w:rsidRPr="00634B06">
        <w:rPr>
          <w:rFonts w:ascii="Arial" w:hAnsi="Arial" w:cs="Traditional Arabic" w:hint="cs"/>
          <w:szCs w:val="32"/>
          <w:rtl/>
          <w:lang w:bidi="ar-IQ"/>
        </w:rPr>
        <w:t>بشأن</w:t>
      </w:r>
      <w:r w:rsidRPr="00634B06">
        <w:rPr>
          <w:rFonts w:ascii="Arial" w:hAnsi="Arial" w:cs="Traditional Arabic" w:hint="cs"/>
          <w:szCs w:val="32"/>
          <w:rtl/>
          <w:lang w:bidi="ar-IQ"/>
        </w:rPr>
        <w:t xml:space="preserve"> التقاليد والممارسات إلى جيل الشباب من خلال التعليم والتدريب والتأهيل. وتعترف الإدارة المحلية بدور هذه المجالس وتشركها في المشاورات المتعلقة بالأمن والقضايا الاجتماعية </w:t>
      </w:r>
      <w:r w:rsidR="009D59DB" w:rsidRPr="00634B06">
        <w:rPr>
          <w:rFonts w:ascii="Arial" w:hAnsi="Arial" w:cs="Traditional Arabic" w:hint="cs"/>
          <w:szCs w:val="32"/>
          <w:rtl/>
          <w:lang w:bidi="ar-IQ"/>
        </w:rPr>
        <w:t xml:space="preserve">- </w:t>
      </w:r>
      <w:r w:rsidRPr="00634B06">
        <w:rPr>
          <w:rFonts w:ascii="Arial" w:hAnsi="Arial" w:cs="Traditional Arabic" w:hint="cs"/>
          <w:szCs w:val="32"/>
          <w:rtl/>
          <w:lang w:bidi="ar-IQ"/>
        </w:rPr>
        <w:t xml:space="preserve">الثقافية التي تؤثر على الميجيكندا. كما تساهم </w:t>
      </w:r>
      <w:r w:rsidR="009D59DB" w:rsidRPr="00634B06">
        <w:rPr>
          <w:rFonts w:ascii="Arial" w:hAnsi="Arial" w:cs="Traditional Arabic" w:hint="cs"/>
          <w:szCs w:val="32"/>
          <w:rtl/>
          <w:lang w:bidi="ar-IQ"/>
        </w:rPr>
        <w:t>هذه المجالس في تعزيز ما يلي: الإدارة الرشيدة لحقوق الملكية وتخصيص الموارد باعتماد نظام يجمع بين التقاليد والحداثة؛ وعملية درء النزاعات وحلها؛ والمشاركة في عملية صنع القرار.</w:t>
      </w:r>
    </w:p>
    <w:p w:rsidR="00385D7B" w:rsidRPr="00634B06" w:rsidRDefault="009D59DB" w:rsidP="00634B06">
      <w:pPr>
        <w:pStyle w:val="ListParagraph"/>
        <w:bidi/>
        <w:spacing w:after="200" w:line="240" w:lineRule="auto"/>
        <w:ind w:left="850"/>
        <w:contextualSpacing w:val="0"/>
        <w:jc w:val="both"/>
        <w:rPr>
          <w:rFonts w:ascii="Arial" w:hAnsi="Arial" w:cs="Traditional Arabic"/>
          <w:szCs w:val="32"/>
          <w:lang w:bidi="ar-IQ"/>
        </w:rPr>
      </w:pPr>
      <w:r w:rsidRPr="00634B06">
        <w:rPr>
          <w:rFonts w:ascii="Arial" w:hAnsi="Arial" w:cs="Traditional Arabic" w:hint="cs"/>
          <w:szCs w:val="32"/>
          <w:rtl/>
          <w:lang w:bidi="ar-IQ"/>
        </w:rPr>
        <w:t>مجموعات الحفاظ على الكايا:</w:t>
      </w:r>
      <w:r w:rsidR="00A46DE0" w:rsidRPr="00634B06">
        <w:rPr>
          <w:rFonts w:ascii="Arial" w:hAnsi="Arial" w:cs="Traditional Arabic" w:hint="cs"/>
          <w:szCs w:val="32"/>
          <w:rtl/>
          <w:lang w:bidi="ar-IQ"/>
        </w:rPr>
        <w:t xml:space="preserve"> وقد </w:t>
      </w:r>
      <w:r w:rsidR="00385D7B" w:rsidRPr="00634B06">
        <w:rPr>
          <w:rFonts w:ascii="Arial" w:hAnsi="Arial" w:cs="Traditional Arabic" w:hint="cs"/>
          <w:szCs w:val="32"/>
          <w:rtl/>
          <w:lang w:bidi="ar-IQ"/>
        </w:rPr>
        <w:t>انخرطت هذه</w:t>
      </w:r>
      <w:r w:rsidR="00A46DE0" w:rsidRPr="00634B06">
        <w:rPr>
          <w:rFonts w:ascii="Arial" w:hAnsi="Arial" w:cs="Traditional Arabic" w:hint="cs"/>
          <w:szCs w:val="32"/>
          <w:rtl/>
          <w:lang w:bidi="ar-IQ"/>
        </w:rPr>
        <w:t xml:space="preserve"> في عملية إعادة غرس الأشجار في الكايات ووضع قواعد للسلوك فيما يتعلق بإدارة الكايات</w:t>
      </w:r>
      <w:r w:rsidR="00385D7B" w:rsidRPr="00634B06">
        <w:rPr>
          <w:rFonts w:ascii="Arial" w:hAnsi="Arial" w:cs="Traditional Arabic" w:hint="cs"/>
          <w:szCs w:val="32"/>
          <w:rtl/>
          <w:lang w:bidi="ar-IQ"/>
        </w:rPr>
        <w:t xml:space="preserve"> وتطبيق الممارسات العرفية التي تحكم الانتفاع بالمعلومات الخاصة بالعنصر.</w:t>
      </w:r>
    </w:p>
    <w:p w:rsidR="00385D7B" w:rsidRPr="00634B06" w:rsidRDefault="00385D7B" w:rsidP="00634B06">
      <w:pPr>
        <w:pStyle w:val="ListParagraph"/>
        <w:bidi/>
        <w:spacing w:after="200" w:line="240" w:lineRule="auto"/>
        <w:ind w:left="850"/>
        <w:contextualSpacing w:val="0"/>
        <w:jc w:val="both"/>
        <w:rPr>
          <w:rFonts w:ascii="Arial" w:hAnsi="Arial" w:cs="Traditional Arabic"/>
          <w:szCs w:val="32"/>
          <w:lang w:bidi="ar-IQ"/>
        </w:rPr>
      </w:pPr>
      <w:r w:rsidRPr="00634B06">
        <w:rPr>
          <w:rFonts w:ascii="Arial" w:hAnsi="Arial" w:cs="Traditional Arabic" w:hint="cs"/>
          <w:szCs w:val="32"/>
          <w:rtl/>
          <w:lang w:bidi="ar-IQ"/>
        </w:rPr>
        <w:t>المجموعات النسائية: وقد اضطلعت بأنشطة مختلفة في مجال صون العنصر</w:t>
      </w:r>
      <w:r w:rsidR="003F3347" w:rsidRPr="00634B06">
        <w:rPr>
          <w:rFonts w:ascii="Arial" w:hAnsi="Arial" w:cs="Traditional Arabic" w:hint="cs"/>
          <w:szCs w:val="32"/>
          <w:rtl/>
          <w:lang w:bidi="ar-IQ"/>
        </w:rPr>
        <w:t xml:space="preserve"> </w:t>
      </w:r>
      <w:r w:rsidRPr="00634B06">
        <w:rPr>
          <w:rFonts w:ascii="Arial" w:hAnsi="Arial" w:cs="Traditional Arabic" w:hint="cs"/>
          <w:szCs w:val="32"/>
          <w:rtl/>
          <w:lang w:bidi="ar-IQ"/>
        </w:rPr>
        <w:t>وقامت بزيارات لكايات أخرى لمشاطرة المعلومات والتجارب والخبرات.</w:t>
      </w:r>
    </w:p>
    <w:p w:rsidR="00361DF6" w:rsidRPr="003F3347" w:rsidRDefault="00385D7B" w:rsidP="00634B06">
      <w:pPr>
        <w:pStyle w:val="ListParagraph"/>
        <w:bidi/>
        <w:spacing w:after="200" w:line="240" w:lineRule="auto"/>
        <w:ind w:left="850"/>
        <w:contextualSpacing w:val="0"/>
        <w:jc w:val="both"/>
        <w:rPr>
          <w:rFonts w:ascii="Arial" w:hAnsi="Arial" w:cs="Traditional Arabic"/>
          <w:szCs w:val="32"/>
          <w:rtl/>
          <w:lang w:bidi="ar-IQ"/>
        </w:rPr>
      </w:pPr>
      <w:r w:rsidRPr="00634B06">
        <w:rPr>
          <w:rFonts w:ascii="Arial" w:hAnsi="Arial" w:cs="Traditional Arabic" w:hint="cs"/>
          <w:szCs w:val="32"/>
          <w:rtl/>
          <w:lang w:bidi="ar-IQ"/>
        </w:rPr>
        <w:t>المجموعات الشبابية: اضطلعت هذه بأنشطة مختلفة في مجال صون العنصر وقامت بزيارات لكايات أخرى لمشاطرة المعلومات والخبرات والتجارب.</w:t>
      </w:r>
      <w:r w:rsidR="00476BA9" w:rsidRPr="00634B06">
        <w:rPr>
          <w:rFonts w:ascii="Arial" w:hAnsi="Arial" w:cs="Traditional Arabic" w:hint="cs"/>
          <w:szCs w:val="32"/>
          <w:rtl/>
          <w:lang w:bidi="ar-IQ"/>
        </w:rPr>
        <w:t xml:space="preserve"> وبالنظر إلى أن العديد من الشيوخ/الحكماء باتوا يطعنون في السن، بدأت معظم الكايات تختار أعضاء شباب من ذوي الحيوية لتولي مهام الشيوخ/الحكماء لكي تستمر عملية نقل العنصر.</w:t>
      </w:r>
      <w:bookmarkStart w:id="3" w:name="_GoBack"/>
      <w:bookmarkEnd w:id="3"/>
    </w:p>
    <w:sectPr w:rsidR="00361DF6" w:rsidRPr="003F3347" w:rsidSect="00085B38">
      <w:headerReference w:type="default" r:id="rId8"/>
      <w:footerReference w:type="default" r:id="rId9"/>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B7" w:rsidRDefault="00D20EB7" w:rsidP="006742B2">
      <w:pPr>
        <w:spacing w:after="0" w:line="240" w:lineRule="auto"/>
      </w:pPr>
      <w:r>
        <w:separator/>
      </w:r>
    </w:p>
  </w:endnote>
  <w:endnote w:type="continuationSeparator" w:id="0">
    <w:p w:rsidR="00D20EB7" w:rsidRDefault="00D20EB7" w:rsidP="0067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3F3347" w:rsidTr="003F3347">
      <w:tc>
        <w:tcPr>
          <w:tcW w:w="1234" w:type="pct"/>
          <w:vAlign w:val="center"/>
          <w:hideMark/>
        </w:tcPr>
        <w:p w:rsidR="003F3347" w:rsidRDefault="003F3347" w:rsidP="003F3347">
          <w:pPr>
            <w:pStyle w:val="Footer"/>
            <w:tabs>
              <w:tab w:val="right" w:pos="2018"/>
            </w:tabs>
          </w:pPr>
          <w:r>
            <w:rPr>
              <w:noProof/>
              <w:lang w:eastAsia="zh-TW"/>
            </w:rPr>
            <w:drawing>
              <wp:inline distT="0" distB="0" distL="0" distR="0">
                <wp:extent cx="1038225" cy="666750"/>
                <wp:effectExtent l="0" t="0" r="9525" b="0"/>
                <wp:docPr id="2"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inline>
            </w:drawing>
          </w:r>
        </w:p>
      </w:tc>
      <w:tc>
        <w:tcPr>
          <w:tcW w:w="2506" w:type="pct"/>
          <w:vAlign w:val="bottom"/>
          <w:hideMark/>
        </w:tcPr>
        <w:p w:rsidR="003F3347" w:rsidRDefault="00522057" w:rsidP="00522057">
          <w:pPr>
            <w:pStyle w:val="Footer"/>
            <w:bidi/>
            <w:jc w:val="center"/>
            <w:rPr>
              <w:lang w:val="en-US"/>
            </w:rPr>
          </w:pPr>
          <w:r>
            <w:rPr>
              <w:noProof/>
              <w:lang w:eastAsia="zh-TW"/>
            </w:rPr>
            <w:drawing>
              <wp:anchor distT="0" distB="0" distL="114300" distR="114300" simplePos="0" relativeHeight="251658240" behindDoc="0" locked="0" layoutInCell="1" allowOverlap="1" wp14:anchorId="4C389B61" wp14:editId="32ADAC75">
                <wp:simplePos x="0" y="0"/>
                <wp:positionH relativeFrom="column">
                  <wp:posOffset>1381125</wp:posOffset>
                </wp:positionH>
                <wp:positionV relativeFrom="paragraph">
                  <wp:posOffset>386080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hideMark/>
        </w:tcPr>
        <w:p w:rsidR="003F3347" w:rsidRDefault="003F3347" w:rsidP="003F3347">
          <w:pPr>
            <w:pStyle w:val="Footer"/>
            <w:jc w:val="right"/>
            <w:rPr>
              <w:rFonts w:asciiTheme="minorBidi" w:hAnsiTheme="minorBidi"/>
              <w:sz w:val="18"/>
              <w:szCs w:val="18"/>
              <w:lang w:val="en-US"/>
            </w:rPr>
          </w:pPr>
          <w:r>
            <w:rPr>
              <w:rFonts w:asciiTheme="minorBidi" w:hAnsiTheme="minorBidi"/>
              <w:sz w:val="18"/>
              <w:szCs w:val="18"/>
              <w:lang w:val="en-GB"/>
            </w:rPr>
            <w:t>U049-v1.0.HO8-AR</w:t>
          </w:r>
        </w:p>
      </w:tc>
    </w:tr>
  </w:tbl>
  <w:p w:rsidR="003F3347" w:rsidRDefault="003F3347" w:rsidP="003F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B7" w:rsidRDefault="00D20EB7" w:rsidP="006742B2">
      <w:pPr>
        <w:spacing w:after="0" w:line="240" w:lineRule="auto"/>
      </w:pPr>
      <w:r>
        <w:separator/>
      </w:r>
    </w:p>
  </w:footnote>
  <w:footnote w:type="continuationSeparator" w:id="0">
    <w:p w:rsidR="00D20EB7" w:rsidRDefault="00D20EB7" w:rsidP="0067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285"/>
      <w:gridCol w:w="3283"/>
    </w:tblGrid>
    <w:tr w:rsidR="003F3347" w:rsidTr="003F3347">
      <w:trPr>
        <w:jc w:val="center"/>
      </w:trPr>
      <w:tc>
        <w:tcPr>
          <w:tcW w:w="1667" w:type="pct"/>
        </w:tcPr>
        <w:p w:rsidR="003F3347" w:rsidRDefault="003F3347" w:rsidP="003F3347">
          <w:pPr>
            <w:pStyle w:val="Header"/>
            <w:bidi/>
            <w:jc w:val="right"/>
            <w:rPr>
              <w:rFonts w:cs="Traditional Arabic"/>
              <w:sz w:val="18"/>
              <w:szCs w:val="24"/>
            </w:rPr>
          </w:pPr>
        </w:p>
      </w:tc>
      <w:tc>
        <w:tcPr>
          <w:tcW w:w="1667" w:type="pct"/>
          <w:hideMark/>
        </w:tcPr>
        <w:p w:rsidR="003F3347" w:rsidRDefault="003F3347" w:rsidP="003F3347">
          <w:pPr>
            <w:pStyle w:val="Header"/>
            <w:jc w:val="center"/>
          </w:pPr>
          <w:r>
            <w:rPr>
              <w:rFonts w:eastAsia="Times New Roman" w:cs="Traditional Arabic"/>
              <w:kern w:val="36"/>
              <w:sz w:val="26"/>
              <w:szCs w:val="24"/>
              <w:rtl/>
              <w:lang w:eastAsia="en-GB" w:bidi="ar-MA"/>
            </w:rPr>
            <w:t>ورقة معدة للتوزيع</w:t>
          </w:r>
        </w:p>
      </w:tc>
      <w:tc>
        <w:tcPr>
          <w:tcW w:w="1667" w:type="pct"/>
        </w:tcPr>
        <w:p w:rsidR="003F3347" w:rsidRPr="003D3CA8" w:rsidRDefault="003D3CA8" w:rsidP="003F3347">
          <w:pPr>
            <w:pStyle w:val="Header"/>
            <w:jc w:val="right"/>
            <w:rPr>
              <w:rFonts w:asciiTheme="minorBidi" w:hAnsiTheme="minorBidi"/>
            </w:rPr>
          </w:pPr>
          <w:r w:rsidRPr="003D3CA8">
            <w:rPr>
              <w:rFonts w:asciiTheme="minorBidi" w:hAnsiTheme="minorBidi"/>
            </w:rPr>
            <w:fldChar w:fldCharType="begin"/>
          </w:r>
          <w:r w:rsidRPr="003D3CA8">
            <w:rPr>
              <w:rFonts w:asciiTheme="minorBidi" w:hAnsiTheme="minorBidi"/>
            </w:rPr>
            <w:instrText>PAGE   \* MERGEFORMAT</w:instrText>
          </w:r>
          <w:r w:rsidRPr="003D3CA8">
            <w:rPr>
              <w:rFonts w:asciiTheme="minorBidi" w:hAnsiTheme="minorBidi"/>
            </w:rPr>
            <w:fldChar w:fldCharType="separate"/>
          </w:r>
          <w:r w:rsidR="00522057">
            <w:rPr>
              <w:rFonts w:asciiTheme="minorBidi" w:hAnsiTheme="minorBidi"/>
              <w:noProof/>
            </w:rPr>
            <w:t>3</w:t>
          </w:r>
          <w:r w:rsidRPr="003D3CA8">
            <w:rPr>
              <w:rFonts w:asciiTheme="minorBidi" w:hAnsiTheme="minorBidi"/>
            </w:rPr>
            <w:fldChar w:fldCharType="end"/>
          </w:r>
        </w:p>
      </w:tc>
    </w:tr>
  </w:tbl>
  <w:p w:rsidR="00BD7FCE" w:rsidRPr="003F3347" w:rsidRDefault="00BD7FCE" w:rsidP="003F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480C"/>
    <w:multiLevelType w:val="hybridMultilevel"/>
    <w:tmpl w:val="5838D2F4"/>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4738FC"/>
    <w:multiLevelType w:val="hybridMultilevel"/>
    <w:tmpl w:val="909AE8AE"/>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62C44FE6"/>
    <w:multiLevelType w:val="hybridMultilevel"/>
    <w:tmpl w:val="D94E25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23102E0"/>
    <w:multiLevelType w:val="hybridMultilevel"/>
    <w:tmpl w:val="05C6D8F0"/>
    <w:lvl w:ilvl="0" w:tplc="2556BE5E">
      <w:numFmt w:val="bullet"/>
      <w:lvlText w:val="-"/>
      <w:lvlJc w:val="left"/>
      <w:pPr>
        <w:ind w:left="1068" w:hanging="360"/>
      </w:pPr>
      <w:rPr>
        <w:rFonts w:ascii="Traditional Arabic" w:eastAsia="SimSun"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24"/>
    <w:rsid w:val="000108FD"/>
    <w:rsid w:val="00012727"/>
    <w:rsid w:val="00012C6D"/>
    <w:rsid w:val="00033141"/>
    <w:rsid w:val="0007094C"/>
    <w:rsid w:val="0007539E"/>
    <w:rsid w:val="00077C29"/>
    <w:rsid w:val="00085B38"/>
    <w:rsid w:val="000E49B7"/>
    <w:rsid w:val="000F4481"/>
    <w:rsid w:val="00131125"/>
    <w:rsid w:val="00134F0D"/>
    <w:rsid w:val="00142E96"/>
    <w:rsid w:val="00145197"/>
    <w:rsid w:val="0015621C"/>
    <w:rsid w:val="00171908"/>
    <w:rsid w:val="00173473"/>
    <w:rsid w:val="0018413A"/>
    <w:rsid w:val="001941AF"/>
    <w:rsid w:val="001A22A9"/>
    <w:rsid w:val="001B1396"/>
    <w:rsid w:val="001B7895"/>
    <w:rsid w:val="002128B3"/>
    <w:rsid w:val="0026705A"/>
    <w:rsid w:val="00271585"/>
    <w:rsid w:val="002717B3"/>
    <w:rsid w:val="002732B4"/>
    <w:rsid w:val="002C14E7"/>
    <w:rsid w:val="002D4B32"/>
    <w:rsid w:val="002F37DE"/>
    <w:rsid w:val="00327BD2"/>
    <w:rsid w:val="00342674"/>
    <w:rsid w:val="00357DE7"/>
    <w:rsid w:val="00361DF6"/>
    <w:rsid w:val="00376805"/>
    <w:rsid w:val="00385D7B"/>
    <w:rsid w:val="003B4426"/>
    <w:rsid w:val="003D09FE"/>
    <w:rsid w:val="003D3CA8"/>
    <w:rsid w:val="003F3347"/>
    <w:rsid w:val="004058E3"/>
    <w:rsid w:val="0042038A"/>
    <w:rsid w:val="00427310"/>
    <w:rsid w:val="00453FEB"/>
    <w:rsid w:val="00455EE2"/>
    <w:rsid w:val="00464882"/>
    <w:rsid w:val="00476BA9"/>
    <w:rsid w:val="004A1E58"/>
    <w:rsid w:val="004B2FBF"/>
    <w:rsid w:val="004C3170"/>
    <w:rsid w:val="004D5794"/>
    <w:rsid w:val="005144B8"/>
    <w:rsid w:val="00522057"/>
    <w:rsid w:val="00525A3E"/>
    <w:rsid w:val="00576C34"/>
    <w:rsid w:val="005A4D68"/>
    <w:rsid w:val="005C387E"/>
    <w:rsid w:val="005C6AE1"/>
    <w:rsid w:val="005F3CAC"/>
    <w:rsid w:val="00611B9C"/>
    <w:rsid w:val="00631245"/>
    <w:rsid w:val="00634B06"/>
    <w:rsid w:val="006742B2"/>
    <w:rsid w:val="006953DE"/>
    <w:rsid w:val="00700334"/>
    <w:rsid w:val="00716EBB"/>
    <w:rsid w:val="00757692"/>
    <w:rsid w:val="008038CB"/>
    <w:rsid w:val="00805824"/>
    <w:rsid w:val="00825173"/>
    <w:rsid w:val="00836D11"/>
    <w:rsid w:val="00861217"/>
    <w:rsid w:val="008C3DFC"/>
    <w:rsid w:val="00903DC7"/>
    <w:rsid w:val="009122EC"/>
    <w:rsid w:val="00924A60"/>
    <w:rsid w:val="009403FC"/>
    <w:rsid w:val="00943AB4"/>
    <w:rsid w:val="0098308F"/>
    <w:rsid w:val="009D59DB"/>
    <w:rsid w:val="00A165EA"/>
    <w:rsid w:val="00A20FF4"/>
    <w:rsid w:val="00A46DE0"/>
    <w:rsid w:val="00A70A8F"/>
    <w:rsid w:val="00A913BC"/>
    <w:rsid w:val="00AC66BF"/>
    <w:rsid w:val="00AE6CBA"/>
    <w:rsid w:val="00AE7766"/>
    <w:rsid w:val="00AF07EF"/>
    <w:rsid w:val="00B2156F"/>
    <w:rsid w:val="00B41300"/>
    <w:rsid w:val="00B467C0"/>
    <w:rsid w:val="00BA6665"/>
    <w:rsid w:val="00BC4577"/>
    <w:rsid w:val="00BC5121"/>
    <w:rsid w:val="00BD7FCE"/>
    <w:rsid w:val="00BE31B2"/>
    <w:rsid w:val="00C126FB"/>
    <w:rsid w:val="00C57690"/>
    <w:rsid w:val="00C60E7C"/>
    <w:rsid w:val="00C80D47"/>
    <w:rsid w:val="00CE5A67"/>
    <w:rsid w:val="00D1266E"/>
    <w:rsid w:val="00D20EB7"/>
    <w:rsid w:val="00D2333B"/>
    <w:rsid w:val="00D25AE0"/>
    <w:rsid w:val="00D330A5"/>
    <w:rsid w:val="00D536B9"/>
    <w:rsid w:val="00D8576B"/>
    <w:rsid w:val="00D85AC3"/>
    <w:rsid w:val="00D931B0"/>
    <w:rsid w:val="00D93A28"/>
    <w:rsid w:val="00D9523D"/>
    <w:rsid w:val="00DB38F8"/>
    <w:rsid w:val="00DB637B"/>
    <w:rsid w:val="00DC2C0D"/>
    <w:rsid w:val="00DD09D0"/>
    <w:rsid w:val="00E10F3F"/>
    <w:rsid w:val="00E426D7"/>
    <w:rsid w:val="00E512D8"/>
    <w:rsid w:val="00E66571"/>
    <w:rsid w:val="00E751D1"/>
    <w:rsid w:val="00EB2203"/>
    <w:rsid w:val="00F0439E"/>
    <w:rsid w:val="00F1185C"/>
    <w:rsid w:val="00F22488"/>
    <w:rsid w:val="00F3052F"/>
    <w:rsid w:val="00F71E00"/>
    <w:rsid w:val="00F76E55"/>
    <w:rsid w:val="00FA2C0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735AA5B-7998-408D-803D-8ADAA8A2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2B2"/>
    <w:pPr>
      <w:spacing w:after="0" w:line="240" w:lineRule="auto"/>
    </w:pPr>
    <w:rPr>
      <w:rFonts w:ascii="Arial" w:hAnsi="Arial" w:cs="Traditional Arabic"/>
      <w:sz w:val="20"/>
      <w:szCs w:val="20"/>
    </w:rPr>
  </w:style>
  <w:style w:type="character" w:customStyle="1" w:styleId="FootnoteTextChar">
    <w:name w:val="Footnote Text Char"/>
    <w:basedOn w:val="DefaultParagraphFont"/>
    <w:link w:val="FootnoteText"/>
    <w:uiPriority w:val="99"/>
    <w:semiHidden/>
    <w:rsid w:val="006742B2"/>
    <w:rPr>
      <w:rFonts w:ascii="Arial" w:hAnsi="Arial" w:cs="Traditional Arabic"/>
      <w:sz w:val="20"/>
      <w:szCs w:val="20"/>
    </w:rPr>
  </w:style>
  <w:style w:type="character" w:styleId="FootnoteReference">
    <w:name w:val="footnote reference"/>
    <w:basedOn w:val="DefaultParagraphFont"/>
    <w:uiPriority w:val="99"/>
    <w:semiHidden/>
    <w:unhideWhenUsed/>
    <w:rsid w:val="006742B2"/>
    <w:rPr>
      <w:vertAlign w:val="superscript"/>
    </w:rPr>
  </w:style>
  <w:style w:type="paragraph" w:styleId="ListParagraph">
    <w:name w:val="List Paragraph"/>
    <w:basedOn w:val="Normal"/>
    <w:uiPriority w:val="34"/>
    <w:qFormat/>
    <w:rsid w:val="006742B2"/>
    <w:pPr>
      <w:ind w:left="720"/>
      <w:contextualSpacing/>
    </w:pPr>
  </w:style>
  <w:style w:type="paragraph" w:styleId="Header">
    <w:name w:val="header"/>
    <w:basedOn w:val="Normal"/>
    <w:link w:val="HeaderChar"/>
    <w:uiPriority w:val="99"/>
    <w:unhideWhenUsed/>
    <w:rsid w:val="00BD7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FCE"/>
  </w:style>
  <w:style w:type="paragraph" w:styleId="Footer">
    <w:name w:val="footer"/>
    <w:basedOn w:val="Normal"/>
    <w:link w:val="FooterChar"/>
    <w:unhideWhenUsed/>
    <w:rsid w:val="00BD7FCE"/>
    <w:pPr>
      <w:tabs>
        <w:tab w:val="center" w:pos="4536"/>
        <w:tab w:val="right" w:pos="9072"/>
      </w:tabs>
      <w:spacing w:after="0" w:line="240" w:lineRule="auto"/>
    </w:pPr>
  </w:style>
  <w:style w:type="character" w:customStyle="1" w:styleId="FooterChar">
    <w:name w:val="Footer Char"/>
    <w:basedOn w:val="DefaultParagraphFont"/>
    <w:link w:val="Footer"/>
    <w:rsid w:val="00BD7FCE"/>
  </w:style>
  <w:style w:type="paragraph" w:customStyle="1" w:styleId="Chapitre">
    <w:name w:val="Chapitre"/>
    <w:basedOn w:val="Heading1"/>
    <w:link w:val="ChapitreCar"/>
    <w:rsid w:val="00BD7FCE"/>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BD7FCE"/>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D7FCE"/>
    <w:rPr>
      <w:rFonts w:asciiTheme="majorHAnsi" w:eastAsiaTheme="majorEastAsia" w:hAnsiTheme="majorHAnsi" w:cstheme="majorBidi"/>
      <w:color w:val="2E74B5" w:themeColor="accent1" w:themeShade="BF"/>
      <w:sz w:val="32"/>
      <w:szCs w:val="32"/>
    </w:rPr>
  </w:style>
  <w:style w:type="paragraph" w:customStyle="1" w:styleId="HO2">
    <w:name w:val="HO2"/>
    <w:basedOn w:val="Normal"/>
    <w:link w:val="HO2Car"/>
    <w:rsid w:val="00BD7FCE"/>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BD7FCE"/>
    <w:rPr>
      <w:rFonts w:ascii="Arial" w:eastAsia="Times New Roman" w:hAnsi="Arial" w:cs="Arial"/>
      <w:b/>
      <w:bCs/>
      <w:caps/>
      <w:noProof/>
      <w:snapToGrid w:val="0"/>
      <w:color w:val="3366FF"/>
      <w:kern w:val="28"/>
      <w:sz w:val="32"/>
      <w:szCs w:val="32"/>
      <w:lang w:val="en-US" w:eastAsia="zh-CN"/>
    </w:rPr>
  </w:style>
  <w:style w:type="paragraph" w:styleId="BalloonText">
    <w:name w:val="Balloon Text"/>
    <w:basedOn w:val="Normal"/>
    <w:link w:val="BalloonTextChar"/>
    <w:uiPriority w:val="99"/>
    <w:semiHidden/>
    <w:unhideWhenUsed/>
    <w:rsid w:val="00E5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D8"/>
    <w:rPr>
      <w:rFonts w:ascii="Tahoma" w:hAnsi="Tahoma" w:cs="Tahoma"/>
      <w:sz w:val="16"/>
      <w:szCs w:val="16"/>
    </w:rPr>
  </w:style>
  <w:style w:type="table" w:styleId="TableGrid">
    <w:name w:val="Table Grid"/>
    <w:basedOn w:val="TableNormal"/>
    <w:rsid w:val="003F33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3F3347"/>
    <w:pPr>
      <w:bidi/>
      <w:spacing w:after="200" w:line="240" w:lineRule="auto"/>
      <w:ind w:left="850"/>
      <w:jc w:val="both"/>
    </w:pPr>
    <w:rPr>
      <w:rFonts w:ascii="Arial" w:hAnsi="Arial" w:cs="Traditional Arabic"/>
      <w:szCs w:val="32"/>
      <w:lang w:bidi="ar-IQ"/>
    </w:rPr>
  </w:style>
  <w:style w:type="character" w:customStyle="1" w:styleId="BodyTextIndentChar">
    <w:name w:val="Body Text Indent Char"/>
    <w:basedOn w:val="DefaultParagraphFont"/>
    <w:link w:val="BodyTextIndent"/>
    <w:uiPriority w:val="99"/>
    <w:rsid w:val="003F3347"/>
    <w:rPr>
      <w:rFonts w:ascii="Arial" w:hAnsi="Arial" w:cs="Traditional Arabic"/>
      <w:szCs w:val="32"/>
      <w:lang w:bidi="ar-IQ"/>
    </w:rPr>
  </w:style>
  <w:style w:type="paragraph" w:styleId="BodyTextIndent2">
    <w:name w:val="Body Text Indent 2"/>
    <w:basedOn w:val="Normal"/>
    <w:link w:val="BodyTextIndent2Char"/>
    <w:uiPriority w:val="99"/>
    <w:unhideWhenUsed/>
    <w:rsid w:val="003F3347"/>
    <w:pPr>
      <w:bidi/>
      <w:spacing w:after="120" w:line="240" w:lineRule="auto"/>
      <w:ind w:left="850"/>
      <w:jc w:val="both"/>
    </w:pPr>
    <w:rPr>
      <w:rFonts w:ascii="Arial" w:hAnsi="Arial" w:cs="Traditional Arabic"/>
      <w:b/>
      <w:bCs/>
      <w:i/>
      <w:iCs/>
      <w:szCs w:val="32"/>
      <w:lang w:bidi="ar-IQ"/>
    </w:rPr>
  </w:style>
  <w:style w:type="character" w:customStyle="1" w:styleId="BodyTextIndent2Char">
    <w:name w:val="Body Text Indent 2 Char"/>
    <w:basedOn w:val="DefaultParagraphFont"/>
    <w:link w:val="BodyTextIndent2"/>
    <w:uiPriority w:val="99"/>
    <w:rsid w:val="003F3347"/>
    <w:rPr>
      <w:rFonts w:ascii="Arial" w:hAnsi="Arial" w:cs="Traditional Arabic"/>
      <w:b/>
      <w:bCs/>
      <w:i/>
      <w:iCs/>
      <w:szCs w:val="32"/>
      <w:lang w:bidi="ar-IQ"/>
    </w:rPr>
  </w:style>
  <w:style w:type="paragraph" w:styleId="BodyTextIndent3">
    <w:name w:val="Body Text Indent 3"/>
    <w:basedOn w:val="Normal"/>
    <w:link w:val="BodyTextIndent3Char"/>
    <w:uiPriority w:val="99"/>
    <w:unhideWhenUsed/>
    <w:rsid w:val="00634B06"/>
    <w:pPr>
      <w:bidi/>
      <w:spacing w:after="200" w:line="240" w:lineRule="auto"/>
      <w:ind w:left="490"/>
      <w:jc w:val="both"/>
    </w:pPr>
    <w:rPr>
      <w:rFonts w:ascii="Arial" w:hAnsi="Arial" w:cs="Traditional Arabic"/>
      <w:szCs w:val="32"/>
      <w:lang w:bidi="ar-IQ"/>
    </w:rPr>
  </w:style>
  <w:style w:type="character" w:customStyle="1" w:styleId="BodyTextIndent3Char">
    <w:name w:val="Body Text Indent 3 Char"/>
    <w:basedOn w:val="DefaultParagraphFont"/>
    <w:link w:val="BodyTextIndent3"/>
    <w:uiPriority w:val="99"/>
    <w:rsid w:val="00634B06"/>
    <w:rPr>
      <w:rFonts w:ascii="Arial" w:hAnsi="Arial" w:cs="Traditional Arabic"/>
      <w:szCs w:val="32"/>
      <w:lang w:bidi="ar-IQ"/>
    </w:rPr>
  </w:style>
  <w:style w:type="character" w:styleId="Hyperlink">
    <w:name w:val="Hyperlink"/>
    <w:basedOn w:val="DefaultParagraphFont"/>
    <w:uiPriority w:val="99"/>
    <w:unhideWhenUsed/>
    <w:rsid w:val="0075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97275">
      <w:bodyDiv w:val="1"/>
      <w:marLeft w:val="0"/>
      <w:marRight w:val="0"/>
      <w:marTop w:val="0"/>
      <w:marBottom w:val="0"/>
      <w:divBdr>
        <w:top w:val="none" w:sz="0" w:space="0" w:color="auto"/>
        <w:left w:val="none" w:sz="0" w:space="0" w:color="auto"/>
        <w:bottom w:val="none" w:sz="0" w:space="0" w:color="auto"/>
        <w:right w:val="none" w:sz="0" w:space="0" w:color="auto"/>
      </w:divBdr>
    </w:div>
    <w:div w:id="16328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ADF8-0D6D-4B0F-BEB9-66884526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Kaddoura, Maha</dc:creator>
  <cp:keywords/>
  <dc:description/>
  <cp:lastModifiedBy>Kim, Dain</cp:lastModifiedBy>
  <cp:revision>7</cp:revision>
  <dcterms:created xsi:type="dcterms:W3CDTF">2016-04-29T08:06:00Z</dcterms:created>
  <dcterms:modified xsi:type="dcterms:W3CDTF">2018-04-20T12:31:00Z</dcterms:modified>
</cp:coreProperties>
</file>