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E" w:rsidRPr="001E5B16" w:rsidRDefault="00BD7FCE" w:rsidP="001E5B16">
      <w:pPr>
        <w:pBdr>
          <w:bottom w:val="single" w:sz="4" w:space="1" w:color="3366FF"/>
        </w:pBdr>
        <w:bidi/>
        <w:spacing w:after="200" w:line="240" w:lineRule="auto"/>
        <w:rPr>
          <w:rFonts w:ascii="Traditional Arabic" w:hAnsi="Traditional Arabic" w:cs="Traditional Arabic"/>
          <w:b/>
          <w:bCs/>
          <w:color w:val="3366FF"/>
          <w:sz w:val="72"/>
          <w:szCs w:val="72"/>
          <w:rtl/>
          <w:lang w:val="en-US" w:bidi="ar-IQ"/>
        </w:rPr>
      </w:pPr>
      <w:bookmarkStart w:id="0" w:name="_Toc241229778"/>
      <w:bookmarkStart w:id="1" w:name="_Toc241229982"/>
      <w:bookmarkStart w:id="2" w:name="_Toc242165676"/>
      <w:r w:rsidRPr="001E5B16">
        <w:rPr>
          <w:rFonts w:ascii="Traditional Arabic" w:hAnsi="Traditional Arabic" w:cs="Traditional Arabic" w:hint="cs"/>
          <w:b/>
          <w:bCs/>
          <w:color w:val="3366FF"/>
          <w:sz w:val="72"/>
          <w:szCs w:val="72"/>
          <w:rtl/>
          <w:lang w:val="en-US" w:bidi="ar-IQ"/>
        </w:rPr>
        <w:t xml:space="preserve">الوحدة </w:t>
      </w:r>
      <w:r w:rsidR="00E512D8" w:rsidRPr="001E5B16">
        <w:rPr>
          <w:rFonts w:ascii="Traditional Arabic" w:hAnsi="Traditional Arabic" w:cs="Traditional Arabic" w:hint="cs"/>
          <w:b/>
          <w:bCs/>
          <w:color w:val="3366FF"/>
          <w:sz w:val="72"/>
          <w:szCs w:val="72"/>
          <w:rtl/>
          <w:lang w:val="en-US" w:bidi="ar-IQ"/>
        </w:rPr>
        <w:t>49</w:t>
      </w:r>
    </w:p>
    <w:bookmarkEnd w:id="0"/>
    <w:bookmarkEnd w:id="1"/>
    <w:bookmarkEnd w:id="2"/>
    <w:p w:rsidR="00BD7FCE" w:rsidRPr="006335AB" w:rsidRDefault="00BD7FCE" w:rsidP="006335AB">
      <w:pPr>
        <w:bidi/>
        <w:spacing w:after="0" w:line="240" w:lineRule="auto"/>
        <w:rPr>
          <w:rFonts w:ascii="Traditional Arabic" w:hAnsi="Traditional Arabic" w:cs="Traditional Arabic"/>
          <w:b/>
          <w:bCs/>
          <w:color w:val="3366FF"/>
          <w:sz w:val="40"/>
          <w:szCs w:val="40"/>
          <w:rtl/>
          <w:lang w:val="en-US" w:bidi="ar-IQ"/>
        </w:rPr>
      </w:pPr>
      <w:r w:rsidRPr="006335AB">
        <w:rPr>
          <w:rFonts w:ascii="Traditional Arabic" w:hAnsi="Traditional Arabic" w:cs="Traditional Arabic" w:hint="cs"/>
          <w:b/>
          <w:bCs/>
          <w:color w:val="3366FF"/>
          <w:sz w:val="40"/>
          <w:szCs w:val="40"/>
          <w:rtl/>
          <w:lang w:val="en-US" w:bidi="ar-IQ"/>
        </w:rPr>
        <w:t>الورقة</w:t>
      </w:r>
      <w:r w:rsidRPr="006335AB">
        <w:rPr>
          <w:rFonts w:ascii="Traditional Arabic" w:hAnsi="Traditional Arabic" w:cs="Traditional Arabic"/>
          <w:b/>
          <w:bCs/>
          <w:color w:val="3366FF"/>
          <w:sz w:val="40"/>
          <w:szCs w:val="40"/>
          <w:rtl/>
          <w:lang w:val="en-US" w:bidi="ar-IQ"/>
        </w:rPr>
        <w:t xml:space="preserve"> </w:t>
      </w:r>
      <w:r w:rsidR="009542EE" w:rsidRPr="006335AB">
        <w:rPr>
          <w:rFonts w:ascii="Traditional Arabic" w:hAnsi="Traditional Arabic" w:cs="Traditional Arabic" w:hint="cs"/>
          <w:b/>
          <w:bCs/>
          <w:color w:val="3366FF"/>
          <w:sz w:val="40"/>
          <w:szCs w:val="40"/>
          <w:rtl/>
          <w:lang w:val="en-US" w:bidi="ar-IQ"/>
        </w:rPr>
        <w:t>التاسعة</w:t>
      </w:r>
      <w:r w:rsidRPr="006335AB">
        <w:rPr>
          <w:rFonts w:ascii="Traditional Arabic" w:hAnsi="Traditional Arabic" w:cs="Traditional Arabic" w:hint="cs"/>
          <w:b/>
          <w:bCs/>
          <w:color w:val="3366FF"/>
          <w:sz w:val="40"/>
          <w:szCs w:val="40"/>
          <w:rtl/>
          <w:lang w:val="en-US" w:bidi="ar-IQ"/>
        </w:rPr>
        <w:t xml:space="preserve"> المعدة</w:t>
      </w:r>
      <w:r w:rsidRPr="006335AB">
        <w:rPr>
          <w:rFonts w:ascii="Traditional Arabic" w:hAnsi="Traditional Arabic" w:cs="Traditional Arabic"/>
          <w:b/>
          <w:bCs/>
          <w:color w:val="3366FF"/>
          <w:sz w:val="40"/>
          <w:szCs w:val="40"/>
          <w:rtl/>
          <w:lang w:val="en-US" w:bidi="ar-IQ"/>
        </w:rPr>
        <w:t xml:space="preserve"> </w:t>
      </w:r>
      <w:r w:rsidRPr="006335AB">
        <w:rPr>
          <w:rFonts w:ascii="Traditional Arabic" w:hAnsi="Traditional Arabic" w:cs="Traditional Arabic" w:hint="cs"/>
          <w:b/>
          <w:bCs/>
          <w:color w:val="3366FF"/>
          <w:sz w:val="40"/>
          <w:szCs w:val="40"/>
          <w:rtl/>
          <w:lang w:val="en-US" w:bidi="ar-IQ"/>
        </w:rPr>
        <w:t>للتوزيع</w:t>
      </w:r>
      <w:r w:rsidRPr="006335AB">
        <w:rPr>
          <w:rFonts w:ascii="Traditional Arabic" w:hAnsi="Traditional Arabic" w:cs="Traditional Arabic"/>
          <w:b/>
          <w:bCs/>
          <w:color w:val="3366FF"/>
          <w:sz w:val="40"/>
          <w:szCs w:val="40"/>
          <w:rtl/>
          <w:lang w:val="en-US" w:bidi="ar-IQ"/>
        </w:rPr>
        <w:t>:</w:t>
      </w:r>
    </w:p>
    <w:p w:rsidR="00D76B8A" w:rsidRPr="001E5B16" w:rsidRDefault="00D93E60" w:rsidP="001E5B16">
      <w:pPr>
        <w:bidi/>
        <w:spacing w:after="200" w:line="240" w:lineRule="auto"/>
        <w:rPr>
          <w:rFonts w:ascii="Traditional Arabic" w:hAnsi="Traditional Arabic" w:cs="Traditional Arabic"/>
          <w:b/>
          <w:bCs/>
          <w:color w:val="3366FF"/>
          <w:sz w:val="48"/>
          <w:szCs w:val="48"/>
          <w:rtl/>
          <w:lang w:val="en-US" w:bidi="ar-IQ"/>
        </w:rPr>
      </w:pPr>
      <w:r w:rsidRPr="001E5B16">
        <w:rPr>
          <w:rFonts w:ascii="Traditional Arabic" w:hAnsi="Traditional Arabic" w:cs="Traditional Arabic" w:hint="cs"/>
          <w:b/>
          <w:bCs/>
          <w:color w:val="3366FF"/>
          <w:sz w:val="48"/>
          <w:szCs w:val="48"/>
          <w:rtl/>
          <w:lang w:val="en-US" w:bidi="ar-IQ"/>
        </w:rPr>
        <w:t>مثال</w:t>
      </w:r>
      <w:r w:rsidR="00D76B8A" w:rsidRPr="001E5B16">
        <w:rPr>
          <w:rFonts w:ascii="Traditional Arabic" w:hAnsi="Traditional Arabic" w:cs="Traditional Arabic" w:hint="cs"/>
          <w:b/>
          <w:bCs/>
          <w:color w:val="3366FF"/>
          <w:sz w:val="48"/>
          <w:szCs w:val="48"/>
          <w:rtl/>
          <w:lang w:val="en-US" w:bidi="ar-IQ"/>
        </w:rPr>
        <w:t xml:space="preserve"> (وهمي)</w:t>
      </w:r>
      <w:r w:rsidRPr="001E5B16">
        <w:rPr>
          <w:rFonts w:ascii="Traditional Arabic" w:hAnsi="Traditional Arabic" w:cs="Traditional Arabic" w:hint="cs"/>
          <w:b/>
          <w:bCs/>
          <w:color w:val="3366FF"/>
          <w:sz w:val="48"/>
          <w:szCs w:val="48"/>
          <w:rtl/>
          <w:lang w:val="en-US" w:bidi="ar-IQ"/>
        </w:rPr>
        <w:t xml:space="preserve"> عن خطة وطنية لصون التراث الثقافي غير المادي</w:t>
      </w:r>
    </w:p>
    <w:p w:rsidR="00B467C0" w:rsidRPr="001E5B16" w:rsidRDefault="00D76B8A" w:rsidP="001E5B16">
      <w:pPr>
        <w:bidi/>
        <w:spacing w:after="200" w:line="240" w:lineRule="auto"/>
        <w:ind w:left="851"/>
        <w:jc w:val="both"/>
        <w:rPr>
          <w:rFonts w:ascii="Traditional Arabic" w:hAnsi="Traditional Arabic" w:cs="Traditional Arabic"/>
          <w:color w:val="231F20"/>
          <w:sz w:val="32"/>
          <w:szCs w:val="32"/>
          <w:rtl/>
        </w:rPr>
      </w:pPr>
      <w:r w:rsidRPr="001E5B16">
        <w:rPr>
          <w:rFonts w:ascii="Traditional Arabic" w:hAnsi="Traditional Arabic" w:cs="Traditional Arabic" w:hint="cs"/>
          <w:color w:val="231F20"/>
          <w:sz w:val="32"/>
          <w:szCs w:val="32"/>
          <w:rtl/>
        </w:rPr>
        <w:t xml:space="preserve">أطلقنا على هذه الخطة الوهمية اسم </w:t>
      </w:r>
      <w:r w:rsidRPr="001E5B16">
        <w:rPr>
          <w:rFonts w:ascii="Traditional Arabic" w:hAnsi="Traditional Arabic" w:cs="Traditional Arabic" w:hint="cs"/>
          <w:i/>
          <w:iCs/>
          <w:color w:val="231F20"/>
          <w:sz w:val="32"/>
          <w:szCs w:val="32"/>
          <w:rtl/>
        </w:rPr>
        <w:t>الخطة الوطنية لصون التراث الثقافي غير المادي</w:t>
      </w:r>
      <w:r w:rsidRPr="001E5B16">
        <w:rPr>
          <w:rFonts w:ascii="Traditional Arabic" w:hAnsi="Traditional Arabic" w:cs="Traditional Arabic" w:hint="cs"/>
          <w:color w:val="231F20"/>
          <w:sz w:val="32"/>
          <w:szCs w:val="32"/>
          <w:rtl/>
        </w:rPr>
        <w:t xml:space="preserve"> لفيروزستان، وهو بلد صار </w:t>
      </w:r>
      <w:r w:rsidR="00300A93" w:rsidRPr="001E5B16">
        <w:rPr>
          <w:rFonts w:ascii="Traditional Arabic" w:hAnsi="Traditional Arabic" w:cs="Traditional Arabic" w:hint="cs"/>
          <w:color w:val="231F20"/>
          <w:sz w:val="32"/>
          <w:szCs w:val="32"/>
          <w:rtl/>
        </w:rPr>
        <w:t xml:space="preserve">(بموجب هذا السيناريو المتخيَّل) </w:t>
      </w:r>
      <w:r w:rsidRPr="001E5B16">
        <w:rPr>
          <w:rFonts w:ascii="Traditional Arabic" w:hAnsi="Traditional Arabic" w:cs="Traditional Arabic" w:hint="cs"/>
          <w:color w:val="231F20"/>
          <w:sz w:val="32"/>
          <w:szCs w:val="32"/>
          <w:rtl/>
        </w:rPr>
        <w:t xml:space="preserve">طرفاً في اتفاقية 2003 منذ عام </w:t>
      </w:r>
      <w:r w:rsidR="00300A93" w:rsidRPr="001E5B16">
        <w:rPr>
          <w:rFonts w:ascii="Traditional Arabic" w:hAnsi="Traditional Arabic" w:cs="Traditional Arabic" w:hint="cs"/>
          <w:color w:val="231F20"/>
          <w:sz w:val="32"/>
          <w:szCs w:val="32"/>
          <w:rtl/>
        </w:rPr>
        <w:t>2004</w:t>
      </w:r>
      <w:r w:rsidRPr="001E5B16">
        <w:rPr>
          <w:rFonts w:ascii="Traditional Arabic" w:hAnsi="Traditional Arabic" w:cs="Traditional Arabic" w:hint="cs"/>
          <w:color w:val="231F20"/>
          <w:sz w:val="32"/>
          <w:szCs w:val="32"/>
          <w:rtl/>
        </w:rPr>
        <w:t>.</w:t>
      </w:r>
      <w:r w:rsidR="00300A93" w:rsidRPr="001E5B16">
        <w:rPr>
          <w:rFonts w:ascii="Traditional Arabic" w:hAnsi="Traditional Arabic" w:cs="Traditional Arabic" w:hint="cs"/>
          <w:color w:val="231F20"/>
          <w:sz w:val="32"/>
          <w:szCs w:val="32"/>
          <w:rtl/>
        </w:rPr>
        <w:t xml:space="preserve"> وقام منذ ثم في عام 2005 بإعادة النظر في تشريعاته المتعلقة بالتراث الثقافي غير المادي، ووضع بالتالي هذه الخطة الوطنية لصون التراث الثقافي غير المادي. وهي خطة يمتد افقها لخمسة عشر عاماً مع إجراء تقييم كل خمس سنوات. وقد أنقضى التقييم الخماسي الأول وصرنا في انتظار التقييم الخماسي الثاني الذي هو الآن قيد التنفيذ، ويجري النظر في تعديلات مهمة من أجل</w:t>
      </w:r>
      <w:r w:rsidR="00AF17F8">
        <w:rPr>
          <w:rFonts w:ascii="Traditional Arabic" w:hAnsi="Traditional Arabic" w:cs="Traditional Arabic" w:hint="cs"/>
          <w:color w:val="231F20"/>
          <w:sz w:val="32"/>
          <w:szCs w:val="32"/>
          <w:rtl/>
        </w:rPr>
        <w:t xml:space="preserve"> </w:t>
      </w:r>
      <w:r w:rsidR="00814360" w:rsidRPr="001E5B16">
        <w:rPr>
          <w:rFonts w:ascii="Traditional Arabic" w:hAnsi="Traditional Arabic" w:cs="Traditional Arabic" w:hint="cs"/>
          <w:color w:val="231F20"/>
          <w:sz w:val="32"/>
          <w:szCs w:val="32"/>
          <w:rtl/>
        </w:rPr>
        <w:t>وضع هذه الخطة بمستوى التفكير الحالي بشأن تنفيذ اتفاقية عام 2003.</w:t>
      </w:r>
    </w:p>
    <w:p w:rsidR="006B7BC1" w:rsidRPr="001E5B16" w:rsidRDefault="00814360" w:rsidP="001E5B16">
      <w:pPr>
        <w:bidi/>
        <w:spacing w:after="200" w:line="240" w:lineRule="auto"/>
        <w:ind w:left="851"/>
        <w:jc w:val="both"/>
        <w:rPr>
          <w:rFonts w:ascii="Traditional Arabic" w:hAnsi="Traditional Arabic" w:cs="Traditional Arabic"/>
          <w:color w:val="231F20"/>
          <w:sz w:val="32"/>
          <w:szCs w:val="32"/>
          <w:rtl/>
        </w:rPr>
      </w:pPr>
      <w:r w:rsidRPr="001E5B16">
        <w:rPr>
          <w:rFonts w:ascii="Traditional Arabic" w:hAnsi="Traditional Arabic" w:cs="Traditional Arabic" w:hint="cs"/>
          <w:color w:val="231F20"/>
          <w:sz w:val="32"/>
          <w:szCs w:val="32"/>
          <w:rtl/>
        </w:rPr>
        <w:t>وأنت أحد أعضاء اللجنة الوطنية المشتركة بين التخصصات المعنية بالتراث الثقافي غير المادي</w:t>
      </w:r>
      <w:r w:rsidR="00C63688" w:rsidRPr="001E5B16">
        <w:rPr>
          <w:rFonts w:ascii="Traditional Arabic" w:hAnsi="Traditional Arabic" w:cs="Traditional Arabic" w:hint="cs"/>
          <w:color w:val="231F20"/>
          <w:sz w:val="32"/>
          <w:szCs w:val="32"/>
          <w:rtl/>
        </w:rPr>
        <w:t xml:space="preserve"> والمتألفة من أعضاء في إدارة الدولة، وممثلي المنظمات الإقليمية، وخبراء خارجيين، وممثلي المنظمات غير الحكومية والجمعيات الأهلية، والتي أنشئت لتنسيق ورصد الإجراءات المتخذة بموجب الخطة الوطنة والمكلَّفة الآن </w:t>
      </w:r>
      <w:r w:rsidR="006B7BC1" w:rsidRPr="001E5B16">
        <w:rPr>
          <w:rFonts w:ascii="Traditional Arabic" w:hAnsi="Traditional Arabic" w:cs="Traditional Arabic" w:hint="cs"/>
          <w:color w:val="231F20"/>
          <w:sz w:val="32"/>
          <w:szCs w:val="32"/>
          <w:rtl/>
        </w:rPr>
        <w:t>بمراجعة هذه الخطة وما ترسمه من سياسات في مجال التراث الثقافي غير المادي.</w:t>
      </w:r>
    </w:p>
    <w:p w:rsidR="00814360" w:rsidRPr="001E5B16" w:rsidRDefault="006B7BC1" w:rsidP="001E5B16">
      <w:pPr>
        <w:bidi/>
        <w:spacing w:after="200" w:line="240" w:lineRule="auto"/>
        <w:ind w:left="851"/>
        <w:jc w:val="both"/>
        <w:rPr>
          <w:rFonts w:ascii="Traditional Arabic" w:hAnsi="Traditional Arabic" w:cs="Traditional Arabic"/>
          <w:color w:val="231F20"/>
          <w:sz w:val="32"/>
          <w:szCs w:val="32"/>
          <w:rtl/>
        </w:rPr>
      </w:pPr>
      <w:r w:rsidRPr="001E5B16">
        <w:rPr>
          <w:rFonts w:ascii="Traditional Arabic" w:hAnsi="Traditional Arabic" w:cs="Traditional Arabic" w:hint="cs"/>
          <w:color w:val="231F20"/>
          <w:sz w:val="32"/>
          <w:szCs w:val="32"/>
          <w:rtl/>
        </w:rPr>
        <w:t xml:space="preserve">ومن الأولويات الجديدة التي تم تحديدها في سياق مراجعة الخطة الوطنية ضرورة ادماج قضايا الجنسين في سياسات </w:t>
      </w:r>
      <w:r w:rsidR="00D9555B" w:rsidRPr="001E5B16">
        <w:rPr>
          <w:rFonts w:ascii="Traditional Arabic" w:hAnsi="Traditional Arabic" w:cs="Traditional Arabic" w:hint="cs"/>
          <w:color w:val="231F20"/>
          <w:sz w:val="32"/>
          <w:szCs w:val="32"/>
          <w:rtl/>
        </w:rPr>
        <w:t>وبرامج صون التراث الثقافي غير المادي وهو ما يُبحث ويُناقش حالياً</w:t>
      </w:r>
      <w:r w:rsidR="00AF17F8">
        <w:rPr>
          <w:rFonts w:ascii="Traditional Arabic" w:hAnsi="Traditional Arabic" w:cs="Traditional Arabic" w:hint="cs"/>
          <w:color w:val="231F20"/>
          <w:sz w:val="32"/>
          <w:szCs w:val="32"/>
          <w:rtl/>
        </w:rPr>
        <w:t xml:space="preserve"> </w:t>
      </w:r>
      <w:r w:rsidR="00D9555B" w:rsidRPr="001E5B16">
        <w:rPr>
          <w:rFonts w:ascii="Traditional Arabic" w:hAnsi="Traditional Arabic" w:cs="Traditional Arabic" w:hint="cs"/>
          <w:color w:val="231F20"/>
          <w:sz w:val="32"/>
          <w:szCs w:val="32"/>
          <w:rtl/>
        </w:rPr>
        <w:t>في اللجنة، مع الأخذ في الاعتبار العمل الجاري للجنة الحكومية الدولية</w:t>
      </w:r>
      <w:r w:rsidR="00C63688" w:rsidRPr="001E5B16">
        <w:rPr>
          <w:rFonts w:ascii="Traditional Arabic" w:hAnsi="Traditional Arabic" w:cs="Traditional Arabic" w:hint="cs"/>
          <w:color w:val="231F20"/>
          <w:sz w:val="32"/>
          <w:szCs w:val="32"/>
          <w:rtl/>
        </w:rPr>
        <w:t xml:space="preserve"> </w:t>
      </w:r>
      <w:r w:rsidR="00D9555B" w:rsidRPr="001E5B16">
        <w:rPr>
          <w:rFonts w:ascii="Traditional Arabic" w:hAnsi="Traditional Arabic" w:cs="Traditional Arabic" w:hint="cs"/>
          <w:color w:val="231F20"/>
          <w:sz w:val="32"/>
          <w:szCs w:val="32"/>
          <w:rtl/>
        </w:rPr>
        <w:t>لاتفاقية عام 2003 في هذا المجال.</w:t>
      </w:r>
    </w:p>
    <w:p w:rsidR="00D9555B" w:rsidRPr="001E5B16" w:rsidRDefault="00D9555B" w:rsidP="001E5B16">
      <w:pPr>
        <w:bidi/>
        <w:spacing w:after="200" w:line="240" w:lineRule="auto"/>
        <w:ind w:left="851"/>
        <w:jc w:val="both"/>
        <w:rPr>
          <w:rFonts w:ascii="Traditional Arabic" w:hAnsi="Traditional Arabic" w:cs="Traditional Arabic"/>
          <w:color w:val="231F20"/>
          <w:sz w:val="32"/>
          <w:szCs w:val="32"/>
          <w:rtl/>
        </w:rPr>
      </w:pPr>
      <w:r w:rsidRPr="001E5B16">
        <w:rPr>
          <w:rFonts w:ascii="Traditional Arabic" w:hAnsi="Traditional Arabic" w:cs="Traditional Arabic" w:hint="cs"/>
          <w:color w:val="231F20"/>
          <w:sz w:val="32"/>
          <w:szCs w:val="32"/>
          <w:rtl/>
        </w:rPr>
        <w:t xml:space="preserve">ويرد فيما يلي عرض موجز للخطة الوطنية القائمة. والمطلوب منك أن </w:t>
      </w:r>
      <w:r w:rsidR="00B807F1" w:rsidRPr="001E5B16">
        <w:rPr>
          <w:rFonts w:ascii="Traditional Arabic" w:hAnsi="Traditional Arabic" w:cs="Traditional Arabic" w:hint="cs"/>
          <w:color w:val="231F20"/>
          <w:sz w:val="32"/>
          <w:szCs w:val="32"/>
          <w:rtl/>
        </w:rPr>
        <w:t xml:space="preserve">تقترح المجالات التي يمكن أن يشملها التعديل والتي </w:t>
      </w:r>
      <w:r w:rsidR="000F5D06" w:rsidRPr="001E5B16">
        <w:rPr>
          <w:rFonts w:ascii="Traditional Arabic" w:hAnsi="Traditional Arabic" w:cs="Traditional Arabic" w:hint="cs"/>
          <w:color w:val="231F20"/>
          <w:sz w:val="32"/>
          <w:szCs w:val="32"/>
          <w:rtl/>
        </w:rPr>
        <w:t>ستعبر</w:t>
      </w:r>
      <w:r w:rsidR="00B807F1" w:rsidRPr="001E5B16">
        <w:rPr>
          <w:rFonts w:ascii="Traditional Arabic" w:hAnsi="Traditional Arabic" w:cs="Traditional Arabic" w:hint="cs"/>
          <w:color w:val="231F20"/>
          <w:sz w:val="32"/>
          <w:szCs w:val="32"/>
          <w:rtl/>
        </w:rPr>
        <w:t xml:space="preserve"> تعبيراً جيداً عن </w:t>
      </w:r>
      <w:r w:rsidR="000F5D06" w:rsidRPr="001E5B16">
        <w:rPr>
          <w:rFonts w:ascii="Traditional Arabic" w:hAnsi="Traditional Arabic" w:cs="Traditional Arabic" w:hint="cs"/>
          <w:color w:val="231F20"/>
          <w:sz w:val="32"/>
          <w:szCs w:val="32"/>
          <w:rtl/>
        </w:rPr>
        <w:t>ديناميات قضايا الجنسين في التراث الثقافي غير المادي وضمن الجماعات الثقافية، مع الأخذ في الحسبان الهدفين التوأمين</w:t>
      </w:r>
      <w:r w:rsidR="002B370E" w:rsidRPr="001E5B16">
        <w:rPr>
          <w:rFonts w:ascii="Traditional Arabic" w:hAnsi="Traditional Arabic" w:cs="Traditional Arabic" w:hint="cs"/>
          <w:color w:val="231F20"/>
          <w:sz w:val="32"/>
          <w:szCs w:val="32"/>
          <w:rtl/>
        </w:rPr>
        <w:t>: اي المساواة بين الجنسين والتنمية المستدامة.</w:t>
      </w:r>
    </w:p>
    <w:p w:rsidR="00AF17F8" w:rsidRDefault="00AF17F8" w:rsidP="001E5B16">
      <w:pPr>
        <w:bidi/>
        <w:spacing w:after="200" w:line="240" w:lineRule="auto"/>
        <w:ind w:left="851"/>
        <w:jc w:val="both"/>
        <w:rPr>
          <w:rFonts w:ascii="Traditional Arabic" w:hAnsi="Traditional Arabic" w:cs="Traditional Arabic"/>
          <w:b/>
          <w:bCs/>
          <w:color w:val="231F20"/>
          <w:sz w:val="32"/>
          <w:szCs w:val="32"/>
          <w:rtl/>
        </w:rPr>
      </w:pPr>
    </w:p>
    <w:p w:rsidR="002B370E" w:rsidRPr="001E5B16" w:rsidRDefault="002B370E" w:rsidP="00AF17F8">
      <w:pPr>
        <w:bidi/>
        <w:spacing w:after="200" w:line="240" w:lineRule="auto"/>
        <w:ind w:left="851"/>
        <w:jc w:val="both"/>
        <w:rPr>
          <w:rFonts w:ascii="Traditional Arabic" w:hAnsi="Traditional Arabic" w:cs="Traditional Arabic"/>
          <w:b/>
          <w:bCs/>
          <w:color w:val="231F20"/>
          <w:sz w:val="32"/>
          <w:szCs w:val="32"/>
          <w:rtl/>
        </w:rPr>
      </w:pPr>
      <w:r w:rsidRPr="001E5B16">
        <w:rPr>
          <w:rFonts w:ascii="Traditional Arabic" w:hAnsi="Traditional Arabic" w:cs="Traditional Arabic" w:hint="cs"/>
          <w:b/>
          <w:bCs/>
          <w:color w:val="231F20"/>
          <w:sz w:val="32"/>
          <w:szCs w:val="32"/>
          <w:rtl/>
        </w:rPr>
        <w:lastRenderedPageBreak/>
        <w:t>ملاحظة للمشاركين:</w:t>
      </w:r>
    </w:p>
    <w:p w:rsidR="002B370E" w:rsidRPr="001E5B16" w:rsidRDefault="002B370E" w:rsidP="001E5B16">
      <w:pPr>
        <w:bidi/>
        <w:spacing w:after="200" w:line="240" w:lineRule="auto"/>
        <w:ind w:left="851"/>
        <w:jc w:val="both"/>
        <w:rPr>
          <w:rFonts w:ascii="Traditional Arabic" w:hAnsi="Traditional Arabic" w:cs="Traditional Arabic"/>
          <w:color w:val="231F20"/>
          <w:sz w:val="32"/>
          <w:szCs w:val="32"/>
          <w:rtl/>
        </w:rPr>
      </w:pPr>
      <w:r w:rsidRPr="001E5B16">
        <w:rPr>
          <w:rFonts w:ascii="Traditional Arabic" w:hAnsi="Traditional Arabic" w:cs="Traditional Arabic" w:hint="cs"/>
          <w:color w:val="231F20"/>
          <w:sz w:val="32"/>
          <w:szCs w:val="32"/>
          <w:rtl/>
        </w:rPr>
        <w:t>تشمل الأهداف الأساسية لاستراتيجية الصون الواعية والمراعية لقضايا الجنسين ما يلي:</w:t>
      </w:r>
    </w:p>
    <w:p w:rsidR="002B370E" w:rsidRPr="001E5B16" w:rsidRDefault="002B370E"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 xml:space="preserve">تعزيز الوعي </w:t>
      </w:r>
      <w:r w:rsidR="00AF17F8" w:rsidRPr="001E5B16">
        <w:rPr>
          <w:rFonts w:ascii="Traditional Arabic" w:hAnsi="Traditional Arabic" w:cs="Traditional Arabic" w:hint="cs"/>
          <w:color w:val="231F20"/>
          <w:sz w:val="32"/>
          <w:szCs w:val="32"/>
          <w:rtl/>
        </w:rPr>
        <w:t>بشأن</w:t>
      </w:r>
      <w:r w:rsidRPr="001E5B16">
        <w:rPr>
          <w:rFonts w:ascii="Traditional Arabic" w:hAnsi="Traditional Arabic" w:cs="Traditional Arabic" w:hint="cs"/>
          <w:color w:val="231F20"/>
          <w:sz w:val="32"/>
          <w:szCs w:val="32"/>
          <w:rtl/>
        </w:rPr>
        <w:t xml:space="preserve"> قضايا الجنسين في الوكالات الحكومية</w:t>
      </w:r>
      <w:r w:rsidR="00764A59" w:rsidRPr="001E5B16">
        <w:rPr>
          <w:rFonts w:ascii="Traditional Arabic" w:hAnsi="Traditional Arabic" w:cs="Traditional Arabic" w:hint="cs"/>
          <w:color w:val="231F20"/>
          <w:sz w:val="32"/>
          <w:szCs w:val="32"/>
          <w:rtl/>
        </w:rPr>
        <w:t xml:space="preserve"> ولدى الخبراء.</w:t>
      </w:r>
    </w:p>
    <w:p w:rsidR="00764A59" w:rsidRPr="001E5B16" w:rsidRDefault="00764A59"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تعزيز الوعي بشأن قضايا داخل المجتمعات المحلية أو الجماعات.</w:t>
      </w:r>
    </w:p>
    <w:p w:rsidR="00D405E3" w:rsidRPr="001E5B16" w:rsidRDefault="00C3443F"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تحقيق</w:t>
      </w:r>
      <w:r w:rsidR="00AF17F8">
        <w:rPr>
          <w:rFonts w:ascii="Traditional Arabic" w:hAnsi="Traditional Arabic" w:cs="Traditional Arabic"/>
          <w:color w:val="231F20"/>
          <w:sz w:val="32"/>
          <w:szCs w:val="32"/>
          <w:rtl/>
        </w:rPr>
        <w:t xml:space="preserve"> </w:t>
      </w:r>
      <w:r w:rsidRPr="001E5B16">
        <w:rPr>
          <w:rFonts w:ascii="Traditional Arabic" w:hAnsi="Traditional Arabic" w:cs="Traditional Arabic" w:hint="cs"/>
          <w:color w:val="231F20"/>
          <w:sz w:val="32"/>
          <w:szCs w:val="32"/>
          <w:rtl/>
        </w:rPr>
        <w:t xml:space="preserve">أقصى الاستفادة من إمكانات التراث الثقافي غير المادي في توسيع نطاق القيمة الاجتماعية والثقافية </w:t>
      </w:r>
      <w:r w:rsidR="00D405E3" w:rsidRPr="001E5B16">
        <w:rPr>
          <w:rFonts w:ascii="Traditional Arabic" w:hAnsi="Traditional Arabic" w:cs="Traditional Arabic" w:hint="cs"/>
          <w:color w:val="231F20"/>
          <w:sz w:val="32"/>
          <w:szCs w:val="32"/>
          <w:rtl/>
        </w:rPr>
        <w:t>والاقتصادية لمهارات ودرايات المجموعات المهمشة.</w:t>
      </w:r>
    </w:p>
    <w:p w:rsidR="00764A59" w:rsidRPr="001E5B16" w:rsidRDefault="00D405E3"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 xml:space="preserve">تطوير مبادرات قائمة على المجتمع المحلي أو الجماعة، منها </w:t>
      </w:r>
      <w:r w:rsidR="00467551" w:rsidRPr="001E5B16">
        <w:rPr>
          <w:rFonts w:ascii="Traditional Arabic" w:hAnsi="Traditional Arabic" w:cs="Traditional Arabic" w:hint="cs"/>
          <w:color w:val="231F20"/>
          <w:sz w:val="32"/>
          <w:szCs w:val="32"/>
          <w:rtl/>
        </w:rPr>
        <w:t>مبادرة ل</w:t>
      </w:r>
      <w:r w:rsidRPr="001E5B16">
        <w:rPr>
          <w:rFonts w:ascii="Traditional Arabic" w:hAnsi="Traditional Arabic" w:cs="Traditional Arabic" w:hint="cs"/>
          <w:color w:val="231F20"/>
          <w:sz w:val="32"/>
          <w:szCs w:val="32"/>
          <w:rtl/>
        </w:rPr>
        <w:t xml:space="preserve">بناء القدرات داخل المجتمعات المحلية والجماعات </w:t>
      </w:r>
      <w:r w:rsidR="00467551" w:rsidRPr="001E5B16">
        <w:rPr>
          <w:rFonts w:ascii="Traditional Arabic" w:hAnsi="Traditional Arabic" w:cs="Traditional Arabic" w:hint="cs"/>
          <w:color w:val="231F20"/>
          <w:sz w:val="32"/>
          <w:szCs w:val="32"/>
          <w:rtl/>
        </w:rPr>
        <w:t>تأخذ</w:t>
      </w:r>
      <w:r w:rsidRPr="001E5B16">
        <w:rPr>
          <w:rFonts w:ascii="Traditional Arabic" w:hAnsi="Traditional Arabic" w:cs="Traditional Arabic" w:hint="cs"/>
          <w:color w:val="231F20"/>
          <w:sz w:val="32"/>
          <w:szCs w:val="32"/>
          <w:rtl/>
        </w:rPr>
        <w:t xml:space="preserve"> بعين الاعتبار </w:t>
      </w:r>
      <w:r w:rsidR="00467551" w:rsidRPr="001E5B16">
        <w:rPr>
          <w:rFonts w:ascii="Traditional Arabic" w:hAnsi="Traditional Arabic" w:cs="Traditional Arabic" w:hint="cs"/>
          <w:color w:val="231F20"/>
          <w:sz w:val="32"/>
          <w:szCs w:val="32"/>
          <w:rtl/>
        </w:rPr>
        <w:t>بصورة مناسبة وفعالة البعد الجنساني.</w:t>
      </w:r>
    </w:p>
    <w:p w:rsidR="00467551" w:rsidRPr="001E5B16" w:rsidRDefault="00467551"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ضمان أن تحترم تدابير الصون المساواة بين الجنسين.</w:t>
      </w:r>
    </w:p>
    <w:p w:rsidR="00467551" w:rsidRPr="001E5B16" w:rsidRDefault="00467551" w:rsidP="001E5B16">
      <w:pPr>
        <w:pStyle w:val="ListParagraph"/>
        <w:numPr>
          <w:ilvl w:val="0"/>
          <w:numId w:val="7"/>
        </w:numPr>
        <w:bidi/>
        <w:spacing w:after="20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 xml:space="preserve">تجنب احتمال الإضرار بالتراث الثقافي غير المادي و/أو </w:t>
      </w:r>
      <w:r w:rsidR="00702526" w:rsidRPr="001E5B16">
        <w:rPr>
          <w:rFonts w:ascii="Traditional Arabic" w:hAnsi="Traditional Arabic" w:cs="Traditional Arabic" w:hint="cs"/>
          <w:color w:val="231F20"/>
          <w:sz w:val="32"/>
          <w:szCs w:val="32"/>
          <w:rtl/>
        </w:rPr>
        <w:t>بالموزنات الجنسانية الهشة داخل المجتمع المحلي أو الجماعة.</w:t>
      </w:r>
    </w:p>
    <w:p w:rsidR="00702526" w:rsidRPr="001E5B16" w:rsidRDefault="00702526" w:rsidP="001E5B16">
      <w:pPr>
        <w:bidi/>
        <w:spacing w:after="200" w:line="240" w:lineRule="auto"/>
        <w:ind w:left="851"/>
        <w:jc w:val="both"/>
        <w:rPr>
          <w:rFonts w:ascii="Traditional Arabic" w:hAnsi="Traditional Arabic" w:cs="Traditional Arabic"/>
          <w:b/>
          <w:bCs/>
          <w:color w:val="231F20"/>
          <w:sz w:val="32"/>
          <w:szCs w:val="32"/>
          <w:rtl/>
        </w:rPr>
      </w:pPr>
      <w:r w:rsidRPr="001E5B16">
        <w:rPr>
          <w:rFonts w:ascii="Traditional Arabic" w:hAnsi="Traditional Arabic" w:cs="Traditional Arabic" w:hint="cs"/>
          <w:b/>
          <w:bCs/>
          <w:color w:val="231F20"/>
          <w:sz w:val="32"/>
          <w:szCs w:val="32"/>
          <w:rtl/>
        </w:rPr>
        <w:t>الخطة الوطنية لصون التراث الثقافي غير المادي في فيروزستان</w:t>
      </w:r>
    </w:p>
    <w:p w:rsidR="00702526" w:rsidRPr="00AF17F8" w:rsidRDefault="00702526" w:rsidP="00AF17F8">
      <w:pPr>
        <w:pStyle w:val="Heading2"/>
        <w:rPr>
          <w:rtl/>
        </w:rPr>
      </w:pPr>
      <w:r w:rsidRPr="00AF17F8">
        <w:rPr>
          <w:rFonts w:hint="cs"/>
          <w:rtl/>
        </w:rPr>
        <w:t>الأهداف الرئيسة للخطة الوطنية</w:t>
      </w:r>
    </w:p>
    <w:p w:rsidR="00702526" w:rsidRPr="001E5B16" w:rsidRDefault="00702526"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إنشاء إطار مفاهيمي متفق عليه ل</w:t>
      </w:r>
      <w:r w:rsidR="00C43FFA" w:rsidRPr="001E5B16">
        <w:rPr>
          <w:rFonts w:ascii="Traditional Arabic" w:hAnsi="Traditional Arabic" w:cs="Traditional Arabic" w:hint="cs"/>
          <w:color w:val="231F20"/>
          <w:sz w:val="32"/>
          <w:szCs w:val="32"/>
          <w:rtl/>
        </w:rPr>
        <w:t>صون ا</w:t>
      </w:r>
      <w:r w:rsidRPr="001E5B16">
        <w:rPr>
          <w:rFonts w:ascii="Traditional Arabic" w:hAnsi="Traditional Arabic" w:cs="Traditional Arabic" w:hint="cs"/>
          <w:color w:val="231F20"/>
          <w:sz w:val="32"/>
          <w:szCs w:val="32"/>
          <w:rtl/>
        </w:rPr>
        <w:t xml:space="preserve">لتراث للثقافي </w:t>
      </w:r>
      <w:r w:rsidR="00C43FFA" w:rsidRPr="001E5B16">
        <w:rPr>
          <w:rFonts w:ascii="Traditional Arabic" w:hAnsi="Traditional Arabic" w:cs="Traditional Arabic" w:hint="cs"/>
          <w:color w:val="231F20"/>
          <w:sz w:val="32"/>
          <w:szCs w:val="32"/>
          <w:rtl/>
        </w:rPr>
        <w:t>غير المادي.</w:t>
      </w:r>
    </w:p>
    <w:p w:rsidR="00C43FFA" w:rsidRPr="001E5B16" w:rsidRDefault="00C43FFA"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 xml:space="preserve">إعداد </w:t>
      </w:r>
      <w:r w:rsidR="00735E0B" w:rsidRPr="001E5B16">
        <w:rPr>
          <w:rFonts w:ascii="Traditional Arabic" w:hAnsi="Traditional Arabic" w:cs="Traditional Arabic" w:hint="cs"/>
          <w:color w:val="231F20"/>
          <w:sz w:val="32"/>
          <w:szCs w:val="32"/>
          <w:rtl/>
        </w:rPr>
        <w:t>مشاريع لتحديد عناصر التراث الثقافي غير المادي وتوثيقها ونشرها وتعزيزها.</w:t>
      </w:r>
    </w:p>
    <w:p w:rsidR="00735E0B" w:rsidRPr="001E5B16" w:rsidRDefault="00735E0B"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 xml:space="preserve">رفع مستوى الوعي العام بشأن التراث الثقافي غير المادي وتحقيق الاعتراف المؤسسي </w:t>
      </w:r>
      <w:r w:rsidR="004F36A5" w:rsidRPr="001E5B16">
        <w:rPr>
          <w:rFonts w:ascii="Traditional Arabic" w:hAnsi="Traditional Arabic" w:cs="Traditional Arabic" w:hint="cs"/>
          <w:color w:val="231F20"/>
          <w:sz w:val="32"/>
          <w:szCs w:val="32"/>
          <w:rtl/>
        </w:rPr>
        <w:t>بهضمن إطار السياسات الثقافية.</w:t>
      </w:r>
    </w:p>
    <w:p w:rsidR="004F36A5" w:rsidRPr="001E5B16" w:rsidRDefault="004F36A5"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تيسير تشاطر المعلومات والتنسيق بين الدوائر الحكومية.</w:t>
      </w:r>
    </w:p>
    <w:p w:rsidR="004F36A5" w:rsidRPr="001E5B16" w:rsidRDefault="004F36A5"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إنشاء إطار منهجي مشترك لإجراءات جميع الإدارات العامة، ومعالجة هذا الأمر على مستوى كيانات القطاع الخاص والمجتمع بشكل عام.</w:t>
      </w:r>
    </w:p>
    <w:p w:rsidR="004F36A5" w:rsidRPr="001E5B16" w:rsidRDefault="004F36A5" w:rsidP="001E5B16">
      <w:pPr>
        <w:pStyle w:val="ListParagraph"/>
        <w:numPr>
          <w:ilvl w:val="0"/>
          <w:numId w:val="7"/>
        </w:numPr>
        <w:bidi/>
        <w:spacing w:after="20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إنشاء آلية فعالة تكفل مشاركة المجتمعات المحلية</w:t>
      </w:r>
      <w:r w:rsidR="00A817F7" w:rsidRPr="001E5B16">
        <w:rPr>
          <w:rFonts w:ascii="Traditional Arabic" w:hAnsi="Traditional Arabic" w:cs="Traditional Arabic" w:hint="cs"/>
          <w:color w:val="231F20"/>
          <w:sz w:val="32"/>
          <w:szCs w:val="32"/>
          <w:rtl/>
        </w:rPr>
        <w:t xml:space="preserve"> والجماعات الحاملة للتراث الثقافي غير المادي في تصميم وتنفيذ خطط ومشاريع الصون التي يجري وضعها بموجب الخطة الوطنية.</w:t>
      </w:r>
    </w:p>
    <w:p w:rsidR="00AF17F8" w:rsidRDefault="00AF17F8" w:rsidP="001E5B16">
      <w:pPr>
        <w:bidi/>
        <w:spacing w:after="200" w:line="240" w:lineRule="auto"/>
        <w:ind w:left="851"/>
        <w:jc w:val="both"/>
        <w:rPr>
          <w:rFonts w:ascii="Traditional Arabic" w:hAnsi="Traditional Arabic" w:cs="Traditional Arabic"/>
          <w:b/>
          <w:bCs/>
          <w:i/>
          <w:iCs/>
          <w:color w:val="231F20"/>
          <w:sz w:val="32"/>
          <w:szCs w:val="32"/>
          <w:rtl/>
        </w:rPr>
      </w:pPr>
    </w:p>
    <w:p w:rsidR="00AF17F8" w:rsidRDefault="00AF17F8" w:rsidP="00AF17F8">
      <w:pPr>
        <w:bidi/>
        <w:spacing w:after="200" w:line="240" w:lineRule="auto"/>
        <w:ind w:left="851"/>
        <w:jc w:val="both"/>
        <w:rPr>
          <w:rFonts w:ascii="Traditional Arabic" w:hAnsi="Traditional Arabic" w:cs="Traditional Arabic"/>
          <w:b/>
          <w:bCs/>
          <w:i/>
          <w:iCs/>
          <w:color w:val="231F20"/>
          <w:sz w:val="32"/>
          <w:szCs w:val="32"/>
          <w:rtl/>
        </w:rPr>
      </w:pPr>
    </w:p>
    <w:p w:rsidR="00A817F7" w:rsidRPr="001E5B16" w:rsidRDefault="00A817F7" w:rsidP="00AF17F8">
      <w:pPr>
        <w:bidi/>
        <w:spacing w:after="200" w:line="240" w:lineRule="auto"/>
        <w:ind w:left="851"/>
        <w:jc w:val="both"/>
        <w:rPr>
          <w:rFonts w:ascii="Traditional Arabic" w:hAnsi="Traditional Arabic" w:cs="Traditional Arabic"/>
          <w:b/>
          <w:bCs/>
          <w:i/>
          <w:iCs/>
          <w:color w:val="231F20"/>
          <w:sz w:val="32"/>
          <w:szCs w:val="32"/>
          <w:rtl/>
        </w:rPr>
      </w:pPr>
      <w:r w:rsidRPr="001E5B16">
        <w:rPr>
          <w:rFonts w:ascii="Traditional Arabic" w:hAnsi="Traditional Arabic" w:cs="Traditional Arabic" w:hint="cs"/>
          <w:b/>
          <w:bCs/>
          <w:i/>
          <w:iCs/>
          <w:color w:val="231F20"/>
          <w:sz w:val="32"/>
          <w:szCs w:val="32"/>
          <w:rtl/>
        </w:rPr>
        <w:lastRenderedPageBreak/>
        <w:t>البرامج الرئيسة للخطة الوطنية:</w:t>
      </w:r>
    </w:p>
    <w:p w:rsidR="00A817F7" w:rsidRPr="001E5B16" w:rsidRDefault="00A817F7"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البحوث والتوثيق في مجال التراث الثقافي غير المادي.</w:t>
      </w:r>
    </w:p>
    <w:p w:rsidR="00A817F7" w:rsidRPr="001E5B16" w:rsidRDefault="00A817F7"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المحافظة على التراث المادي المرتبط بعناصر التراث الثقافي غير المادي.</w:t>
      </w:r>
    </w:p>
    <w:p w:rsidR="00AA6314" w:rsidRPr="001E5B16" w:rsidRDefault="00AA6314" w:rsidP="001E5B16">
      <w:pPr>
        <w:pStyle w:val="ListParagraph"/>
        <w:numPr>
          <w:ilvl w:val="0"/>
          <w:numId w:val="7"/>
        </w:numPr>
        <w:bidi/>
        <w:spacing w:after="20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التدريب في مجالات التراث الثقافي غير المادي، ونقله وتعزيزه ونشره.</w:t>
      </w:r>
    </w:p>
    <w:p w:rsidR="00AA6314" w:rsidRPr="00AF17F8" w:rsidRDefault="00AA6314" w:rsidP="00AF17F8">
      <w:pPr>
        <w:bidi/>
        <w:spacing w:after="200" w:line="240" w:lineRule="auto"/>
        <w:ind w:left="851"/>
        <w:jc w:val="both"/>
        <w:rPr>
          <w:rFonts w:ascii="Traditional Arabic" w:hAnsi="Traditional Arabic" w:cs="Traditional Arabic"/>
          <w:b/>
          <w:bCs/>
          <w:i/>
          <w:iCs/>
          <w:color w:val="231F20"/>
          <w:sz w:val="32"/>
          <w:szCs w:val="32"/>
          <w:rtl/>
        </w:rPr>
      </w:pPr>
      <w:r w:rsidRPr="00AF17F8">
        <w:rPr>
          <w:rFonts w:ascii="Traditional Arabic" w:hAnsi="Traditional Arabic" w:cs="Traditional Arabic" w:hint="cs"/>
          <w:b/>
          <w:bCs/>
          <w:i/>
          <w:iCs/>
          <w:color w:val="231F20"/>
          <w:sz w:val="32"/>
          <w:szCs w:val="32"/>
          <w:rtl/>
        </w:rPr>
        <w:t>أدوات لصون التراث الثقافي غير المادي في إطار الخطة الوطنية</w:t>
      </w:r>
    </w:p>
    <w:p w:rsidR="00A817F7" w:rsidRPr="001E5B16" w:rsidRDefault="00AA631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سجلات أو قوائم حصر أولية للتراث الثقافي غير المادي.</w:t>
      </w:r>
    </w:p>
    <w:p w:rsidR="00A045AC" w:rsidRPr="001E5B16" w:rsidRDefault="00A045AC"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فهارس التراث الثقافي غير المادي بالاستناد إلى نتائج الدراسات البحثية والتوثيقية.</w:t>
      </w:r>
    </w:p>
    <w:p w:rsidR="00A045AC" w:rsidRPr="001E5B16" w:rsidRDefault="00A045AC"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منهجية لتحديد الأهداف والاستراتيجيات والإجراءات المقترحة.</w:t>
      </w:r>
    </w:p>
    <w:p w:rsidR="00A045AC" w:rsidRPr="001E5B16" w:rsidRDefault="00A045AC"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استراتيجية لإجراء تحليل للمخاطر التي قد تحدق بعناصر التراث الثقافي غير المادي.</w:t>
      </w:r>
    </w:p>
    <w:p w:rsidR="00B63C12" w:rsidRPr="001E5B16" w:rsidRDefault="00A045AC"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دراسات بحثية تركز على برامج أو إجراءات صون محددة وملموسة.</w:t>
      </w:r>
    </w:p>
    <w:p w:rsidR="007B7136" w:rsidRPr="001E5B16" w:rsidRDefault="00B63C12" w:rsidP="001E5B16">
      <w:pPr>
        <w:pStyle w:val="ListParagraph"/>
        <w:numPr>
          <w:ilvl w:val="0"/>
          <w:numId w:val="7"/>
        </w:numPr>
        <w:bidi/>
        <w:spacing w:after="20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خطط صون مصممة خصيصاً لعناصر محددة.</w:t>
      </w:r>
    </w:p>
    <w:p w:rsidR="00BB6D44" w:rsidRPr="001E5B16" w:rsidRDefault="007B7136" w:rsidP="00AF17F8">
      <w:pPr>
        <w:bidi/>
        <w:spacing w:after="200" w:line="240" w:lineRule="auto"/>
        <w:ind w:left="851"/>
        <w:jc w:val="both"/>
        <w:rPr>
          <w:rFonts w:ascii="Traditional Arabic" w:hAnsi="Traditional Arabic" w:cs="Traditional Arabic"/>
          <w:b/>
          <w:bCs/>
          <w:i/>
          <w:iCs/>
          <w:color w:val="231F20"/>
          <w:sz w:val="32"/>
          <w:szCs w:val="32"/>
          <w:rtl/>
        </w:rPr>
      </w:pPr>
      <w:r w:rsidRPr="001E5B16">
        <w:rPr>
          <w:rFonts w:ascii="Traditional Arabic" w:hAnsi="Traditional Arabic" w:cs="Traditional Arabic" w:hint="cs"/>
          <w:b/>
          <w:bCs/>
          <w:i/>
          <w:iCs/>
          <w:color w:val="231F20"/>
          <w:sz w:val="32"/>
          <w:szCs w:val="32"/>
          <w:rtl/>
        </w:rPr>
        <w:t xml:space="preserve">تشمل </w:t>
      </w:r>
      <w:r w:rsidR="00BB6D44" w:rsidRPr="001E5B16">
        <w:rPr>
          <w:rFonts w:ascii="Traditional Arabic" w:hAnsi="Traditional Arabic" w:cs="Traditional Arabic" w:hint="cs"/>
          <w:b/>
          <w:bCs/>
          <w:i/>
          <w:iCs/>
          <w:color w:val="231F20"/>
          <w:sz w:val="32"/>
          <w:szCs w:val="32"/>
          <w:rtl/>
        </w:rPr>
        <w:t xml:space="preserve">مجالات الخطة المفصلة التي تود أن تنظر فيها من زاوية تضمينها بعداً </w:t>
      </w:r>
      <w:proofErr w:type="spellStart"/>
      <w:r w:rsidR="00BB6D44" w:rsidRPr="001E5B16">
        <w:rPr>
          <w:rFonts w:ascii="Traditional Arabic" w:hAnsi="Traditional Arabic" w:cs="Traditional Arabic" w:hint="cs"/>
          <w:b/>
          <w:bCs/>
          <w:i/>
          <w:iCs/>
          <w:color w:val="231F20"/>
          <w:sz w:val="32"/>
          <w:szCs w:val="32"/>
          <w:rtl/>
        </w:rPr>
        <w:t>جنسانياً</w:t>
      </w:r>
      <w:proofErr w:type="spellEnd"/>
      <w:r w:rsidR="00BB6D44" w:rsidRPr="001E5B16">
        <w:rPr>
          <w:rFonts w:ascii="Traditional Arabic" w:hAnsi="Traditional Arabic" w:cs="Traditional Arabic" w:hint="cs"/>
          <w:b/>
          <w:bCs/>
          <w:i/>
          <w:iCs/>
          <w:color w:val="231F20"/>
          <w:sz w:val="32"/>
          <w:szCs w:val="32"/>
          <w:rtl/>
        </w:rPr>
        <w:t xml:space="preserve"> إيجابياً ما</w:t>
      </w:r>
      <w:r w:rsidR="00AF17F8">
        <w:rPr>
          <w:rFonts w:ascii="Traditional Arabic" w:hAnsi="Traditional Arabic" w:cs="Traditional Arabic" w:hint="eastAsia"/>
          <w:b/>
          <w:bCs/>
          <w:i/>
          <w:iCs/>
          <w:color w:val="231F20"/>
          <w:sz w:val="32"/>
          <w:szCs w:val="32"/>
          <w:rtl/>
        </w:rPr>
        <w:t> </w:t>
      </w:r>
      <w:r w:rsidR="00BB6D44" w:rsidRPr="001E5B16">
        <w:rPr>
          <w:rFonts w:ascii="Traditional Arabic" w:hAnsi="Traditional Arabic" w:cs="Traditional Arabic" w:hint="cs"/>
          <w:b/>
          <w:bCs/>
          <w:i/>
          <w:iCs/>
          <w:color w:val="231F20"/>
          <w:sz w:val="32"/>
          <w:szCs w:val="32"/>
          <w:rtl/>
        </w:rPr>
        <w:t>يلي:</w:t>
      </w:r>
    </w:p>
    <w:p w:rsidR="00A045AC"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تحديد العنصر وحصره</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البحوث/التوثيق</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نقل التراث الثقافي غير المادي</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تعزيز التراث الثقافي غير المادي والتوعية بشأنه (على كافة المستويات)</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التعليم والتدريب</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العمل مع المجتمعات المحلية والجماعات</w:t>
      </w:r>
      <w:r w:rsidR="00AF17F8">
        <w:rPr>
          <w:rFonts w:ascii="Traditional Arabic" w:hAnsi="Traditional Arabic" w:cs="Traditional Arabic" w:hint="cs"/>
          <w:color w:val="231F20"/>
          <w:sz w:val="32"/>
          <w:szCs w:val="32"/>
          <w:rtl/>
        </w:rPr>
        <w:t xml:space="preserve"> </w:t>
      </w:r>
      <w:r w:rsidRPr="001E5B16">
        <w:rPr>
          <w:rFonts w:ascii="Traditional Arabic" w:hAnsi="Traditional Arabic" w:cs="Traditional Arabic" w:hint="cs"/>
          <w:color w:val="231F20"/>
          <w:sz w:val="32"/>
          <w:szCs w:val="32"/>
          <w:rtl/>
        </w:rPr>
        <w:t>على تصميم إجراءات الصون وتنفيذها</w:t>
      </w:r>
      <w:r w:rsidR="007D39D7" w:rsidRPr="001E5B16">
        <w:rPr>
          <w:rFonts w:ascii="Traditional Arabic" w:hAnsi="Traditional Arabic" w:cs="Traditional Arabic" w:hint="cs"/>
          <w:color w:val="231F20"/>
          <w:sz w:val="32"/>
          <w:szCs w:val="32"/>
          <w:rtl/>
        </w:rPr>
        <w:t>،</w:t>
      </w:r>
    </w:p>
    <w:p w:rsidR="00BB6D44" w:rsidRPr="001E5B16" w:rsidRDefault="00BB6D44"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رصد خطط الصون وتقييمها</w:t>
      </w:r>
      <w:r w:rsidR="007D39D7" w:rsidRPr="001E5B16">
        <w:rPr>
          <w:rFonts w:ascii="Traditional Arabic" w:hAnsi="Traditional Arabic" w:cs="Traditional Arabic" w:hint="cs"/>
          <w:color w:val="231F20"/>
          <w:sz w:val="32"/>
          <w:szCs w:val="32"/>
          <w:rtl/>
        </w:rPr>
        <w:t>،</w:t>
      </w:r>
    </w:p>
    <w:p w:rsidR="00BB6D44" w:rsidRPr="001E5B16" w:rsidRDefault="00764CF8" w:rsidP="00AF17F8">
      <w:pPr>
        <w:pStyle w:val="ListParagraph"/>
        <w:numPr>
          <w:ilvl w:val="0"/>
          <w:numId w:val="7"/>
        </w:numPr>
        <w:bidi/>
        <w:spacing w:after="0" w:line="240" w:lineRule="auto"/>
        <w:ind w:left="1491" w:hanging="357"/>
        <w:contextualSpacing w:val="0"/>
        <w:jc w:val="both"/>
        <w:rPr>
          <w:rFonts w:ascii="Traditional Arabic" w:hAnsi="Traditional Arabic" w:cs="Traditional Arabic"/>
          <w:color w:val="231F20"/>
          <w:sz w:val="32"/>
          <w:szCs w:val="32"/>
        </w:rPr>
      </w:pPr>
      <w:r w:rsidRPr="001E5B16">
        <w:rPr>
          <w:rFonts w:ascii="Traditional Arabic" w:hAnsi="Traditional Arabic" w:cs="Traditional Arabic" w:hint="cs"/>
          <w:color w:val="231F20"/>
          <w:sz w:val="32"/>
          <w:szCs w:val="32"/>
          <w:rtl/>
        </w:rPr>
        <w:t>دمج صون التراث الثقافي غير المادي في السياسات الثقافية الأوسع نطاقاً</w:t>
      </w:r>
      <w:r w:rsidR="007D39D7" w:rsidRPr="001E5B16">
        <w:rPr>
          <w:rFonts w:ascii="Traditional Arabic" w:hAnsi="Traditional Arabic" w:cs="Traditional Arabic" w:hint="cs"/>
          <w:color w:val="231F20"/>
          <w:sz w:val="32"/>
          <w:szCs w:val="32"/>
          <w:rtl/>
        </w:rPr>
        <w:t>،</w:t>
      </w:r>
    </w:p>
    <w:p w:rsidR="00361DF6" w:rsidRPr="00975620" w:rsidRDefault="00764CF8" w:rsidP="001E5B16">
      <w:pPr>
        <w:pStyle w:val="ListParagraph"/>
        <w:numPr>
          <w:ilvl w:val="0"/>
          <w:numId w:val="7"/>
        </w:numPr>
        <w:bidi/>
        <w:spacing w:after="200" w:line="240" w:lineRule="auto"/>
        <w:ind w:left="1491" w:hanging="357"/>
        <w:contextualSpacing w:val="0"/>
        <w:jc w:val="both"/>
        <w:rPr>
          <w:rFonts w:ascii="Traditional Arabic" w:hAnsi="Traditional Arabic" w:cs="Traditional Arabic"/>
          <w:sz w:val="32"/>
          <w:szCs w:val="32"/>
          <w:lang w:bidi="ar-IQ"/>
        </w:rPr>
      </w:pPr>
      <w:r w:rsidRPr="001E5B16">
        <w:rPr>
          <w:rFonts w:ascii="Traditional Arabic" w:hAnsi="Traditional Arabic" w:cs="Traditional Arabic" w:hint="cs"/>
          <w:color w:val="231F20"/>
          <w:sz w:val="32"/>
          <w:szCs w:val="32"/>
          <w:rtl/>
        </w:rPr>
        <w:t>دمج التراث الثقافي غير المادي في مجالات أخرى للسياسات العامة (مثل تخطيط التنمية الريفية والحضرية، والبيئ</w:t>
      </w:r>
      <w:bookmarkStart w:id="3" w:name="_GoBack"/>
      <w:bookmarkEnd w:id="3"/>
      <w:r w:rsidRPr="001E5B16">
        <w:rPr>
          <w:rFonts w:ascii="Traditional Arabic" w:hAnsi="Traditional Arabic" w:cs="Traditional Arabic" w:hint="cs"/>
          <w:color w:val="231F20"/>
          <w:sz w:val="32"/>
          <w:szCs w:val="32"/>
          <w:rtl/>
        </w:rPr>
        <w:t>ة، والتجارة، والزراعة، إلخ).</w:t>
      </w:r>
    </w:p>
    <w:sectPr w:rsidR="00361DF6" w:rsidRPr="009756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B7" w:rsidRDefault="00D20EB7" w:rsidP="006742B2">
      <w:pPr>
        <w:spacing w:after="0" w:line="240" w:lineRule="auto"/>
      </w:pPr>
      <w:r>
        <w:separator/>
      </w:r>
    </w:p>
  </w:endnote>
  <w:endnote w:type="continuationSeparator" w:id="0">
    <w:p w:rsidR="00D20EB7" w:rsidRDefault="00D20EB7" w:rsidP="006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1E5B16" w:rsidTr="001E5B16">
      <w:tc>
        <w:tcPr>
          <w:tcW w:w="1234" w:type="pct"/>
          <w:vAlign w:val="center"/>
          <w:hideMark/>
        </w:tcPr>
        <w:p w:rsidR="001E5B16" w:rsidRDefault="001E5B16" w:rsidP="001E5B16">
          <w:pPr>
            <w:pStyle w:val="Footer"/>
            <w:tabs>
              <w:tab w:val="right" w:pos="2018"/>
            </w:tabs>
          </w:pPr>
          <w:r>
            <w:rPr>
              <w:noProof/>
              <w:lang w:eastAsia="zh-TW"/>
            </w:rPr>
            <w:drawing>
              <wp:inline distT="0" distB="0" distL="0" distR="0">
                <wp:extent cx="1041400" cy="668020"/>
                <wp:effectExtent l="0" t="0" r="6350" b="0"/>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668020"/>
                        </a:xfrm>
                        <a:prstGeom prst="rect">
                          <a:avLst/>
                        </a:prstGeom>
                        <a:noFill/>
                        <a:ln>
                          <a:noFill/>
                        </a:ln>
                      </pic:spPr>
                    </pic:pic>
                  </a:graphicData>
                </a:graphic>
              </wp:inline>
            </w:drawing>
          </w:r>
        </w:p>
      </w:tc>
      <w:tc>
        <w:tcPr>
          <w:tcW w:w="2506" w:type="pct"/>
          <w:vAlign w:val="bottom"/>
          <w:hideMark/>
        </w:tcPr>
        <w:p w:rsidR="001E5B16" w:rsidRDefault="001E5B16" w:rsidP="00400CB1">
          <w:pPr>
            <w:pStyle w:val="Footer"/>
            <w:bidi/>
            <w:jc w:val="center"/>
            <w:rPr>
              <w:lang w:val="en-US"/>
            </w:rPr>
          </w:pPr>
        </w:p>
      </w:tc>
      <w:tc>
        <w:tcPr>
          <w:tcW w:w="1260" w:type="pct"/>
          <w:vAlign w:val="bottom"/>
          <w:hideMark/>
        </w:tcPr>
        <w:p w:rsidR="001E5B16" w:rsidRDefault="001E5B16" w:rsidP="001E5B16">
          <w:pPr>
            <w:pStyle w:val="Footer"/>
            <w:jc w:val="right"/>
            <w:rPr>
              <w:rFonts w:asciiTheme="minorBidi" w:hAnsiTheme="minorBidi"/>
              <w:sz w:val="18"/>
              <w:szCs w:val="18"/>
              <w:lang w:val="en-US"/>
            </w:rPr>
          </w:pPr>
          <w:r>
            <w:rPr>
              <w:rFonts w:asciiTheme="minorBidi" w:hAnsiTheme="minorBidi"/>
              <w:sz w:val="18"/>
              <w:szCs w:val="18"/>
              <w:lang w:val="en-GB"/>
            </w:rPr>
            <w:t>U049-v1</w:t>
          </w:r>
          <w:r w:rsidR="006335AB">
            <w:rPr>
              <w:rFonts w:asciiTheme="minorBidi" w:hAnsiTheme="minorBidi"/>
              <w:sz w:val="18"/>
              <w:szCs w:val="18"/>
            </w:rPr>
            <w:t>.0</w:t>
          </w:r>
          <w:r>
            <w:rPr>
              <w:rFonts w:asciiTheme="minorBidi" w:hAnsiTheme="minorBidi"/>
              <w:sz w:val="18"/>
              <w:szCs w:val="18"/>
              <w:lang w:val="en-GB"/>
            </w:rPr>
            <w:t>.HO9-AR</w:t>
          </w:r>
        </w:p>
      </w:tc>
    </w:tr>
  </w:tbl>
  <w:p w:rsidR="00A913BC" w:rsidRPr="00E512D8" w:rsidRDefault="00400CB1" w:rsidP="001E5B16">
    <w:pPr>
      <w:pStyle w:val="Footer"/>
      <w:tabs>
        <w:tab w:val="clear" w:pos="4536"/>
        <w:tab w:val="clear" w:pos="9072"/>
      </w:tabs>
      <w:bidi/>
      <w:rPr>
        <w:rFonts w:ascii="Traditional Arabic" w:hAnsi="Traditional Arabic" w:cs="Traditional Arabic"/>
        <w:sz w:val="26"/>
        <w:szCs w:val="26"/>
        <w:rtl/>
        <w:lang w:bidi="ar-IQ"/>
      </w:rPr>
    </w:pPr>
    <w:r>
      <w:rPr>
        <w:noProof/>
        <w:lang w:eastAsia="zh-TW"/>
      </w:rPr>
      <w:drawing>
        <wp:anchor distT="0" distB="0" distL="114300" distR="114300" simplePos="0" relativeHeight="251658752" behindDoc="0" locked="0" layoutInCell="1" allowOverlap="1" wp14:anchorId="4C389B61" wp14:editId="32ADAC75">
          <wp:simplePos x="0" y="0"/>
          <wp:positionH relativeFrom="column">
            <wp:posOffset>2694940</wp:posOffset>
          </wp:positionH>
          <wp:positionV relativeFrom="paragraph">
            <wp:posOffset>-38100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B7" w:rsidRDefault="00D20EB7" w:rsidP="006742B2">
      <w:pPr>
        <w:spacing w:after="0" w:line="240" w:lineRule="auto"/>
      </w:pPr>
      <w:r>
        <w:separator/>
      </w:r>
    </w:p>
  </w:footnote>
  <w:footnote w:type="continuationSeparator" w:id="0">
    <w:p w:rsidR="00D20EB7" w:rsidRDefault="00D20EB7" w:rsidP="0067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1E5B16" w:rsidTr="001E5B16">
      <w:trPr>
        <w:jc w:val="center"/>
      </w:trPr>
      <w:tc>
        <w:tcPr>
          <w:tcW w:w="1667" w:type="pct"/>
        </w:tcPr>
        <w:p w:rsidR="001E5B16" w:rsidRDefault="001E5B16" w:rsidP="001E5B16">
          <w:pPr>
            <w:pStyle w:val="Header"/>
            <w:bidi/>
            <w:jc w:val="right"/>
            <w:rPr>
              <w:rFonts w:cs="Traditional Arabic"/>
              <w:sz w:val="18"/>
              <w:szCs w:val="24"/>
            </w:rPr>
          </w:pPr>
        </w:p>
      </w:tc>
      <w:tc>
        <w:tcPr>
          <w:tcW w:w="1667" w:type="pct"/>
          <w:hideMark/>
        </w:tcPr>
        <w:p w:rsidR="001E5B16" w:rsidRDefault="001E5B16" w:rsidP="001E5B16">
          <w:pPr>
            <w:pStyle w:val="Header"/>
            <w:jc w:val="center"/>
          </w:pPr>
          <w:r>
            <w:rPr>
              <w:rFonts w:eastAsia="Times New Roman" w:cs="Traditional Arabic"/>
              <w:kern w:val="36"/>
              <w:sz w:val="26"/>
              <w:szCs w:val="24"/>
              <w:rtl/>
              <w:lang w:eastAsia="en-GB" w:bidi="ar-MA"/>
            </w:rPr>
            <w:t>ورقة معدة للتوزيع</w:t>
          </w:r>
        </w:p>
      </w:tc>
      <w:tc>
        <w:tcPr>
          <w:tcW w:w="1667" w:type="pct"/>
        </w:tcPr>
        <w:p w:rsidR="001E5B16" w:rsidRDefault="001E5B16" w:rsidP="001E5B16">
          <w:pPr>
            <w:pStyle w:val="Header"/>
            <w:jc w:val="right"/>
            <w:rPr>
              <w:rFonts w:cs="Traditional Arabic"/>
              <w:sz w:val="18"/>
              <w:szCs w:val="24"/>
            </w:rPr>
          </w:pPr>
        </w:p>
      </w:tc>
    </w:tr>
  </w:tbl>
  <w:p w:rsidR="00BD7FCE" w:rsidRPr="001E5B16" w:rsidRDefault="00BD7FCE" w:rsidP="001E5B16">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0EA"/>
    <w:multiLevelType w:val="hybridMultilevel"/>
    <w:tmpl w:val="EB560838"/>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8437152"/>
    <w:multiLevelType w:val="hybridMultilevel"/>
    <w:tmpl w:val="4A68F2D4"/>
    <w:lvl w:ilvl="0" w:tplc="5B204CA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39B0098"/>
    <w:multiLevelType w:val="hybridMultilevel"/>
    <w:tmpl w:val="CA90B42C"/>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5D266D2"/>
    <w:multiLevelType w:val="hybridMultilevel"/>
    <w:tmpl w:val="A9162A3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421A2D7C"/>
    <w:multiLevelType w:val="hybridMultilevel"/>
    <w:tmpl w:val="623CFF68"/>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4CB32D4"/>
    <w:multiLevelType w:val="hybridMultilevel"/>
    <w:tmpl w:val="7A38516E"/>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ABC33CA"/>
    <w:multiLevelType w:val="hybridMultilevel"/>
    <w:tmpl w:val="EF2CEF58"/>
    <w:lvl w:ilvl="0" w:tplc="50C4D4D4">
      <w:start w:val="1"/>
      <w:numFmt w:val="bullet"/>
      <w:lvlText w:val=""/>
      <w:lvlJc w:val="left"/>
      <w:pPr>
        <w:ind w:left="1571" w:hanging="360"/>
      </w:pPr>
      <w:rPr>
        <w:rFonts w:ascii="Symbol" w:hAnsi="Symbol" w:cs="Symbol" w:hint="default"/>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24"/>
    <w:rsid w:val="00012727"/>
    <w:rsid w:val="00012C6D"/>
    <w:rsid w:val="0007094C"/>
    <w:rsid w:val="0007539E"/>
    <w:rsid w:val="000E49B7"/>
    <w:rsid w:val="000F4481"/>
    <w:rsid w:val="000F5D06"/>
    <w:rsid w:val="00131125"/>
    <w:rsid w:val="00134F0D"/>
    <w:rsid w:val="00142E96"/>
    <w:rsid w:val="00145197"/>
    <w:rsid w:val="00171908"/>
    <w:rsid w:val="00173473"/>
    <w:rsid w:val="0018413A"/>
    <w:rsid w:val="001941AF"/>
    <w:rsid w:val="001B7895"/>
    <w:rsid w:val="001E5B16"/>
    <w:rsid w:val="00271585"/>
    <w:rsid w:val="002717B3"/>
    <w:rsid w:val="002732B4"/>
    <w:rsid w:val="002B370E"/>
    <w:rsid w:val="002C14E7"/>
    <w:rsid w:val="002F37DE"/>
    <w:rsid w:val="00300A93"/>
    <w:rsid w:val="00327BD2"/>
    <w:rsid w:val="00361DF6"/>
    <w:rsid w:val="00376805"/>
    <w:rsid w:val="003D09FE"/>
    <w:rsid w:val="00400CB1"/>
    <w:rsid w:val="0042038A"/>
    <w:rsid w:val="00427310"/>
    <w:rsid w:val="00455EE2"/>
    <w:rsid w:val="00464882"/>
    <w:rsid w:val="00467551"/>
    <w:rsid w:val="004A1E58"/>
    <w:rsid w:val="004B2FBF"/>
    <w:rsid w:val="004C3170"/>
    <w:rsid w:val="004F36A5"/>
    <w:rsid w:val="005144B8"/>
    <w:rsid w:val="00576C34"/>
    <w:rsid w:val="005C6AE1"/>
    <w:rsid w:val="005F3CAC"/>
    <w:rsid w:val="00611B9C"/>
    <w:rsid w:val="006335AB"/>
    <w:rsid w:val="006742B2"/>
    <w:rsid w:val="006953DE"/>
    <w:rsid w:val="006B7BC1"/>
    <w:rsid w:val="006F160D"/>
    <w:rsid w:val="00700334"/>
    <w:rsid w:val="00702526"/>
    <w:rsid w:val="00716EBB"/>
    <w:rsid w:val="00735E0B"/>
    <w:rsid w:val="00764A59"/>
    <w:rsid w:val="00764CF8"/>
    <w:rsid w:val="007B7136"/>
    <w:rsid w:val="007D39D7"/>
    <w:rsid w:val="008038CB"/>
    <w:rsid w:val="00805824"/>
    <w:rsid w:val="00814360"/>
    <w:rsid w:val="00825173"/>
    <w:rsid w:val="00861217"/>
    <w:rsid w:val="008C3DFC"/>
    <w:rsid w:val="008E06B3"/>
    <w:rsid w:val="00924A60"/>
    <w:rsid w:val="009403FC"/>
    <w:rsid w:val="00943AB4"/>
    <w:rsid w:val="009542EE"/>
    <w:rsid w:val="00975620"/>
    <w:rsid w:val="0098308F"/>
    <w:rsid w:val="00A045AC"/>
    <w:rsid w:val="00A20FF4"/>
    <w:rsid w:val="00A70A8F"/>
    <w:rsid w:val="00A817F7"/>
    <w:rsid w:val="00A82629"/>
    <w:rsid w:val="00A913BC"/>
    <w:rsid w:val="00AA6314"/>
    <w:rsid w:val="00AC66BF"/>
    <w:rsid w:val="00AE6CBA"/>
    <w:rsid w:val="00AE7766"/>
    <w:rsid w:val="00AF07EF"/>
    <w:rsid w:val="00AF17F8"/>
    <w:rsid w:val="00B2156F"/>
    <w:rsid w:val="00B467C0"/>
    <w:rsid w:val="00B63C12"/>
    <w:rsid w:val="00B807F1"/>
    <w:rsid w:val="00BA6665"/>
    <w:rsid w:val="00BB6D44"/>
    <w:rsid w:val="00BC5121"/>
    <w:rsid w:val="00BD7FCE"/>
    <w:rsid w:val="00BE31B2"/>
    <w:rsid w:val="00C126FB"/>
    <w:rsid w:val="00C3443F"/>
    <w:rsid w:val="00C43FFA"/>
    <w:rsid w:val="00C57690"/>
    <w:rsid w:val="00C60E7C"/>
    <w:rsid w:val="00C63688"/>
    <w:rsid w:val="00C80D47"/>
    <w:rsid w:val="00CE5A67"/>
    <w:rsid w:val="00D1266E"/>
    <w:rsid w:val="00D20EB7"/>
    <w:rsid w:val="00D25AE0"/>
    <w:rsid w:val="00D405E3"/>
    <w:rsid w:val="00D76B8A"/>
    <w:rsid w:val="00D8576B"/>
    <w:rsid w:val="00D85AC3"/>
    <w:rsid w:val="00D931B0"/>
    <w:rsid w:val="00D93A28"/>
    <w:rsid w:val="00D93E60"/>
    <w:rsid w:val="00D9555B"/>
    <w:rsid w:val="00DB38F8"/>
    <w:rsid w:val="00DB637B"/>
    <w:rsid w:val="00DC2C0D"/>
    <w:rsid w:val="00DD09D0"/>
    <w:rsid w:val="00E10F3F"/>
    <w:rsid w:val="00E426D7"/>
    <w:rsid w:val="00E512D8"/>
    <w:rsid w:val="00E66571"/>
    <w:rsid w:val="00E751D1"/>
    <w:rsid w:val="00EB2203"/>
    <w:rsid w:val="00F0439E"/>
    <w:rsid w:val="00F1185C"/>
    <w:rsid w:val="00F22488"/>
    <w:rsid w:val="00F3052F"/>
    <w:rsid w:val="00F71E00"/>
    <w:rsid w:val="00F76E5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08ADE5F-4705-4778-971F-E8C2181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B16"/>
    <w:pPr>
      <w:keepNext/>
      <w:bidi/>
      <w:spacing w:after="200" w:line="240" w:lineRule="auto"/>
      <w:ind w:left="851"/>
      <w:jc w:val="both"/>
      <w:outlineLvl w:val="1"/>
    </w:pPr>
    <w:rPr>
      <w:rFonts w:ascii="Traditional Arabic" w:hAnsi="Traditional Arabic" w:cs="Traditional Arabic"/>
      <w:b/>
      <w:bCs/>
      <w:i/>
      <w:iCs/>
      <w:color w:val="231F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2B2"/>
    <w:pPr>
      <w:spacing w:after="0" w:line="240" w:lineRule="auto"/>
    </w:pPr>
    <w:rPr>
      <w:rFonts w:ascii="Arial" w:hAnsi="Arial" w:cs="Traditional Arabic"/>
      <w:sz w:val="20"/>
      <w:szCs w:val="20"/>
    </w:rPr>
  </w:style>
  <w:style w:type="character" w:customStyle="1" w:styleId="FootnoteTextChar">
    <w:name w:val="Footnote Text Char"/>
    <w:basedOn w:val="DefaultParagraphFont"/>
    <w:link w:val="FootnoteText"/>
    <w:uiPriority w:val="99"/>
    <w:semiHidden/>
    <w:rsid w:val="006742B2"/>
    <w:rPr>
      <w:rFonts w:ascii="Arial" w:hAnsi="Arial" w:cs="Traditional Arabic"/>
      <w:sz w:val="20"/>
      <w:szCs w:val="20"/>
    </w:rPr>
  </w:style>
  <w:style w:type="character" w:styleId="FootnoteReference">
    <w:name w:val="footnote reference"/>
    <w:basedOn w:val="DefaultParagraphFont"/>
    <w:uiPriority w:val="99"/>
    <w:semiHidden/>
    <w:unhideWhenUsed/>
    <w:rsid w:val="006742B2"/>
    <w:rPr>
      <w:vertAlign w:val="superscript"/>
    </w:rPr>
  </w:style>
  <w:style w:type="paragraph" w:styleId="ListParagraph">
    <w:name w:val="List Paragraph"/>
    <w:basedOn w:val="Normal"/>
    <w:uiPriority w:val="34"/>
    <w:qFormat/>
    <w:rsid w:val="006742B2"/>
    <w:pPr>
      <w:ind w:left="720"/>
      <w:contextualSpacing/>
    </w:pPr>
  </w:style>
  <w:style w:type="paragraph" w:styleId="Header">
    <w:name w:val="header"/>
    <w:basedOn w:val="Normal"/>
    <w:link w:val="HeaderChar"/>
    <w:uiPriority w:val="99"/>
    <w:unhideWhenUsed/>
    <w:rsid w:val="00BD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FCE"/>
  </w:style>
  <w:style w:type="paragraph" w:styleId="Footer">
    <w:name w:val="footer"/>
    <w:basedOn w:val="Normal"/>
    <w:link w:val="FooterChar"/>
    <w:unhideWhenUsed/>
    <w:rsid w:val="00BD7FCE"/>
    <w:pPr>
      <w:tabs>
        <w:tab w:val="center" w:pos="4536"/>
        <w:tab w:val="right" w:pos="9072"/>
      </w:tabs>
      <w:spacing w:after="0" w:line="240" w:lineRule="auto"/>
    </w:pPr>
  </w:style>
  <w:style w:type="character" w:customStyle="1" w:styleId="FooterChar">
    <w:name w:val="Footer Char"/>
    <w:basedOn w:val="DefaultParagraphFont"/>
    <w:link w:val="Footer"/>
    <w:rsid w:val="00BD7FCE"/>
  </w:style>
  <w:style w:type="paragraph" w:customStyle="1" w:styleId="Chapitre">
    <w:name w:val="Chapitre"/>
    <w:basedOn w:val="Heading1"/>
    <w:link w:val="ChapitreCar"/>
    <w:rsid w:val="00BD7FC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BD7FC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D7FCE"/>
    <w:rPr>
      <w:rFonts w:asciiTheme="majorHAnsi" w:eastAsiaTheme="majorEastAsia" w:hAnsiTheme="majorHAnsi" w:cstheme="majorBidi"/>
      <w:color w:val="2E74B5" w:themeColor="accent1" w:themeShade="BF"/>
      <w:sz w:val="32"/>
      <w:szCs w:val="32"/>
    </w:rPr>
  </w:style>
  <w:style w:type="paragraph" w:customStyle="1" w:styleId="HO2">
    <w:name w:val="HO2"/>
    <w:basedOn w:val="Normal"/>
    <w:link w:val="HO2Car"/>
    <w:rsid w:val="00BD7FCE"/>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BD7FCE"/>
    <w:rPr>
      <w:rFonts w:ascii="Arial" w:eastAsia="Times New Roman" w:hAnsi="Arial" w:cs="Arial"/>
      <w:b/>
      <w:bCs/>
      <w:caps/>
      <w:noProof/>
      <w:snapToGrid w:val="0"/>
      <w:color w:val="3366FF"/>
      <w:kern w:val="28"/>
      <w:sz w:val="32"/>
      <w:szCs w:val="32"/>
      <w:lang w:val="en-US" w:eastAsia="zh-CN"/>
    </w:rPr>
  </w:style>
  <w:style w:type="paragraph" w:styleId="BalloonText">
    <w:name w:val="Balloon Text"/>
    <w:basedOn w:val="Normal"/>
    <w:link w:val="BalloonTextChar"/>
    <w:uiPriority w:val="99"/>
    <w:semiHidden/>
    <w:unhideWhenUsed/>
    <w:rsid w:val="00E5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D8"/>
    <w:rPr>
      <w:rFonts w:ascii="Tahoma" w:hAnsi="Tahoma" w:cs="Tahoma"/>
      <w:sz w:val="16"/>
      <w:szCs w:val="16"/>
    </w:rPr>
  </w:style>
  <w:style w:type="character" w:customStyle="1" w:styleId="Heading2Char">
    <w:name w:val="Heading 2 Char"/>
    <w:basedOn w:val="DefaultParagraphFont"/>
    <w:link w:val="Heading2"/>
    <w:uiPriority w:val="9"/>
    <w:rsid w:val="001E5B16"/>
    <w:rPr>
      <w:rFonts w:ascii="Traditional Arabic" w:hAnsi="Traditional Arabic" w:cs="Traditional Arabic"/>
      <w:b/>
      <w:bCs/>
      <w:i/>
      <w:iCs/>
      <w:color w:val="231F20"/>
      <w:sz w:val="32"/>
      <w:szCs w:val="32"/>
    </w:rPr>
  </w:style>
  <w:style w:type="table" w:styleId="TableGrid">
    <w:name w:val="Table Grid"/>
    <w:basedOn w:val="TableNormal"/>
    <w:rsid w:val="001E5B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48822">
      <w:bodyDiv w:val="1"/>
      <w:marLeft w:val="0"/>
      <w:marRight w:val="0"/>
      <w:marTop w:val="0"/>
      <w:marBottom w:val="0"/>
      <w:divBdr>
        <w:top w:val="none" w:sz="0" w:space="0" w:color="auto"/>
        <w:left w:val="none" w:sz="0" w:space="0" w:color="auto"/>
        <w:bottom w:val="none" w:sz="0" w:space="0" w:color="auto"/>
        <w:right w:val="none" w:sz="0" w:space="0" w:color="auto"/>
      </w:divBdr>
    </w:div>
    <w:div w:id="20586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Kaddoura, Maha</dc:creator>
  <cp:lastModifiedBy>Kim, Dain</cp:lastModifiedBy>
  <cp:revision>6</cp:revision>
  <dcterms:created xsi:type="dcterms:W3CDTF">2016-04-28T15:14:00Z</dcterms:created>
  <dcterms:modified xsi:type="dcterms:W3CDTF">2018-04-20T12:32:00Z</dcterms:modified>
</cp:coreProperties>
</file>