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38D02" w14:textId="7945CE9D" w:rsidR="009F28BC" w:rsidRPr="00146A92" w:rsidRDefault="009F28BC" w:rsidP="009F28BC">
      <w:pPr>
        <w:pStyle w:val="Chapitre"/>
        <w:rPr>
          <w:lang w:val="fr-FR"/>
        </w:rPr>
      </w:pPr>
      <w:bookmarkStart w:id="0" w:name="_Toc241229778"/>
      <w:bookmarkStart w:id="1" w:name="_Toc241229982"/>
      <w:bookmarkStart w:id="2" w:name="_Toc242165676"/>
      <w:bookmarkStart w:id="3" w:name="_GoBack"/>
      <w:bookmarkEnd w:id="3"/>
      <w:r w:rsidRPr="00146A92">
        <w:rPr>
          <w:lang w:val="fr-FR"/>
        </w:rPr>
        <w:t>Unit</w:t>
      </w:r>
      <w:r w:rsidR="00B16737" w:rsidRPr="00146A92">
        <w:rPr>
          <w:lang w:val="fr-FR"/>
        </w:rPr>
        <w:t>é</w:t>
      </w:r>
      <w:r w:rsidRPr="00146A92">
        <w:rPr>
          <w:lang w:val="fr-FR"/>
        </w:rPr>
        <w:t xml:space="preserve"> </w:t>
      </w:r>
      <w:r w:rsidR="00075E8E" w:rsidRPr="00146A92">
        <w:rPr>
          <w:lang w:val="fr-FR"/>
        </w:rPr>
        <w:t>49</w:t>
      </w:r>
    </w:p>
    <w:p w14:paraId="46C994E5" w14:textId="70DDD41A" w:rsidR="006C700E" w:rsidRPr="00B16737" w:rsidRDefault="00B16737" w:rsidP="006C700E">
      <w:pPr>
        <w:pStyle w:val="HO1"/>
        <w:rPr>
          <w:lang w:val="fr-FR"/>
        </w:rPr>
      </w:pPr>
      <w:r>
        <w:rPr>
          <w:lang w:val="fr-FR"/>
        </w:rPr>
        <w:t>Imprimé 9 :</w:t>
      </w:r>
    </w:p>
    <w:bookmarkEnd w:id="0"/>
    <w:bookmarkEnd w:id="1"/>
    <w:bookmarkEnd w:id="2"/>
    <w:p w14:paraId="0A32421E" w14:textId="4F6645F8" w:rsidR="0031587B" w:rsidRPr="00B16737" w:rsidRDefault="00B16737" w:rsidP="00C73E9C">
      <w:pPr>
        <w:pStyle w:val="HO2"/>
        <w:rPr>
          <w:lang w:val="fr-FR"/>
        </w:rPr>
      </w:pPr>
      <w:r>
        <w:rPr>
          <w:lang w:val="fr-FR"/>
        </w:rPr>
        <w:t xml:space="preserve">une politique de </w:t>
      </w:r>
      <w:r w:rsidRPr="00B16737">
        <w:rPr>
          <w:lang w:val="fr-FR"/>
        </w:rPr>
        <w:t>sauvegarde</w:t>
      </w:r>
      <w:r w:rsidR="00F8389C">
        <w:rPr>
          <w:lang w:val="fr-FR"/>
        </w:rPr>
        <w:t xml:space="preserve"> du PCI</w:t>
      </w:r>
    </w:p>
    <w:p w14:paraId="774AB2F8" w14:textId="54D43100" w:rsidR="00075E8E" w:rsidRPr="00B16737" w:rsidRDefault="00B16737" w:rsidP="00B16737">
      <w:pPr>
        <w:pStyle w:val="Texte1"/>
      </w:pPr>
      <w:r>
        <w:t xml:space="preserve">Le </w:t>
      </w:r>
      <w:r w:rsidRPr="00B16737">
        <w:rPr>
          <w:i/>
        </w:rPr>
        <w:t>Plan national de sauvegarde du patrimoine culturel immatériel du Firoozestan</w:t>
      </w:r>
      <w:r>
        <w:t xml:space="preserve"> est un instrument politique fictif. Le pays est devenu État partie à la Convention de 2003 en 2004. Il a révisé sa législation en matière de patrimoine culturel en 2005 et, à cette occasion, il a élaboré un plan national de sauvegarde du PCI. Le plan, d’une durée de 15 ans, prévoit </w:t>
      </w:r>
      <w:r w:rsidR="00FE2317">
        <w:t>une évaluation tous les 5 ans. La deuxième évaluation quinquennale est désormais en cours et certaines révisions majeures sont envisagées afin de rendre ce plan plus conforme aux concepts actuels en matière de mise en œuvre de la Convention de 2003.</w:t>
      </w:r>
    </w:p>
    <w:p w14:paraId="7C0C94F3" w14:textId="71EAB273" w:rsidR="00FE2317" w:rsidRPr="00FE2317" w:rsidRDefault="00FE2317" w:rsidP="00FE2317">
      <w:pPr>
        <w:pStyle w:val="Texte1"/>
        <w:rPr>
          <w:szCs w:val="22"/>
        </w:rPr>
      </w:pPr>
      <w:r>
        <w:t xml:space="preserve">Vous êtes </w:t>
      </w:r>
      <w:r w:rsidR="005564C7">
        <w:t xml:space="preserve">un </w:t>
      </w:r>
      <w:r>
        <w:t>membre du Comité national interdisciplinaire du PCI</w:t>
      </w:r>
      <w:r w:rsidR="00B32F11" w:rsidRPr="00B16737">
        <w:t>.</w:t>
      </w:r>
      <w:r>
        <w:t xml:space="preserve"> Celui-ci est composé de membre</w:t>
      </w:r>
      <w:r w:rsidR="005564C7">
        <w:t>s</w:t>
      </w:r>
      <w:r>
        <w:t xml:space="preserve"> de l’administration nationale, d’experts externes et de représentants des gouvernements régionaux, d’ONG et d’a</w:t>
      </w:r>
      <w:r>
        <w:rPr>
          <w:szCs w:val="22"/>
        </w:rPr>
        <w:t xml:space="preserve">ssociations communautaires. Le Comité, créé afin de coordonner et de suivre </w:t>
      </w:r>
      <w:r w:rsidR="005564C7">
        <w:rPr>
          <w:szCs w:val="22"/>
        </w:rPr>
        <w:t>des actions entreprises dans le cadre</w:t>
      </w:r>
      <w:r>
        <w:rPr>
          <w:szCs w:val="22"/>
        </w:rPr>
        <w:t xml:space="preserve"> du plan, est </w:t>
      </w:r>
      <w:r w:rsidRPr="00FE2317">
        <w:rPr>
          <w:szCs w:val="22"/>
        </w:rPr>
        <w:t>désormais</w:t>
      </w:r>
      <w:r>
        <w:rPr>
          <w:szCs w:val="22"/>
        </w:rPr>
        <w:t xml:space="preserve"> en charge de la révision de ce document de politique patrimoniale dans le domaine du PCI.</w:t>
      </w:r>
    </w:p>
    <w:p w14:paraId="0BE23641" w14:textId="5A2678C0" w:rsidR="00075E8E" w:rsidRPr="00B16737" w:rsidRDefault="00FE2317" w:rsidP="00075E8E">
      <w:pPr>
        <w:pStyle w:val="Texte1"/>
      </w:pPr>
      <w:r>
        <w:t xml:space="preserve">Dans le cadre de cette révision, une des priorités récemment identifiées est la nécessité d’analyser selon le genre les politiques et les </w:t>
      </w:r>
      <w:r>
        <w:rPr>
          <w:sz w:val="22"/>
          <w:szCs w:val="22"/>
        </w:rPr>
        <w:t xml:space="preserve">programmes </w:t>
      </w:r>
      <w:r>
        <w:t>de sauvegarde du PCI. C’est la que</w:t>
      </w:r>
      <w:r w:rsidR="004E2E77">
        <w:t>stion actuellement en</w:t>
      </w:r>
      <w:r>
        <w:t xml:space="preserve"> discussion au sein de la commission qui doit prendre en considération le travail en cours du Comité intergouvernemental de la Convention de 2003 à ce sujet. </w:t>
      </w:r>
    </w:p>
    <w:p w14:paraId="6ADEAFD7" w14:textId="7E974B45" w:rsidR="00075E8E" w:rsidRPr="00B16737" w:rsidRDefault="004E2E77" w:rsidP="00B32F11">
      <w:pPr>
        <w:pStyle w:val="Texte1"/>
      </w:pPr>
      <w:r>
        <w:t xml:space="preserve">Le plan national est présenté succinctement ci-après. Il vous est demandé de soumettre des parties du plan qui pourraient faire l’objet d’une révision afin que la dynamique des genres du PCI et des communautés culturelles soit mieux reflétée. Il convient également de garder à l’esprit le double objectif d’égalité des genres et de développement durable.  </w:t>
      </w:r>
    </w:p>
    <w:p w14:paraId="0EA77AE1" w14:textId="171C7B69" w:rsidR="00075E8E" w:rsidRPr="00B16737" w:rsidRDefault="004E2E77" w:rsidP="00B32F11">
      <w:pPr>
        <w:pStyle w:val="Texte1"/>
        <w:rPr>
          <w:b/>
          <w:bCs/>
        </w:rPr>
      </w:pPr>
      <w:r>
        <w:rPr>
          <w:b/>
          <w:bCs/>
          <w:i/>
          <w:iCs/>
        </w:rPr>
        <w:t>Note à l’attention des participants :</w:t>
      </w:r>
    </w:p>
    <w:p w14:paraId="4A21B186" w14:textId="372F22EA" w:rsidR="00075E8E" w:rsidRPr="00B16737" w:rsidRDefault="004E2E77" w:rsidP="00075E8E">
      <w:pPr>
        <w:pStyle w:val="Texte1"/>
      </w:pPr>
      <w:r>
        <w:t xml:space="preserve">Parmi les principaux objectifs d’une stratégie de sauvegarde qui soit consciente du genre, on citera </w:t>
      </w:r>
      <w:r w:rsidR="00B32F11" w:rsidRPr="00B16737">
        <w:t>:</w:t>
      </w:r>
    </w:p>
    <w:p w14:paraId="09A44CD5" w14:textId="0B2E899C" w:rsidR="00075E8E" w:rsidRPr="00B16737" w:rsidRDefault="004E2E77" w:rsidP="00B32F11">
      <w:pPr>
        <w:pStyle w:val="Txtpucegras"/>
      </w:pPr>
      <w:r>
        <w:t>Créer une meilleure prise de conscience des questions de genre au sein des agences gouvernementales et parmi les experts ;</w:t>
      </w:r>
    </w:p>
    <w:p w14:paraId="7F24311C" w14:textId="703D724D" w:rsidR="00075E8E" w:rsidRPr="00B16737" w:rsidRDefault="004E2E77" w:rsidP="00B32F11">
      <w:pPr>
        <w:pStyle w:val="Txtpucegras"/>
      </w:pPr>
      <w:r>
        <w:t xml:space="preserve">créer une meilleure prise de conscience des questions de genre au sein des communautés ; </w:t>
      </w:r>
    </w:p>
    <w:p w14:paraId="2A7D060B" w14:textId="141C7927" w:rsidR="00075E8E" w:rsidRPr="00B16737" w:rsidRDefault="007B26C0" w:rsidP="00B32F11">
      <w:pPr>
        <w:pStyle w:val="Txtpucegras"/>
      </w:pPr>
      <w:r>
        <w:t>tirer le plus grand parti de la capacité du PCI à développer la valeur sociale, économique et culturelle des compétences et savoir-faire des groupes marginalisés ;</w:t>
      </w:r>
    </w:p>
    <w:p w14:paraId="3B25ACC2" w14:textId="17126B74" w:rsidR="007B26C0" w:rsidRPr="00B16737" w:rsidRDefault="007B26C0" w:rsidP="007B26C0">
      <w:pPr>
        <w:pStyle w:val="Txtpucegras"/>
      </w:pPr>
      <w:r>
        <w:lastRenderedPageBreak/>
        <w:t xml:space="preserve">mettre en œuvre des </w:t>
      </w:r>
      <w:r>
        <w:rPr>
          <w:lang w:eastAsia="en-US"/>
        </w:rPr>
        <w:t>initiatives communautaires, notamment dans le domaine du renforcement des capacités au sein des communautés, qui prennent en compte de façon adaptée et efficace la dimension de genre ;</w:t>
      </w:r>
    </w:p>
    <w:p w14:paraId="399DBF85" w14:textId="6D3A1C0F" w:rsidR="00075E8E" w:rsidRPr="00B16737" w:rsidRDefault="007B26C0" w:rsidP="00B32F11">
      <w:pPr>
        <w:pStyle w:val="Txtpucegras"/>
      </w:pPr>
      <w:r>
        <w:t>veiller à ce que les mesures de sauvegarde respectent l’égalité des genres ;</w:t>
      </w:r>
    </w:p>
    <w:p w14:paraId="1D6C238E" w14:textId="0350C97E" w:rsidR="00075E8E" w:rsidRPr="00B16737" w:rsidRDefault="007B26C0" w:rsidP="00B32F11">
      <w:pPr>
        <w:pStyle w:val="Txtpucegras"/>
        <w:rPr>
          <w:rFonts w:eastAsia="Calibri"/>
        </w:rPr>
      </w:pPr>
      <w:r>
        <w:t xml:space="preserve">éviter tout ce qui pourrait porter préjudice au PCI et/ou au fragile équilibre des genres au sein des communautés. </w:t>
      </w:r>
    </w:p>
    <w:p w14:paraId="589CC65E" w14:textId="1C527ACF" w:rsidR="00075E8E" w:rsidRPr="00B16737" w:rsidRDefault="005B79C8" w:rsidP="00B32F11">
      <w:pPr>
        <w:pStyle w:val="Heading4"/>
        <w:rPr>
          <w:lang w:val="fr-FR"/>
        </w:rPr>
      </w:pPr>
      <w:r>
        <w:rPr>
          <w:lang w:val="fr-FR"/>
        </w:rPr>
        <w:t xml:space="preserve">plan national de </w:t>
      </w:r>
      <w:r w:rsidRPr="005B79C8">
        <w:rPr>
          <w:lang w:val="fr-FR"/>
        </w:rPr>
        <w:t>sauvegarde</w:t>
      </w:r>
      <w:r>
        <w:rPr>
          <w:lang w:val="fr-FR"/>
        </w:rPr>
        <w:t xml:space="preserve"> du PCI du Firoozestan</w:t>
      </w:r>
    </w:p>
    <w:p w14:paraId="1172DE71" w14:textId="49FC4B54" w:rsidR="00075E8E" w:rsidRPr="00B16737" w:rsidRDefault="005B79C8" w:rsidP="00A007B8">
      <w:pPr>
        <w:pStyle w:val="Texte1"/>
        <w:spacing w:before="240"/>
      </w:pPr>
      <w:r>
        <w:rPr>
          <w:b/>
          <w:bCs/>
          <w:i/>
          <w:iCs/>
        </w:rPr>
        <w:t>Principaux objectifs du plan national :</w:t>
      </w:r>
    </w:p>
    <w:p w14:paraId="7ECC43CD" w14:textId="725FCDC2" w:rsidR="00075E8E" w:rsidRPr="00B16737" w:rsidRDefault="005B79C8" w:rsidP="00B32F11">
      <w:pPr>
        <w:pStyle w:val="Txtpucegras"/>
      </w:pPr>
      <w:r>
        <w:t xml:space="preserve">Concevoir un </w:t>
      </w:r>
      <w:r w:rsidR="005564C7">
        <w:t xml:space="preserve">cadre conceptuel de sauvegarde du PCI </w:t>
      </w:r>
      <w:r>
        <w:t xml:space="preserve">qui </w:t>
      </w:r>
      <w:r w:rsidR="005564C7">
        <w:t xml:space="preserve">a fait </w:t>
      </w:r>
      <w:r>
        <w:t>l’objet d’un consentement.</w:t>
      </w:r>
    </w:p>
    <w:p w14:paraId="7D521CDC" w14:textId="15F220F3" w:rsidR="00075E8E" w:rsidRPr="00B16737" w:rsidRDefault="005B79C8" w:rsidP="005B79C8">
      <w:pPr>
        <w:pStyle w:val="Txtpucegras"/>
      </w:pPr>
      <w:r>
        <w:t>Concevoir des projets d’identification, de documentation, de diffusion et de promotion des éléments du PCI</w:t>
      </w:r>
      <w:r w:rsidR="00075E8E" w:rsidRPr="00B16737">
        <w:t>.</w:t>
      </w:r>
    </w:p>
    <w:p w14:paraId="522A1AD5" w14:textId="4181F280" w:rsidR="00075E8E" w:rsidRPr="00B16737" w:rsidRDefault="005B79C8" w:rsidP="00B32F11">
      <w:pPr>
        <w:pStyle w:val="Txtpucegras"/>
      </w:pPr>
      <w:r>
        <w:t xml:space="preserve">Sensibiliser le public au PCI, et </w:t>
      </w:r>
      <w:r w:rsidR="005564C7">
        <w:t>parvenir à une reconnaissance du PCI par les</w:t>
      </w:r>
      <w:r>
        <w:t xml:space="preserve"> institutions dans le cadre des politiques culturelles.</w:t>
      </w:r>
    </w:p>
    <w:p w14:paraId="34544169" w14:textId="467992FB" w:rsidR="00075E8E" w:rsidRPr="00B16737" w:rsidRDefault="005B79C8" w:rsidP="00B32F11">
      <w:pPr>
        <w:pStyle w:val="Txtpucegras"/>
      </w:pPr>
      <w:r>
        <w:t xml:space="preserve">Faciliter le partage d’informations et la </w:t>
      </w:r>
      <w:r>
        <w:rPr>
          <w:lang w:eastAsia="en-US"/>
        </w:rPr>
        <w:t>coordination</w:t>
      </w:r>
      <w:r>
        <w:t xml:space="preserve"> entre les différentes administrations gouvernementales.</w:t>
      </w:r>
    </w:p>
    <w:p w14:paraId="1F5E1F6E" w14:textId="5B8E609F" w:rsidR="00075E8E" w:rsidRPr="00B16737" w:rsidRDefault="005B79C8" w:rsidP="00B32F11">
      <w:pPr>
        <w:pStyle w:val="Txtpucegras"/>
      </w:pPr>
      <w:r>
        <w:t>Envisager la création d’un cadre méthodologique commun pour les actions entreprises par toutes les administrations publiques, les entités privées et la société en général</w:t>
      </w:r>
      <w:r w:rsidR="00075E8E" w:rsidRPr="00B16737">
        <w:t>.</w:t>
      </w:r>
    </w:p>
    <w:p w14:paraId="1405B6A8" w14:textId="4908A110" w:rsidR="005B79C8" w:rsidRPr="005B79C8" w:rsidRDefault="005B79C8" w:rsidP="00A007B8">
      <w:pPr>
        <w:pStyle w:val="Txtpucegras"/>
        <w:spacing w:before="240"/>
        <w:rPr>
          <w:b/>
          <w:bCs/>
          <w:i/>
          <w:iCs/>
          <w:szCs w:val="20"/>
        </w:rPr>
      </w:pPr>
      <w:r w:rsidRPr="005B79C8">
        <w:rPr>
          <w:szCs w:val="20"/>
        </w:rPr>
        <w:t>Créer un m</w:t>
      </w:r>
      <w:r>
        <w:rPr>
          <w:szCs w:val="20"/>
        </w:rPr>
        <w:t>écanisme efficace destiné à</w:t>
      </w:r>
      <w:r w:rsidRPr="005B79C8">
        <w:rPr>
          <w:szCs w:val="20"/>
        </w:rPr>
        <w:t xml:space="preserve"> faire participer les communautés détentrices de PCI à </w:t>
      </w:r>
      <w:r w:rsidRPr="005B79C8">
        <w:rPr>
          <w:szCs w:val="20"/>
          <w:lang w:eastAsia="en-US"/>
        </w:rPr>
        <w:t>l’élaboration</w:t>
      </w:r>
      <w:r w:rsidR="00B42083">
        <w:rPr>
          <w:szCs w:val="20"/>
        </w:rPr>
        <w:t xml:space="preserve"> et la</w:t>
      </w:r>
      <w:r w:rsidRPr="005B79C8">
        <w:rPr>
          <w:szCs w:val="20"/>
        </w:rPr>
        <w:t xml:space="preserve"> mise en œuvre</w:t>
      </w:r>
      <w:r w:rsidR="00B42083">
        <w:rPr>
          <w:szCs w:val="20"/>
        </w:rPr>
        <w:t>, dans le cadre de cette politique, de</w:t>
      </w:r>
      <w:r w:rsidRPr="005B79C8">
        <w:rPr>
          <w:szCs w:val="20"/>
        </w:rPr>
        <w:t xml:space="preserve"> plans et de projets de sauvegarde</w:t>
      </w:r>
      <w:r w:rsidR="00B42083">
        <w:rPr>
          <w:szCs w:val="20"/>
        </w:rPr>
        <w:t>.</w:t>
      </w:r>
    </w:p>
    <w:p w14:paraId="03BF559B" w14:textId="08E05779" w:rsidR="00075E8E" w:rsidRPr="005B79C8" w:rsidRDefault="00B42083" w:rsidP="00B42083">
      <w:pPr>
        <w:pStyle w:val="Txtpucegras"/>
        <w:numPr>
          <w:ilvl w:val="0"/>
          <w:numId w:val="0"/>
        </w:numPr>
        <w:spacing w:before="240"/>
        <w:ind w:left="851"/>
        <w:rPr>
          <w:b/>
          <w:bCs/>
          <w:i/>
          <w:iCs/>
        </w:rPr>
      </w:pPr>
      <w:r>
        <w:rPr>
          <w:b/>
          <w:bCs/>
          <w:i/>
          <w:iCs/>
        </w:rPr>
        <w:t>Principaux programmes du plan national :</w:t>
      </w:r>
    </w:p>
    <w:p w14:paraId="5E43BF1F" w14:textId="60E0B341" w:rsidR="00075E8E" w:rsidRPr="00B16737" w:rsidRDefault="00B42083" w:rsidP="00B32F11">
      <w:pPr>
        <w:pStyle w:val="Txtpucegras"/>
      </w:pPr>
      <w:r>
        <w:t>Recherche et documentation sur le patrimoine culturel immatériel</w:t>
      </w:r>
      <w:r w:rsidR="0062664A">
        <w:t>.</w:t>
      </w:r>
    </w:p>
    <w:p w14:paraId="6E1B7E60" w14:textId="2749A379" w:rsidR="0062664A" w:rsidRPr="00B16737" w:rsidRDefault="00075E8E" w:rsidP="0062664A">
      <w:pPr>
        <w:pStyle w:val="Txtpucegras"/>
      </w:pPr>
      <w:r w:rsidRPr="00B16737">
        <w:t>Co</w:t>
      </w:r>
      <w:r w:rsidR="000406FF">
        <w:t xml:space="preserve">nservation du patrimoine matériel associé </w:t>
      </w:r>
      <w:r w:rsidR="0062664A">
        <w:t>aux éléments du PCI.</w:t>
      </w:r>
    </w:p>
    <w:p w14:paraId="6567CB20" w14:textId="4F113126" w:rsidR="0062664A" w:rsidRPr="00B16737" w:rsidRDefault="0062664A" w:rsidP="0062664A">
      <w:pPr>
        <w:pStyle w:val="Txtpucegras"/>
      </w:pPr>
      <w:r>
        <w:t>Formation, transmission, promotion et diffusion du PCI.</w:t>
      </w:r>
    </w:p>
    <w:p w14:paraId="0A332BAE" w14:textId="01E50E2A" w:rsidR="00075E8E" w:rsidRPr="00B16737" w:rsidRDefault="0062664A" w:rsidP="00A007B8">
      <w:pPr>
        <w:pStyle w:val="Texte1"/>
        <w:spacing w:before="240"/>
        <w:rPr>
          <w:rFonts w:cstheme="minorBidi"/>
          <w:b/>
          <w:bCs/>
          <w:i/>
          <w:iCs/>
          <w:kern w:val="1"/>
          <w:lang w:eastAsia="ar-SA"/>
        </w:rPr>
      </w:pPr>
      <w:r>
        <w:rPr>
          <w:rFonts w:cstheme="minorBidi"/>
          <w:b/>
          <w:bCs/>
          <w:i/>
          <w:iCs/>
          <w:kern w:val="1"/>
          <w:lang w:eastAsia="ar-SA"/>
        </w:rPr>
        <w:t xml:space="preserve">Outils de </w:t>
      </w:r>
      <w:r w:rsidRPr="0062664A">
        <w:rPr>
          <w:rFonts w:cstheme="minorBidi"/>
          <w:b/>
          <w:bCs/>
          <w:i/>
          <w:iCs/>
          <w:kern w:val="1"/>
          <w:lang w:eastAsia="ar-SA"/>
        </w:rPr>
        <w:t>sauvegarde</w:t>
      </w:r>
      <w:r>
        <w:rPr>
          <w:rFonts w:cstheme="minorBidi"/>
          <w:b/>
          <w:bCs/>
          <w:i/>
          <w:iCs/>
          <w:kern w:val="1"/>
          <w:lang w:eastAsia="ar-SA"/>
        </w:rPr>
        <w:t xml:space="preserve"> du PCI mis en œuvre dans le cadre du plan national :</w:t>
      </w:r>
    </w:p>
    <w:p w14:paraId="681F61A3" w14:textId="49B0C0AF" w:rsidR="00075E8E" w:rsidRPr="00B16737" w:rsidRDefault="0062664A" w:rsidP="00B32F11">
      <w:pPr>
        <w:pStyle w:val="Txtpucegras"/>
        <w:rPr>
          <w:lang w:eastAsia="ar-SA"/>
        </w:rPr>
      </w:pPr>
      <w:r>
        <w:rPr>
          <w:lang w:eastAsia="ar-SA"/>
        </w:rPr>
        <w:t>Registres ou inventaires préliminaires du PCI.</w:t>
      </w:r>
    </w:p>
    <w:p w14:paraId="16F1A999" w14:textId="0A63AE05" w:rsidR="00075E8E" w:rsidRPr="00B16737" w:rsidRDefault="0062664A" w:rsidP="00B32F11">
      <w:pPr>
        <w:pStyle w:val="Txtpucegras"/>
        <w:rPr>
          <w:lang w:eastAsia="ar-SA"/>
        </w:rPr>
      </w:pPr>
      <w:r>
        <w:rPr>
          <w:lang w:eastAsia="ar-SA"/>
        </w:rPr>
        <w:t>Catalogues du PCI établis sur la base des résultats des recherches et de la documentation entreprises.</w:t>
      </w:r>
    </w:p>
    <w:p w14:paraId="5003FDF7" w14:textId="235EEC88" w:rsidR="00075E8E" w:rsidRPr="00B16737" w:rsidRDefault="0062664A" w:rsidP="00B32F11">
      <w:pPr>
        <w:pStyle w:val="Txtpucegras"/>
        <w:rPr>
          <w:lang w:eastAsia="ar-SA"/>
        </w:rPr>
      </w:pPr>
      <w:r>
        <w:rPr>
          <w:lang w:eastAsia="ar-SA"/>
        </w:rPr>
        <w:t>Méthodologie pour la définition d’objectifs, de stratégies et de propositions d’actions.</w:t>
      </w:r>
    </w:p>
    <w:p w14:paraId="486436C1" w14:textId="535F6DAC" w:rsidR="0062664A" w:rsidRPr="00B16737" w:rsidRDefault="0062664A" w:rsidP="0062664A">
      <w:pPr>
        <w:pStyle w:val="Txtpucegras"/>
        <w:rPr>
          <w:lang w:eastAsia="ar-SA"/>
        </w:rPr>
      </w:pPr>
      <w:r>
        <w:rPr>
          <w:lang w:eastAsia="ar-SA"/>
        </w:rPr>
        <w:t>Stratégie pour entreprendre une analyse des risques encourus par les éléments du PCI.</w:t>
      </w:r>
    </w:p>
    <w:p w14:paraId="6BF2B575" w14:textId="74E0EBE1" w:rsidR="00075E8E" w:rsidRPr="00B16737" w:rsidRDefault="0062664A" w:rsidP="00B32F11">
      <w:pPr>
        <w:pStyle w:val="Txtpucegras"/>
        <w:rPr>
          <w:lang w:eastAsia="ar-SA"/>
        </w:rPr>
      </w:pPr>
      <w:r>
        <w:rPr>
          <w:lang w:eastAsia="ar-SA"/>
        </w:rPr>
        <w:t xml:space="preserve">Études </w:t>
      </w:r>
      <w:r w:rsidR="00467AC5">
        <w:rPr>
          <w:lang w:eastAsia="ar-SA"/>
        </w:rPr>
        <w:t xml:space="preserve">et travaux de recherche </w:t>
      </w:r>
      <w:r>
        <w:rPr>
          <w:lang w:eastAsia="ar-SA"/>
        </w:rPr>
        <w:t>spécifiques sur les actions et les programmes concrets de sauvegarde</w:t>
      </w:r>
      <w:r w:rsidR="00467AC5">
        <w:rPr>
          <w:lang w:eastAsia="ar-SA"/>
        </w:rPr>
        <w:t>.</w:t>
      </w:r>
    </w:p>
    <w:p w14:paraId="77926E17" w14:textId="34162708" w:rsidR="00075E8E" w:rsidRPr="00B16737" w:rsidRDefault="00467AC5" w:rsidP="00B32F11">
      <w:pPr>
        <w:pStyle w:val="Txtpucegras"/>
        <w:rPr>
          <w:lang w:eastAsia="ar-SA"/>
        </w:rPr>
      </w:pPr>
      <w:r>
        <w:rPr>
          <w:lang w:eastAsia="ar-SA"/>
        </w:rPr>
        <w:t xml:space="preserve">Plans de sauvegarde conçus spécifiquement pour des éléments particuliers. </w:t>
      </w:r>
    </w:p>
    <w:p w14:paraId="6E2DBF2D" w14:textId="79D77839" w:rsidR="00075E8E" w:rsidRPr="00467AC5" w:rsidRDefault="00467AC5" w:rsidP="00A007B8">
      <w:pPr>
        <w:pStyle w:val="Texte1"/>
        <w:spacing w:before="240"/>
        <w:rPr>
          <w:rFonts w:cstheme="minorBidi"/>
          <w:b/>
          <w:i/>
        </w:rPr>
      </w:pPr>
      <w:r w:rsidRPr="00467AC5">
        <w:rPr>
          <w:rFonts w:cstheme="minorBidi"/>
          <w:b/>
          <w:bCs/>
          <w:i/>
          <w:iCs/>
        </w:rPr>
        <w:t xml:space="preserve">Parmi les </w:t>
      </w:r>
      <w:r>
        <w:rPr>
          <w:rFonts w:cstheme="minorBidi"/>
          <w:b/>
          <w:bCs/>
          <w:i/>
          <w:iCs/>
        </w:rPr>
        <w:t xml:space="preserve">différents domaines </w:t>
      </w:r>
      <w:r w:rsidRPr="00467AC5">
        <w:rPr>
          <w:rFonts w:cstheme="minorBidi"/>
          <w:b/>
          <w:bCs/>
          <w:i/>
          <w:iCs/>
        </w:rPr>
        <w:t>de la politique</w:t>
      </w:r>
      <w:r w:rsidRPr="00467AC5">
        <w:rPr>
          <w:rFonts w:cstheme="minorBidi"/>
          <w:b/>
          <w:i/>
        </w:rPr>
        <w:t xml:space="preserve"> </w:t>
      </w:r>
      <w:r>
        <w:rPr>
          <w:rFonts w:cstheme="minorBidi"/>
          <w:b/>
          <w:i/>
        </w:rPr>
        <w:t xml:space="preserve">de </w:t>
      </w:r>
      <w:r w:rsidRPr="00467AC5">
        <w:rPr>
          <w:rFonts w:cstheme="minorBidi"/>
          <w:b/>
          <w:i/>
        </w:rPr>
        <w:t>sauvegarde</w:t>
      </w:r>
      <w:r>
        <w:rPr>
          <w:rFonts w:cstheme="minorBidi"/>
          <w:b/>
          <w:i/>
        </w:rPr>
        <w:t xml:space="preserve"> </w:t>
      </w:r>
      <w:r w:rsidRPr="00467AC5">
        <w:rPr>
          <w:rFonts w:cstheme="minorBidi"/>
          <w:b/>
          <w:i/>
        </w:rPr>
        <w:t xml:space="preserve">pour lesquels vous pourrez envisager de </w:t>
      </w:r>
      <w:r>
        <w:rPr>
          <w:rFonts w:cstheme="minorBidi"/>
          <w:b/>
          <w:i/>
        </w:rPr>
        <w:t>développ</w:t>
      </w:r>
      <w:r w:rsidRPr="00467AC5">
        <w:rPr>
          <w:rFonts w:cstheme="minorBidi"/>
          <w:b/>
          <w:i/>
        </w:rPr>
        <w:t>er la sensibil</w:t>
      </w:r>
      <w:r>
        <w:rPr>
          <w:rFonts w:cstheme="minorBidi"/>
          <w:b/>
          <w:i/>
        </w:rPr>
        <w:t>i</w:t>
      </w:r>
      <w:r w:rsidRPr="00467AC5">
        <w:rPr>
          <w:rFonts w:cstheme="minorBidi"/>
          <w:b/>
          <w:i/>
        </w:rPr>
        <w:t>té au genre, on citera :</w:t>
      </w:r>
    </w:p>
    <w:p w14:paraId="6C0C19AE" w14:textId="4300A101" w:rsidR="00075E8E" w:rsidRPr="00B16737" w:rsidRDefault="00467AC5" w:rsidP="00B32F11">
      <w:pPr>
        <w:pStyle w:val="Txtpucegras"/>
      </w:pPr>
      <w:r>
        <w:t>Identification/inventaire ;</w:t>
      </w:r>
    </w:p>
    <w:p w14:paraId="27421DA0" w14:textId="0A1E1D26" w:rsidR="00075E8E" w:rsidRPr="00B16737" w:rsidRDefault="00467AC5" w:rsidP="00B32F11">
      <w:pPr>
        <w:pStyle w:val="Txtpucegras"/>
      </w:pPr>
      <w:r>
        <w:lastRenderedPageBreak/>
        <w:t>recherche/documentation ;</w:t>
      </w:r>
    </w:p>
    <w:p w14:paraId="2E774EE1" w14:textId="07D9C926" w:rsidR="00075E8E" w:rsidRDefault="00467AC5" w:rsidP="00B32F11">
      <w:pPr>
        <w:pStyle w:val="Txtpucegras"/>
      </w:pPr>
      <w:r>
        <w:t>transmission du PCI ;</w:t>
      </w:r>
    </w:p>
    <w:p w14:paraId="0E727F0D" w14:textId="36D8B996" w:rsidR="00467AC5" w:rsidRPr="00B16737" w:rsidRDefault="00467AC5" w:rsidP="00B32F11">
      <w:pPr>
        <w:pStyle w:val="Txtpucegras"/>
      </w:pPr>
      <w:r>
        <w:t>promo</w:t>
      </w:r>
      <w:r w:rsidR="005564C7">
        <w:t xml:space="preserve">tion du PCI et sensibilisation </w:t>
      </w:r>
      <w:r>
        <w:t>au PCI (à tous les niveaux) ;</w:t>
      </w:r>
    </w:p>
    <w:p w14:paraId="24C2225D" w14:textId="23E12F41" w:rsidR="00075E8E" w:rsidRPr="00B16737" w:rsidRDefault="00467AC5" w:rsidP="00B32F11">
      <w:pPr>
        <w:pStyle w:val="Txtpucegras"/>
      </w:pPr>
      <w:r>
        <w:t>éducation et formation ;</w:t>
      </w:r>
    </w:p>
    <w:p w14:paraId="46AD1E4E" w14:textId="0AC76FC2" w:rsidR="00075E8E" w:rsidRPr="00B16737" w:rsidRDefault="00467AC5" w:rsidP="00B32F11">
      <w:pPr>
        <w:pStyle w:val="Txtpucegras"/>
      </w:pPr>
      <w:r>
        <w:t>travail avec les communautés sur la conception et la mise en œuvre d’actions de sauvegarde ;</w:t>
      </w:r>
    </w:p>
    <w:p w14:paraId="7A706BFA" w14:textId="316CBF0C" w:rsidR="00075E8E" w:rsidRPr="00B16737" w:rsidRDefault="00467AC5" w:rsidP="00B32F11">
      <w:pPr>
        <w:pStyle w:val="Txtpucegras"/>
      </w:pPr>
      <w:r>
        <w:t>suivi et évaluation des plans de sauvegarde ;</w:t>
      </w:r>
    </w:p>
    <w:p w14:paraId="45EB4743" w14:textId="22FFD951" w:rsidR="00075E8E" w:rsidRPr="00B16737" w:rsidRDefault="00467AC5" w:rsidP="00B32F11">
      <w:pPr>
        <w:pStyle w:val="Txtpucegras"/>
      </w:pPr>
      <w:r>
        <w:t>intégration de la sauvegarde du PCI au sein de politiques culturelles plus larges ;</w:t>
      </w:r>
    </w:p>
    <w:p w14:paraId="192AF567" w14:textId="3354800B" w:rsidR="00075E8E" w:rsidRPr="00B16737" w:rsidRDefault="00467AC5" w:rsidP="00B32F11">
      <w:pPr>
        <w:pStyle w:val="Txtpucegras"/>
      </w:pPr>
      <w:r>
        <w:t xml:space="preserve">intégration du PCI au sein </w:t>
      </w:r>
      <w:r w:rsidR="009D0DA1">
        <w:t>de politiques autres que culturelles (planification du développement rural et urbain, environnement, commerce, agriculture, etc.)</w:t>
      </w:r>
      <w:r w:rsidR="005564C7">
        <w:t>.</w:t>
      </w:r>
    </w:p>
    <w:sectPr w:rsidR="00075E8E" w:rsidRPr="00B16737" w:rsidSect="009B3A94">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20" w:code="9"/>
      <w:pgMar w:top="1701" w:right="1531" w:bottom="1701" w:left="1531" w:header="720" w:footer="720"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2C4823" w15:done="0"/>
  <w15:commentEx w15:paraId="36D3FC59" w15:done="0"/>
  <w15:commentEx w15:paraId="5F791C04" w15:done="0"/>
  <w15:commentEx w15:paraId="5916F96C" w15:done="0"/>
  <w15:commentEx w15:paraId="77DB129A" w15:done="0"/>
  <w15:commentEx w15:paraId="3861EEA7" w15:done="0"/>
  <w15:commentEx w15:paraId="1E8D58A0" w15:done="0"/>
  <w15:commentEx w15:paraId="34B49D90" w15:done="0"/>
  <w15:commentEx w15:paraId="6D78610C" w15:done="0"/>
  <w15:commentEx w15:paraId="79AFEB21" w15:done="0"/>
  <w15:commentEx w15:paraId="090502F8" w15:done="0"/>
  <w15:commentEx w15:paraId="7632DF3E" w15:done="0"/>
  <w15:commentEx w15:paraId="001BD65A" w15:done="0"/>
  <w15:commentEx w15:paraId="49A0FA0B" w15:done="0"/>
  <w15:commentEx w15:paraId="1A2484AD" w15:done="0"/>
  <w15:commentEx w15:paraId="5071696E" w15:done="0"/>
  <w15:commentEx w15:paraId="04D270DF" w15:done="0"/>
  <w15:commentEx w15:paraId="093D083A" w15:done="0"/>
  <w15:commentEx w15:paraId="65B4E2E7" w15:done="0"/>
  <w15:commentEx w15:paraId="1CC3117B" w15:done="0"/>
</w15:commentsEx>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FA0B7" w14:textId="77777777" w:rsidR="00467AC5" w:rsidRDefault="00467AC5" w:rsidP="000A699C">
      <w:pPr>
        <w:spacing w:before="0" w:after="0"/>
      </w:pPr>
      <w:r>
        <w:separator/>
      </w:r>
    </w:p>
  </w:endnote>
  <w:endnote w:type="continuationSeparator" w:id="0">
    <w:p w14:paraId="6B6A2CAD" w14:textId="77777777" w:rsidR="00467AC5" w:rsidRDefault="00467AC5"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55D74" w14:textId="0896C7F7" w:rsidR="00467AC5" w:rsidRPr="00F8389C" w:rsidRDefault="00D67DE3" w:rsidP="00F8389C">
    <w:pPr>
      <w:pStyle w:val="Footer"/>
      <w:rPr>
        <w:lang w:val="fr-FR"/>
      </w:rPr>
    </w:pPr>
    <w:r>
      <w:rPr>
        <w:noProof/>
        <w:lang w:eastAsia="fr-FR"/>
      </w:rPr>
      <w:drawing>
        <wp:anchor distT="0" distB="0" distL="114300" distR="114300" simplePos="0" relativeHeight="251789312" behindDoc="0" locked="0" layoutInCell="1" allowOverlap="1" wp14:anchorId="1B81F89E" wp14:editId="18F794AF">
          <wp:simplePos x="0" y="0"/>
          <wp:positionH relativeFrom="column">
            <wp:posOffset>2212340</wp:posOffset>
          </wp:positionH>
          <wp:positionV relativeFrom="paragraph">
            <wp:posOffset>16510</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8389C">
      <w:rPr>
        <w:noProof/>
        <w:lang w:val="fr-FR" w:eastAsia="fr-FR"/>
      </w:rPr>
      <w:drawing>
        <wp:anchor distT="0" distB="0" distL="114300" distR="114300" simplePos="0" relativeHeight="251777024" behindDoc="0" locked="0" layoutInCell="1" allowOverlap="1" wp14:anchorId="2AEA9873" wp14:editId="21B3C4EF">
          <wp:simplePos x="0" y="0"/>
          <wp:positionH relativeFrom="column">
            <wp:posOffset>-279400</wp:posOffset>
          </wp:positionH>
          <wp:positionV relativeFrom="paragraph">
            <wp:posOffset>-304165</wp:posOffset>
          </wp:positionV>
          <wp:extent cx="838835" cy="6292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38835" cy="629274"/>
                  </a:xfrm>
                  <a:prstGeom prst="rect">
                    <a:avLst/>
                  </a:prstGeom>
                </pic:spPr>
              </pic:pic>
            </a:graphicData>
          </a:graphic>
          <wp14:sizeRelH relativeFrom="page">
            <wp14:pctWidth>0</wp14:pctWidth>
          </wp14:sizeRelH>
          <wp14:sizeRelV relativeFrom="page">
            <wp14:pctHeight>0</wp14:pctHeight>
          </wp14:sizeRelV>
        </wp:anchor>
      </w:drawing>
    </w:r>
    <w:r w:rsidR="00467AC5" w:rsidRPr="00B16737">
      <w:rPr>
        <w:lang w:val="fr-FR"/>
      </w:rPr>
      <w:tab/>
    </w:r>
    <w:r w:rsidR="00467AC5" w:rsidRPr="00B16737">
      <w:rPr>
        <w:lang w:val="fr-FR"/>
      </w:rPr>
      <w:tab/>
      <w:t>U049-v1.0-HO9-FR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6C5B" w14:textId="49F80056" w:rsidR="00467AC5" w:rsidRPr="005B79C8" w:rsidRDefault="00D67DE3">
    <w:pPr>
      <w:pStyle w:val="Footer"/>
      <w:rPr>
        <w:lang w:val="fr-FR"/>
      </w:rPr>
    </w:pPr>
    <w:r>
      <w:rPr>
        <w:noProof/>
        <w:lang w:eastAsia="fr-FR"/>
      </w:rPr>
      <w:drawing>
        <wp:anchor distT="0" distB="0" distL="114300" distR="114300" simplePos="0" relativeHeight="251791360" behindDoc="0" locked="0" layoutInCell="1" allowOverlap="1" wp14:anchorId="4A31CD6A" wp14:editId="4829A14A">
          <wp:simplePos x="0" y="0"/>
          <wp:positionH relativeFrom="column">
            <wp:posOffset>2517140</wp:posOffset>
          </wp:positionH>
          <wp:positionV relativeFrom="paragraph">
            <wp:posOffset>-59690</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8389C">
      <w:rPr>
        <w:noProof/>
        <w:lang w:val="fr-FR" w:eastAsia="fr-FR"/>
      </w:rPr>
      <w:drawing>
        <wp:anchor distT="0" distB="0" distL="114300" distR="114300" simplePos="0" relativeHeight="251779072" behindDoc="0" locked="0" layoutInCell="1" allowOverlap="1" wp14:anchorId="37D0EF28" wp14:editId="54793BCD">
          <wp:simplePos x="0" y="0"/>
          <wp:positionH relativeFrom="column">
            <wp:posOffset>4971415</wp:posOffset>
          </wp:positionH>
          <wp:positionV relativeFrom="paragraph">
            <wp:posOffset>-304165</wp:posOffset>
          </wp:positionV>
          <wp:extent cx="838835"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38835" cy="628650"/>
                  </a:xfrm>
                  <a:prstGeom prst="rect">
                    <a:avLst/>
                  </a:prstGeom>
                </pic:spPr>
              </pic:pic>
            </a:graphicData>
          </a:graphic>
          <wp14:sizeRelH relativeFrom="page">
            <wp14:pctWidth>0</wp14:pctWidth>
          </wp14:sizeRelH>
          <wp14:sizeRelV relativeFrom="page">
            <wp14:pctHeight>0</wp14:pctHeight>
          </wp14:sizeRelV>
        </wp:anchor>
      </w:drawing>
    </w:r>
    <w:r w:rsidR="00467AC5" w:rsidRPr="005B79C8">
      <w:rPr>
        <w:lang w:val="fr-FR"/>
      </w:rPr>
      <w:t>U049-v1.0-HO9-FR</w:t>
    </w:r>
    <w:r w:rsidR="00467AC5" w:rsidRPr="005B79C8">
      <w:rPr>
        <w:lang w:val="fr-FR"/>
      </w:rPr>
      <w:tab/>
    </w:r>
    <w:r w:rsidR="00467AC5" w:rsidRPr="005B79C8">
      <w:rPr>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1E157" w14:textId="6D73C7D9" w:rsidR="00467AC5" w:rsidRPr="00B16737" w:rsidRDefault="00D67DE3" w:rsidP="00F8389C">
    <w:pPr>
      <w:pStyle w:val="Footer"/>
      <w:rPr>
        <w:lang w:val="fr-FR"/>
      </w:rPr>
    </w:pPr>
    <w:r>
      <w:rPr>
        <w:noProof/>
        <w:lang w:eastAsia="fr-FR"/>
      </w:rPr>
      <w:drawing>
        <wp:anchor distT="0" distB="0" distL="114300" distR="114300" simplePos="0" relativeHeight="251787264" behindDoc="0" locked="0" layoutInCell="1" allowOverlap="1" wp14:anchorId="0DC6C7CC" wp14:editId="547D475D">
          <wp:simplePos x="0" y="0"/>
          <wp:positionH relativeFrom="column">
            <wp:posOffset>2574290</wp:posOffset>
          </wp:positionH>
          <wp:positionV relativeFrom="paragraph">
            <wp:posOffset>16510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8389C">
      <w:rPr>
        <w:noProof/>
        <w:lang w:val="fr-FR" w:eastAsia="fr-FR"/>
      </w:rPr>
      <w:drawing>
        <wp:anchor distT="0" distB="0" distL="114300" distR="114300" simplePos="0" relativeHeight="251774976" behindDoc="0" locked="0" layoutInCell="1" allowOverlap="1" wp14:anchorId="75FE91A0" wp14:editId="3E736EF0">
          <wp:simplePos x="0" y="0"/>
          <wp:positionH relativeFrom="column">
            <wp:posOffset>4819015</wp:posOffset>
          </wp:positionH>
          <wp:positionV relativeFrom="paragraph">
            <wp:posOffset>-304800</wp:posOffset>
          </wp:positionV>
          <wp:extent cx="838835" cy="6292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39426" cy="629717"/>
                  </a:xfrm>
                  <a:prstGeom prst="rect">
                    <a:avLst/>
                  </a:prstGeom>
                </pic:spPr>
              </pic:pic>
            </a:graphicData>
          </a:graphic>
          <wp14:sizeRelH relativeFrom="page">
            <wp14:pctWidth>0</wp14:pctWidth>
          </wp14:sizeRelH>
          <wp14:sizeRelV relativeFrom="page">
            <wp14:pctHeight>0</wp14:pctHeight>
          </wp14:sizeRelV>
        </wp:anchor>
      </w:drawing>
    </w:r>
    <w:r w:rsidR="00467AC5" w:rsidRPr="00B16737">
      <w:rPr>
        <w:lang w:val="fr-FR"/>
      </w:rPr>
      <w:t>U049-v1.0-HO9-FR</w:t>
    </w:r>
    <w:r w:rsidR="00467AC5" w:rsidRPr="00B16737">
      <w:rPr>
        <w:lang w:val="fr-FR"/>
      </w:rPr>
      <w:tab/>
    </w:r>
    <w:r w:rsidR="00467AC5" w:rsidRPr="00B16737">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5B522" w14:textId="77777777" w:rsidR="00467AC5" w:rsidRDefault="00467AC5" w:rsidP="000A699C">
      <w:pPr>
        <w:spacing w:before="0" w:after="0"/>
      </w:pPr>
      <w:r>
        <w:separator/>
      </w:r>
    </w:p>
  </w:footnote>
  <w:footnote w:type="continuationSeparator" w:id="0">
    <w:p w14:paraId="47B8F248" w14:textId="77777777" w:rsidR="00467AC5" w:rsidRDefault="00467AC5" w:rsidP="000A69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04D8" w14:textId="73521C9F" w:rsidR="00467AC5" w:rsidRPr="00B16737" w:rsidRDefault="00467AC5" w:rsidP="00075E8E">
    <w:pPr>
      <w:pStyle w:val="Header"/>
      <w:rPr>
        <w:lang w:val="fr-FR"/>
      </w:rPr>
    </w:pPr>
    <w:r w:rsidRPr="00B16737">
      <w:rPr>
        <w:rStyle w:val="PageNumber"/>
        <w:lang w:val="fr-FR"/>
      </w:rPr>
      <w:fldChar w:fldCharType="begin"/>
    </w:r>
    <w:r w:rsidRPr="00B16737">
      <w:rPr>
        <w:rStyle w:val="PageNumber"/>
        <w:lang w:val="fr-FR"/>
      </w:rPr>
      <w:instrText xml:space="preserve"> PAGE </w:instrText>
    </w:r>
    <w:r w:rsidRPr="00B16737">
      <w:rPr>
        <w:rStyle w:val="PageNumber"/>
        <w:lang w:val="fr-FR"/>
      </w:rPr>
      <w:fldChar w:fldCharType="separate"/>
    </w:r>
    <w:r w:rsidR="00D67DE3">
      <w:rPr>
        <w:rStyle w:val="PageNumber"/>
        <w:noProof/>
        <w:lang w:val="fr-FR"/>
      </w:rPr>
      <w:t>2</w:t>
    </w:r>
    <w:r w:rsidRPr="00B16737">
      <w:rPr>
        <w:rStyle w:val="PageNumber"/>
        <w:lang w:val="fr-FR"/>
      </w:rPr>
      <w:fldChar w:fldCharType="end"/>
    </w:r>
    <w:r w:rsidRPr="00B16737">
      <w:rPr>
        <w:rStyle w:val="PageNumber"/>
        <w:lang w:val="fr-FR"/>
      </w:rPr>
      <w:tab/>
      <w:t>Unit</w:t>
    </w:r>
    <w:r>
      <w:rPr>
        <w:rStyle w:val="PageNumber"/>
        <w:lang w:val="fr-FR"/>
      </w:rPr>
      <w:t xml:space="preserve">é 49 : Une approche sensible au genre pour la </w:t>
    </w:r>
    <w:r w:rsidRPr="00B16737">
      <w:rPr>
        <w:rStyle w:val="PageNumber"/>
        <w:lang w:val="fr-FR"/>
      </w:rPr>
      <w:t>sauvegarde</w:t>
    </w:r>
    <w:r>
      <w:rPr>
        <w:rStyle w:val="PageNumber"/>
        <w:lang w:val="fr-FR"/>
      </w:rPr>
      <w:t xml:space="preserve"> du PCI </w:t>
    </w:r>
    <w:r w:rsidRPr="00B16737">
      <w:rPr>
        <w:lang w:val="fr-FR"/>
      </w:rPr>
      <w:tab/>
      <w:t>Imprimé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77F3F" w14:textId="7D6A3414" w:rsidR="00467AC5" w:rsidRPr="007B26C0" w:rsidRDefault="00467AC5" w:rsidP="00075E8E">
    <w:pPr>
      <w:pStyle w:val="Header"/>
      <w:rPr>
        <w:lang w:val="fr-FR"/>
      </w:rPr>
    </w:pPr>
    <w:r>
      <w:rPr>
        <w:lang w:val="fr-FR"/>
      </w:rPr>
      <w:t>Imprimé 9</w:t>
    </w:r>
    <w:r w:rsidRPr="007B26C0">
      <w:rPr>
        <w:lang w:val="fr-FR"/>
      </w:rPr>
      <w:tab/>
    </w:r>
    <w:r w:rsidRPr="00B16737">
      <w:rPr>
        <w:rStyle w:val="PageNumber"/>
        <w:lang w:val="fr-FR"/>
      </w:rPr>
      <w:t>Unit</w:t>
    </w:r>
    <w:r>
      <w:rPr>
        <w:rStyle w:val="PageNumber"/>
        <w:lang w:val="fr-FR"/>
      </w:rPr>
      <w:t xml:space="preserve">é 49 : Une approche sensible au genre pour la </w:t>
    </w:r>
    <w:r w:rsidRPr="00B16737">
      <w:rPr>
        <w:rStyle w:val="PageNumber"/>
        <w:lang w:val="fr-FR"/>
      </w:rPr>
      <w:t>sauvegarde</w:t>
    </w:r>
    <w:r>
      <w:rPr>
        <w:rStyle w:val="PageNumber"/>
        <w:lang w:val="fr-FR"/>
      </w:rPr>
      <w:t xml:space="preserve"> du PCI</w:t>
    </w:r>
    <w:r w:rsidRPr="007B26C0" w:rsidDel="006831F2">
      <w:rPr>
        <w:rStyle w:val="PageNumber"/>
        <w:lang w:val="fr-FR"/>
      </w:rPr>
      <w:t xml:space="preserve"> </w:t>
    </w:r>
    <w:r w:rsidRPr="007B26C0">
      <w:rPr>
        <w:lang w:val="fr-FR"/>
      </w:rPr>
      <w:tab/>
    </w:r>
    <w:r w:rsidRPr="007B26C0">
      <w:rPr>
        <w:rStyle w:val="PageNumber"/>
        <w:lang w:val="fr-FR"/>
      </w:rPr>
      <w:fldChar w:fldCharType="begin"/>
    </w:r>
    <w:r w:rsidRPr="007B26C0">
      <w:rPr>
        <w:rStyle w:val="PageNumber"/>
        <w:lang w:val="fr-FR"/>
      </w:rPr>
      <w:instrText xml:space="preserve"> PAGE </w:instrText>
    </w:r>
    <w:r w:rsidRPr="007B26C0">
      <w:rPr>
        <w:rStyle w:val="PageNumber"/>
        <w:lang w:val="fr-FR"/>
      </w:rPr>
      <w:fldChar w:fldCharType="separate"/>
    </w:r>
    <w:r w:rsidR="00D67DE3">
      <w:rPr>
        <w:rStyle w:val="PageNumber"/>
        <w:noProof/>
        <w:lang w:val="fr-FR"/>
      </w:rPr>
      <w:t>3</w:t>
    </w:r>
    <w:r w:rsidRPr="007B26C0">
      <w:rPr>
        <w:rStyle w:val="PageNumber"/>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2B47" w14:textId="2FA83097" w:rsidR="00467AC5" w:rsidRPr="002305AA" w:rsidRDefault="00467AC5">
    <w:pPr>
      <w:pStyle w:val="Header"/>
    </w:pPr>
    <w:r>
      <w:tab/>
      <w:t>Imprimé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229037BD"/>
    <w:multiLevelType w:val="hybridMultilevel"/>
    <w:tmpl w:val="359AD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602B60"/>
    <w:multiLevelType w:val="hybridMultilevel"/>
    <w:tmpl w:val="945E8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882480D"/>
    <w:multiLevelType w:val="hybridMultilevel"/>
    <w:tmpl w:val="C48CC0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8">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0">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3">
    <w:nsid w:val="3EA86FC0"/>
    <w:multiLevelType w:val="hybridMultilevel"/>
    <w:tmpl w:val="E7544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5">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4">
    <w:nsid w:val="5C062C17"/>
    <w:multiLevelType w:val="hybridMultilevel"/>
    <w:tmpl w:val="3E8C1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6">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7">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9">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60">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62">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6">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4">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6">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7">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9">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1">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3">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4">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5">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50"/>
  </w:num>
  <w:num w:numId="3">
    <w:abstractNumId w:val="22"/>
  </w:num>
  <w:num w:numId="4">
    <w:abstractNumId w:val="84"/>
  </w:num>
  <w:num w:numId="5">
    <w:abstractNumId w:val="11"/>
  </w:num>
  <w:num w:numId="6">
    <w:abstractNumId w:val="62"/>
  </w:num>
  <w:num w:numId="7">
    <w:abstractNumId w:val="61"/>
  </w:num>
  <w:num w:numId="8">
    <w:abstractNumId w:val="9"/>
  </w:num>
  <w:num w:numId="9">
    <w:abstractNumId w:val="29"/>
  </w:num>
  <w:num w:numId="10">
    <w:abstractNumId w:val="8"/>
  </w:num>
  <w:num w:numId="11">
    <w:abstractNumId w:val="13"/>
  </w:num>
  <w:num w:numId="12">
    <w:abstractNumId w:val="71"/>
  </w:num>
  <w:num w:numId="13">
    <w:abstractNumId w:val="81"/>
  </w:num>
  <w:num w:numId="14">
    <w:abstractNumId w:val="31"/>
  </w:num>
  <w:num w:numId="15">
    <w:abstractNumId w:val="74"/>
  </w:num>
  <w:num w:numId="16">
    <w:abstractNumId w:val="17"/>
  </w:num>
  <w:num w:numId="17">
    <w:abstractNumId w:val="47"/>
  </w:num>
  <w:num w:numId="18">
    <w:abstractNumId w:val="41"/>
  </w:num>
  <w:num w:numId="19">
    <w:abstractNumId w:val="72"/>
  </w:num>
  <w:num w:numId="20">
    <w:abstractNumId w:val="53"/>
  </w:num>
  <w:num w:numId="21">
    <w:abstractNumId w:val="10"/>
  </w:num>
  <w:num w:numId="22">
    <w:abstractNumId w:val="5"/>
  </w:num>
  <w:num w:numId="23">
    <w:abstractNumId w:val="66"/>
  </w:num>
  <w:num w:numId="24">
    <w:abstractNumId w:val="44"/>
  </w:num>
  <w:num w:numId="25">
    <w:abstractNumId w:val="51"/>
  </w:num>
  <w:num w:numId="26">
    <w:abstractNumId w:val="21"/>
  </w:num>
  <w:num w:numId="27">
    <w:abstractNumId w:val="25"/>
  </w:num>
  <w:num w:numId="28">
    <w:abstractNumId w:val="42"/>
  </w:num>
  <w:num w:numId="29">
    <w:abstractNumId w:val="45"/>
  </w:num>
  <w:num w:numId="30">
    <w:abstractNumId w:val="58"/>
  </w:num>
  <w:num w:numId="31">
    <w:abstractNumId w:val="73"/>
  </w:num>
  <w:num w:numId="32">
    <w:abstractNumId w:val="76"/>
  </w:num>
  <w:num w:numId="33">
    <w:abstractNumId w:val="19"/>
  </w:num>
  <w:num w:numId="34">
    <w:abstractNumId w:val="0"/>
  </w:num>
  <w:num w:numId="35">
    <w:abstractNumId w:val="80"/>
  </w:num>
  <w:num w:numId="36">
    <w:abstractNumId w:val="28"/>
  </w:num>
  <w:num w:numId="37">
    <w:abstractNumId w:val="69"/>
  </w:num>
  <w:num w:numId="38">
    <w:abstractNumId w:val="80"/>
  </w:num>
  <w:num w:numId="39">
    <w:abstractNumId w:val="2"/>
  </w:num>
  <w:num w:numId="40">
    <w:abstractNumId w:val="64"/>
  </w:num>
  <w:num w:numId="41">
    <w:abstractNumId w:val="28"/>
    <w:lvlOverride w:ilvl="0">
      <w:startOverride w:val="1"/>
    </w:lvlOverride>
  </w:num>
  <w:num w:numId="42">
    <w:abstractNumId w:val="14"/>
  </w:num>
  <w:num w:numId="43">
    <w:abstractNumId w:val="46"/>
  </w:num>
  <w:num w:numId="44">
    <w:abstractNumId w:val="79"/>
  </w:num>
  <w:num w:numId="45">
    <w:abstractNumId w:val="34"/>
  </w:num>
  <w:num w:numId="46">
    <w:abstractNumId w:val="68"/>
  </w:num>
  <w:num w:numId="47">
    <w:abstractNumId w:val="34"/>
    <w:lvlOverride w:ilvl="0">
      <w:startOverride w:val="1"/>
    </w:lvlOverride>
  </w:num>
  <w:num w:numId="48">
    <w:abstractNumId w:val="45"/>
  </w:num>
  <w:num w:numId="49">
    <w:abstractNumId w:val="77"/>
  </w:num>
  <w:num w:numId="50">
    <w:abstractNumId w:val="34"/>
    <w:lvlOverride w:ilvl="0">
      <w:startOverride w:val="1"/>
    </w:lvlOverride>
  </w:num>
  <w:num w:numId="51">
    <w:abstractNumId w:val="26"/>
  </w:num>
  <w:num w:numId="52">
    <w:abstractNumId w:val="34"/>
    <w:lvlOverride w:ilvl="0">
      <w:startOverride w:val="1"/>
    </w:lvlOverride>
  </w:num>
  <w:num w:numId="53">
    <w:abstractNumId w:val="80"/>
  </w:num>
  <w:num w:numId="54">
    <w:abstractNumId w:val="80"/>
  </w:num>
  <w:num w:numId="55">
    <w:abstractNumId w:val="80"/>
  </w:num>
  <w:num w:numId="56">
    <w:abstractNumId w:val="80"/>
  </w:num>
  <w:num w:numId="57">
    <w:abstractNumId w:val="80"/>
  </w:num>
  <w:num w:numId="58">
    <w:abstractNumId w:val="85"/>
  </w:num>
  <w:num w:numId="59">
    <w:abstractNumId w:val="48"/>
  </w:num>
  <w:num w:numId="60">
    <w:abstractNumId w:val="4"/>
  </w:num>
  <w:num w:numId="61">
    <w:abstractNumId w:val="48"/>
    <w:lvlOverride w:ilvl="0">
      <w:startOverride w:val="1"/>
    </w:lvlOverride>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9"/>
  </w:num>
  <w:num w:numId="69">
    <w:abstractNumId w:val="48"/>
    <w:lvlOverride w:ilvl="0">
      <w:startOverride w:val="1"/>
    </w:lvlOverride>
  </w:num>
  <w:num w:numId="70">
    <w:abstractNumId w:val="48"/>
  </w:num>
  <w:num w:numId="71">
    <w:abstractNumId w:val="48"/>
  </w:num>
  <w:num w:numId="72">
    <w:abstractNumId w:val="48"/>
  </w:num>
  <w:num w:numId="73">
    <w:abstractNumId w:val="48"/>
  </w:num>
  <w:num w:numId="74">
    <w:abstractNumId w:val="48"/>
  </w:num>
  <w:num w:numId="75">
    <w:abstractNumId w:val="48"/>
  </w:num>
  <w:num w:numId="76">
    <w:abstractNumId w:val="48"/>
  </w:num>
  <w:num w:numId="77">
    <w:abstractNumId w:val="48"/>
  </w:num>
  <w:num w:numId="78">
    <w:abstractNumId w:val="30"/>
  </w:num>
  <w:num w:numId="79">
    <w:abstractNumId w:val="18"/>
  </w:num>
  <w:num w:numId="80">
    <w:abstractNumId w:val="48"/>
    <w:lvlOverride w:ilvl="0">
      <w:startOverride w:val="1"/>
    </w:lvlOverride>
  </w:num>
  <w:num w:numId="81">
    <w:abstractNumId w:val="63"/>
  </w:num>
  <w:num w:numId="82">
    <w:abstractNumId w:val="36"/>
  </w:num>
  <w:num w:numId="83">
    <w:abstractNumId w:val="40"/>
  </w:num>
  <w:num w:numId="84">
    <w:abstractNumId w:val="16"/>
  </w:num>
  <w:num w:numId="85">
    <w:abstractNumId w:val="48"/>
    <w:lvlOverride w:ilvl="0">
      <w:startOverride w:val="1"/>
    </w:lvlOverride>
  </w:num>
  <w:num w:numId="86">
    <w:abstractNumId w:val="3"/>
  </w:num>
  <w:num w:numId="87">
    <w:abstractNumId w:val="12"/>
  </w:num>
  <w:num w:numId="88">
    <w:abstractNumId w:val="48"/>
    <w:lvlOverride w:ilvl="0">
      <w:startOverride w:val="1"/>
    </w:lvlOverride>
  </w:num>
  <w:num w:numId="89">
    <w:abstractNumId w:val="35"/>
  </w:num>
  <w:num w:numId="90">
    <w:abstractNumId w:val="48"/>
    <w:lvlOverride w:ilvl="0">
      <w:startOverride w:val="1"/>
    </w:lvlOverride>
  </w:num>
  <w:num w:numId="91">
    <w:abstractNumId w:val="6"/>
  </w:num>
  <w:num w:numId="92">
    <w:abstractNumId w:val="52"/>
  </w:num>
  <w:num w:numId="93">
    <w:abstractNumId w:val="60"/>
  </w:num>
  <w:num w:numId="94">
    <w:abstractNumId w:val="57"/>
  </w:num>
  <w:num w:numId="95">
    <w:abstractNumId w:val="48"/>
    <w:lvlOverride w:ilvl="0">
      <w:startOverride w:val="2"/>
    </w:lvlOverride>
  </w:num>
  <w:num w:numId="96">
    <w:abstractNumId w:val="55"/>
  </w:num>
  <w:num w:numId="97">
    <w:abstractNumId w:val="70"/>
  </w:num>
  <w:num w:numId="98">
    <w:abstractNumId w:val="67"/>
  </w:num>
  <w:num w:numId="99">
    <w:abstractNumId w:val="38"/>
  </w:num>
  <w:num w:numId="100">
    <w:abstractNumId w:val="3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7"/>
  </w:num>
  <w:num w:numId="109">
    <w:abstractNumId w:val="37"/>
    <w:lvlOverride w:ilvl="0">
      <w:startOverride w:val="1"/>
    </w:lvlOverride>
  </w:num>
  <w:num w:numId="110">
    <w:abstractNumId w:val="37"/>
  </w:num>
  <w:num w:numId="111">
    <w:abstractNumId w:val="37"/>
  </w:num>
  <w:num w:numId="112">
    <w:abstractNumId w:val="78"/>
  </w:num>
  <w:num w:numId="113">
    <w:abstractNumId w:val="83"/>
  </w:num>
  <w:num w:numId="114">
    <w:abstractNumId w:val="75"/>
  </w:num>
  <w:num w:numId="115">
    <w:abstractNumId w:val="37"/>
    <w:lvlOverride w:ilvl="0">
      <w:startOverride w:val="1"/>
    </w:lvlOverride>
  </w:num>
  <w:num w:numId="116">
    <w:abstractNumId w:val="56"/>
  </w:num>
  <w:num w:numId="117">
    <w:abstractNumId w:val="37"/>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9"/>
  </w:num>
  <w:num w:numId="124">
    <w:abstractNumId w:val="37"/>
    <w:lvlOverride w:ilvl="0">
      <w:startOverride w:val="1"/>
    </w:lvlOverride>
  </w:num>
  <w:num w:numId="125">
    <w:abstractNumId w:val="7"/>
  </w:num>
  <w:num w:numId="126">
    <w:abstractNumId w:val="7"/>
  </w:num>
  <w:num w:numId="127">
    <w:abstractNumId w:val="82"/>
  </w:num>
  <w:num w:numId="128">
    <w:abstractNumId w:val="37"/>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5"/>
  </w:num>
  <w:num w:numId="141">
    <w:abstractNumId w:val="37"/>
    <w:lvlOverride w:ilvl="0">
      <w:startOverride w:val="1"/>
    </w:lvlOverride>
  </w:num>
  <w:num w:numId="142">
    <w:abstractNumId w:val="67"/>
  </w:num>
  <w:num w:numId="143">
    <w:abstractNumId w:val="42"/>
  </w:num>
  <w:num w:numId="144">
    <w:abstractNumId w:val="24"/>
  </w:num>
  <w:num w:numId="145">
    <w:abstractNumId w:val="15"/>
  </w:num>
  <w:num w:numId="146">
    <w:abstractNumId w:val="37"/>
  </w:num>
  <w:num w:numId="147">
    <w:abstractNumId w:val="59"/>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54"/>
  </w:num>
  <w:num w:numId="160">
    <w:abstractNumId w:val="23"/>
  </w:num>
  <w:num w:numId="161">
    <w:abstractNumId w:val="43"/>
  </w:num>
  <w:num w:numId="162">
    <w:abstractNumId w:val="32"/>
  </w:num>
  <w:num w:numId="163">
    <w:abstractNumId w:val="33"/>
  </w:num>
  <w:numIdMacAtCleanup w:val="1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uttgen, Susanne">
    <w15:presenceInfo w15:providerId="AD" w15:userId="S-1-5-21-1606980848-1958367476-725345543-11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defaultTabStop w:val="340"/>
  <w:hyphenationZone w:val="425"/>
  <w:evenAndOddHeaders/>
  <w:drawingGridHorizontalSpacing w:val="110"/>
  <w:displayHorizontalDrawingGridEvery w:val="2"/>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6FF"/>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5E8E"/>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00A"/>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A92"/>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95"/>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78A"/>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73B"/>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67AC5"/>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2E77"/>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4C7"/>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9C8"/>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7CA"/>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64A"/>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26C0"/>
    <w:rsid w:val="007B30AE"/>
    <w:rsid w:val="007B3266"/>
    <w:rsid w:val="007B3291"/>
    <w:rsid w:val="007B35F9"/>
    <w:rsid w:val="007B37AD"/>
    <w:rsid w:val="007B3902"/>
    <w:rsid w:val="007B3BCD"/>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802"/>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DA1"/>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7B8"/>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37"/>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2F11"/>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083"/>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6FD2"/>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67DE3"/>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89C"/>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317"/>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ar Char Char,fn,footnote text,5_G"/>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aliases w:val="Footnote Text Char Char Char Char Char Char,Footnote Text Char Char Char Char Char1, Char Char, Char Char Char Char Char,fn Char,footnote text Char,5_G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B32F11"/>
    <w:pPr>
      <w:numPr>
        <w:numId w:val="28"/>
      </w:numPr>
      <w:ind w:left="1135"/>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character" w:customStyle="1" w:styleId="shortdesc1">
    <w:name w:val="short_desc1"/>
    <w:basedOn w:val="DefaultParagraphFont"/>
    <w:rsid w:val="000C100A"/>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0C100A"/>
    <w:rPr>
      <w:rFonts w:ascii="Verdana" w:hAnsi="Verdana" w:hint="default"/>
      <w:strike w:val="0"/>
      <w:dstrike w:val="0"/>
      <w:color w:val="000000"/>
      <w:sz w:val="15"/>
      <w:szCs w:val="15"/>
      <w:u w:val="none"/>
      <w:effect w:val="none"/>
    </w:rPr>
  </w:style>
  <w:style w:type="paragraph" w:styleId="ListParagraph">
    <w:name w:val="List Paragraph"/>
    <w:basedOn w:val="Normal"/>
    <w:uiPriority w:val="34"/>
    <w:qFormat/>
    <w:rsid w:val="00075E8E"/>
    <w:pPr>
      <w:tabs>
        <w:tab w:val="clear" w:pos="567"/>
      </w:tabs>
      <w:snapToGrid/>
      <w:spacing w:before="0" w:after="200" w:line="276" w:lineRule="auto"/>
      <w:ind w:left="720"/>
      <w:contextualSpacing/>
      <w:jc w:val="left"/>
    </w:pPr>
    <w:rPr>
      <w:rFonts w:asciiTheme="minorHAnsi" w:eastAsiaTheme="minorEastAsia" w:hAnsiTheme="minorHAnsi" w:cstheme="minorBidi"/>
      <w:snapToGrid/>
      <w:szCs w:val="22"/>
      <w:lang w:val="fr-FR" w:eastAsia="fr-FR"/>
    </w:rPr>
  </w:style>
  <w:style w:type="paragraph" w:customStyle="1" w:styleId="formtext">
    <w:name w:val="formtext"/>
    <w:basedOn w:val="Normal"/>
    <w:rsid w:val="00075E8E"/>
    <w:pPr>
      <w:tabs>
        <w:tab w:val="clear" w:pos="567"/>
      </w:tabs>
      <w:snapToGrid/>
      <w:spacing w:before="80" w:after="80" w:line="240" w:lineRule="exact"/>
      <w:jc w:val="left"/>
    </w:pPr>
    <w:rPr>
      <w:rFonts w:cs="Times New Roman"/>
      <w:snapToGrid/>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ar Char Char,fn,footnote text,5_G"/>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aliases w:val="Footnote Text Char Char Char Char Char Char,Footnote Text Char Char Char Char Char1, Char Char, Char Char Char Char Char,fn Char,footnote text Char,5_G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B32F11"/>
    <w:pPr>
      <w:numPr>
        <w:numId w:val="28"/>
      </w:numPr>
      <w:ind w:left="1135"/>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character" w:customStyle="1" w:styleId="shortdesc1">
    <w:name w:val="short_desc1"/>
    <w:basedOn w:val="DefaultParagraphFont"/>
    <w:rsid w:val="000C100A"/>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0C100A"/>
    <w:rPr>
      <w:rFonts w:ascii="Verdana" w:hAnsi="Verdana" w:hint="default"/>
      <w:strike w:val="0"/>
      <w:dstrike w:val="0"/>
      <w:color w:val="000000"/>
      <w:sz w:val="15"/>
      <w:szCs w:val="15"/>
      <w:u w:val="none"/>
      <w:effect w:val="none"/>
    </w:rPr>
  </w:style>
  <w:style w:type="paragraph" w:styleId="ListParagraph">
    <w:name w:val="List Paragraph"/>
    <w:basedOn w:val="Normal"/>
    <w:uiPriority w:val="34"/>
    <w:qFormat/>
    <w:rsid w:val="00075E8E"/>
    <w:pPr>
      <w:tabs>
        <w:tab w:val="clear" w:pos="567"/>
      </w:tabs>
      <w:snapToGrid/>
      <w:spacing w:before="0" w:after="200" w:line="276" w:lineRule="auto"/>
      <w:ind w:left="720"/>
      <w:contextualSpacing/>
      <w:jc w:val="left"/>
    </w:pPr>
    <w:rPr>
      <w:rFonts w:asciiTheme="minorHAnsi" w:eastAsiaTheme="minorEastAsia" w:hAnsiTheme="minorHAnsi" w:cstheme="minorBidi"/>
      <w:snapToGrid/>
      <w:szCs w:val="22"/>
      <w:lang w:val="fr-FR" w:eastAsia="fr-FR"/>
    </w:rPr>
  </w:style>
  <w:style w:type="paragraph" w:customStyle="1" w:styleId="formtext">
    <w:name w:val="formtext"/>
    <w:basedOn w:val="Normal"/>
    <w:rsid w:val="00075E8E"/>
    <w:pPr>
      <w:tabs>
        <w:tab w:val="clear" w:pos="567"/>
      </w:tabs>
      <w:snapToGrid/>
      <w:spacing w:before="80" w:after="80" w:line="240" w:lineRule="exact"/>
      <w:jc w:val="left"/>
    </w:pPr>
    <w:rPr>
      <w:rFonts w:cs="Times New Roman"/>
      <w:snapToGrid/>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06"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0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B612-83E8-4A67-9E9F-35B3B59E6A80}">
  <ds:schemaRefs>
    <ds:schemaRef ds:uri="http://schemas.openxmlformats.org/officeDocument/2006/bibliography"/>
  </ds:schemaRefs>
</ds:datastoreItem>
</file>

<file path=customXml/itemProps2.xml><?xml version="1.0" encoding="utf-8"?>
<ds:datastoreItem xmlns:ds="http://schemas.openxmlformats.org/officeDocument/2006/customXml" ds:itemID="{6C2C1A5D-3568-4325-9E97-E24129CD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5133</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2014-07-23T14:14:00Z</dcterms:created>
  <dcterms:modified xsi:type="dcterms:W3CDTF">2018-02-22T13:02:00Z</dcterms:modified>
</cp:coreProperties>
</file>