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7F" w:rsidRPr="00AA60FF" w:rsidRDefault="00967D7F" w:rsidP="00AA60FF">
      <w:pPr>
        <w:pStyle w:val="Chapitre"/>
      </w:pPr>
      <w:r>
        <w:t>Unidad 55</w:t>
      </w:r>
    </w:p>
    <w:p w:rsidR="00F80A16" w:rsidRDefault="00681150" w:rsidP="00AA60FF">
      <w:pPr>
        <w:pStyle w:val="UPlan"/>
      </w:pPr>
      <w:r>
        <w:t>Taller sobre elaboración de políticas para la salvaguardia del patrimonio cultural inmaterial</w:t>
      </w:r>
    </w:p>
    <w:p w:rsidR="00772040" w:rsidRPr="008F47CC" w:rsidRDefault="00772040" w:rsidP="00772040">
      <w:pPr>
        <w:pStyle w:val="BodyText"/>
        <w:spacing w:before="460"/>
        <w:jc w:val="left"/>
        <w:rPr>
          <w:rFonts w:ascii="Arial" w:hAnsi="Arial" w:cs="Arial"/>
          <w:sz w:val="22"/>
          <w:szCs w:val="22"/>
          <w:lang w:val="es-ES_tradnl"/>
        </w:rPr>
      </w:pPr>
      <w:r w:rsidRPr="001C0C8C">
        <w:rPr>
          <w:rFonts w:ascii="Arial" w:hAnsi="Arial" w:cs="Arial"/>
          <w:sz w:val="22"/>
          <w:szCs w:val="22"/>
          <w:lang w:val="es-ES_tradnl"/>
        </w:rPr>
        <w:t xml:space="preserve">Publicado en </w:t>
      </w:r>
      <w:r w:rsidR="00AF5B7B">
        <w:rPr>
          <w:rFonts w:ascii="Arial" w:hAnsi="Arial" w:cs="Arial"/>
          <w:sz w:val="22"/>
          <w:szCs w:val="22"/>
          <w:lang w:val="es-ES_tradnl"/>
        </w:rPr>
        <w:t>2016</w:t>
      </w:r>
      <w:r w:rsidRPr="001C0C8C">
        <w:rPr>
          <w:rFonts w:ascii="Arial" w:hAnsi="Arial" w:cs="Arial"/>
          <w:sz w:val="22"/>
          <w:szCs w:val="22"/>
          <w:lang w:val="es-ES_tradnl"/>
        </w:rPr>
        <w:t xml:space="preserve"> por la Organización de las Naciones Unidas para la Educación, la Ciencia y la Cultura, </w:t>
      </w:r>
      <w:r w:rsidRPr="008F47CC">
        <w:rPr>
          <w:rFonts w:ascii="Arial" w:hAnsi="Arial" w:cs="Arial"/>
          <w:sz w:val="22"/>
          <w:szCs w:val="22"/>
          <w:lang w:val="es-ES_tradnl"/>
        </w:rPr>
        <w:t>7, place de Fontenoy, 75352 París 07 SP, Francia</w:t>
      </w:r>
    </w:p>
    <w:p w:rsidR="00772040" w:rsidRPr="008F47CC" w:rsidRDefault="00772040" w:rsidP="00772040">
      <w:pPr>
        <w:pStyle w:val="BodyText"/>
        <w:jc w:val="left"/>
        <w:rPr>
          <w:rFonts w:ascii="Arial" w:hAnsi="Arial" w:cs="Arial"/>
          <w:sz w:val="22"/>
          <w:szCs w:val="22"/>
          <w:lang w:val="es-ES_tradnl"/>
        </w:rPr>
      </w:pPr>
    </w:p>
    <w:p w:rsidR="00772040" w:rsidRPr="001C0C8C" w:rsidRDefault="00772040" w:rsidP="00772040">
      <w:pPr>
        <w:pStyle w:val="BodyText"/>
        <w:jc w:val="left"/>
        <w:rPr>
          <w:rFonts w:ascii="Arial" w:hAnsi="Arial" w:cs="Arial"/>
          <w:sz w:val="22"/>
          <w:szCs w:val="22"/>
          <w:lang w:val="es-ES_tradnl"/>
        </w:rPr>
      </w:pPr>
      <w:r w:rsidRPr="001C0C8C">
        <w:rPr>
          <w:rFonts w:ascii="Arial" w:hAnsi="Arial" w:cs="Arial"/>
          <w:sz w:val="22"/>
          <w:szCs w:val="22"/>
          <w:lang w:val="es-ES_tradnl"/>
        </w:rPr>
        <w:t xml:space="preserve">© UNESCO </w:t>
      </w:r>
      <w:r w:rsidR="00AF5B7B">
        <w:rPr>
          <w:rFonts w:ascii="Arial" w:hAnsi="Arial" w:cs="Arial"/>
          <w:sz w:val="22"/>
          <w:szCs w:val="22"/>
          <w:lang w:val="es-ES_tradnl"/>
        </w:rPr>
        <w:t>2016</w:t>
      </w:r>
    </w:p>
    <w:p w:rsidR="00772040" w:rsidRPr="001C0C8C" w:rsidRDefault="00772040" w:rsidP="00772040">
      <w:pPr>
        <w:autoSpaceDE w:val="0"/>
        <w:autoSpaceDN w:val="0"/>
        <w:adjustRightInd w:val="0"/>
        <w:rPr>
          <w:szCs w:val="22"/>
          <w:lang w:val="es-ES_tradnl"/>
        </w:rPr>
      </w:pPr>
    </w:p>
    <w:p w:rsidR="00772040" w:rsidRPr="001C0C8C" w:rsidRDefault="00772040" w:rsidP="00772040">
      <w:pPr>
        <w:autoSpaceDE w:val="0"/>
        <w:autoSpaceDN w:val="0"/>
        <w:adjustRightInd w:val="0"/>
        <w:rPr>
          <w:szCs w:val="22"/>
          <w:lang w:val="es-ES_tradnl"/>
        </w:rPr>
      </w:pPr>
      <w:r w:rsidRPr="001C0C8C">
        <w:rPr>
          <w:noProof/>
          <w:szCs w:val="22"/>
          <w:lang w:val="fr-FR" w:eastAsia="ja-JP" w:bidi="ar-SA"/>
        </w:rPr>
        <w:drawing>
          <wp:inline distT="0" distB="0" distL="0" distR="0" wp14:anchorId="688003BE" wp14:editId="121C8EA8">
            <wp:extent cx="756527" cy="26603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bookmarkStart w:id="0" w:name="_GoBack"/>
      <w:bookmarkEnd w:id="0"/>
    </w:p>
    <w:p w:rsidR="00772040" w:rsidRPr="001C0C8C" w:rsidRDefault="00772040" w:rsidP="00772040">
      <w:pPr>
        <w:autoSpaceDE w:val="0"/>
        <w:autoSpaceDN w:val="0"/>
        <w:adjustRightInd w:val="0"/>
        <w:rPr>
          <w:szCs w:val="22"/>
          <w:lang w:val="es-ES_tradnl"/>
        </w:rPr>
      </w:pPr>
      <w:r w:rsidRPr="001C0C8C">
        <w:rPr>
          <w:szCs w:val="22"/>
          <w:lang w:val="es-ES_tradnl"/>
        </w:rPr>
        <w:t>Esta publicación está disponible en acceso abierto bajo la licencia Attribution-ShareAlike 3.0 IGO (CC-BY-SA 3.0 IGO) (</w:t>
      </w:r>
      <w:hyperlink r:id="rId8" w:history="1">
        <w:r w:rsidRPr="001C0C8C">
          <w:rPr>
            <w:rFonts w:eastAsiaTheme="minorHAnsi"/>
            <w:color w:val="0000FF"/>
            <w:szCs w:val="22"/>
            <w:u w:val="single" w:color="0000FF"/>
            <w:lang w:eastAsia="en-US"/>
          </w:rPr>
          <w:t>http://creativecommons.org/licenses/by-sa/3.0/igo/</w:t>
        </w:r>
      </w:hyperlink>
      <w:r w:rsidRPr="001C0C8C">
        <w:rPr>
          <w:szCs w:val="22"/>
          <w:lang w:val="es-ES_tradnl"/>
        </w:rPr>
        <w:t>). Al utilizar el contenido de la presente publicación, los usuarios aceptan las condiciones de utilización del Repositorio UNESCO de acceso abierto (</w:t>
      </w:r>
      <w:hyperlink r:id="rId9" w:history="1">
        <w:r w:rsidRPr="001C0C8C">
          <w:rPr>
            <w:rStyle w:val="Hyperlink"/>
            <w:rFonts w:eastAsiaTheme="minorHAnsi"/>
            <w:szCs w:val="22"/>
            <w:lang w:eastAsia="en-US"/>
          </w:rPr>
          <w:t>www.unesco.org/open-access/terms-use-ccbysa-sp</w:t>
        </w:r>
      </w:hyperlink>
      <w:r w:rsidRPr="001C0C8C">
        <w:rPr>
          <w:szCs w:val="22"/>
          <w:lang w:val="es-ES_tradnl"/>
        </w:rPr>
        <w:t xml:space="preserve">). </w:t>
      </w:r>
    </w:p>
    <w:p w:rsidR="00772040" w:rsidRDefault="00772040" w:rsidP="00772040">
      <w:pPr>
        <w:autoSpaceDE w:val="0"/>
        <w:autoSpaceDN w:val="0"/>
        <w:adjustRightInd w:val="0"/>
        <w:rPr>
          <w:szCs w:val="22"/>
          <w:lang w:val="es-ES_tradnl"/>
        </w:rPr>
      </w:pPr>
    </w:p>
    <w:p w:rsidR="00772040" w:rsidRPr="001C0C8C" w:rsidRDefault="00772040" w:rsidP="00772040">
      <w:pPr>
        <w:autoSpaceDE w:val="0"/>
        <w:autoSpaceDN w:val="0"/>
        <w:adjustRightInd w:val="0"/>
        <w:rPr>
          <w:szCs w:val="22"/>
          <w:lang w:val="es-ES_tradnl"/>
        </w:rPr>
      </w:pPr>
      <w:r w:rsidRPr="001C0C8C">
        <w:rPr>
          <w:szCs w:val="22"/>
          <w:lang w:val="es-ES_tradnl"/>
        </w:rPr>
        <w:t>Las imágenes de esta publicación no están sujetas a la licencia CC-BY-SA  por lo que no podrán ser utilizadas, reproducidas o comercializadas sin previa autorización de los titulares (o propietarios) de los derechos de autor.</w:t>
      </w:r>
    </w:p>
    <w:p w:rsidR="00772040" w:rsidRPr="001C0C8C" w:rsidRDefault="00772040" w:rsidP="00772040">
      <w:pPr>
        <w:pStyle w:val="BodyText"/>
        <w:jc w:val="left"/>
        <w:rPr>
          <w:rFonts w:ascii="Arial" w:hAnsi="Arial" w:cs="Arial"/>
          <w:bCs/>
          <w:iCs/>
          <w:sz w:val="22"/>
          <w:szCs w:val="22"/>
          <w:lang w:val="es-ES_tradnl"/>
        </w:rPr>
      </w:pPr>
    </w:p>
    <w:p w:rsidR="00772040" w:rsidRPr="008F47CC" w:rsidRDefault="00772040" w:rsidP="00772040">
      <w:pPr>
        <w:autoSpaceDE w:val="0"/>
        <w:autoSpaceDN w:val="0"/>
        <w:adjustRightInd w:val="0"/>
        <w:rPr>
          <w:szCs w:val="22"/>
          <w:lang w:val="es-ES_tradnl"/>
        </w:rPr>
      </w:pPr>
      <w:r w:rsidRPr="008F47CC">
        <w:rPr>
          <w:szCs w:val="22"/>
          <w:lang w:val="es-ES_tradnl"/>
        </w:rPr>
        <w:t>Título original:</w:t>
      </w:r>
      <w:r w:rsidRPr="00772040">
        <w:rPr>
          <w:bCs/>
          <w:iCs/>
          <w:szCs w:val="22"/>
          <w:lang w:val="en-GB"/>
        </w:rPr>
        <w:t xml:space="preserve"> </w:t>
      </w:r>
      <w:r w:rsidRPr="000A63A1">
        <w:rPr>
          <w:bCs/>
          <w:iCs/>
          <w:szCs w:val="22"/>
          <w:lang w:val="en-GB"/>
        </w:rPr>
        <w:t xml:space="preserve">Workshop on policy </w:t>
      </w:r>
      <w:r>
        <w:rPr>
          <w:bCs/>
          <w:iCs/>
          <w:szCs w:val="22"/>
          <w:lang w:val="en-GB"/>
        </w:rPr>
        <w:t>development</w:t>
      </w:r>
      <w:r w:rsidRPr="000A63A1">
        <w:rPr>
          <w:bCs/>
          <w:iCs/>
          <w:szCs w:val="22"/>
          <w:lang w:val="en-GB"/>
        </w:rPr>
        <w:t xml:space="preserve"> for intangible cultural heritage safeguarding</w:t>
      </w:r>
    </w:p>
    <w:p w:rsidR="00772040" w:rsidRPr="008F47CC" w:rsidRDefault="00772040" w:rsidP="00772040">
      <w:pPr>
        <w:autoSpaceDE w:val="0"/>
        <w:autoSpaceDN w:val="0"/>
        <w:adjustRightInd w:val="0"/>
        <w:rPr>
          <w:szCs w:val="22"/>
          <w:lang w:val="es-ES_tradnl"/>
        </w:rPr>
      </w:pPr>
      <w:r w:rsidRPr="008F47CC">
        <w:rPr>
          <w:szCs w:val="22"/>
          <w:lang w:val="es-ES_tradnl"/>
        </w:rPr>
        <w:t xml:space="preserve">Publicado en </w:t>
      </w:r>
      <w:r w:rsidR="00AF5B7B">
        <w:rPr>
          <w:szCs w:val="22"/>
          <w:lang w:val="es-ES_tradnl"/>
        </w:rPr>
        <w:t>2016</w:t>
      </w:r>
      <w:r w:rsidRPr="008F47CC">
        <w:rPr>
          <w:szCs w:val="22"/>
          <w:lang w:val="es-ES_tradnl"/>
        </w:rPr>
        <w:t xml:space="preserve"> por la Organización de las Naciones Unidas para la Educación, la Ciencia y la Cultura y Oficina fuera de la sede de la UNESCO / Instituto de la UNESCO </w:t>
      </w:r>
    </w:p>
    <w:p w:rsidR="00772040" w:rsidRPr="008F47CC" w:rsidRDefault="00772040" w:rsidP="00772040">
      <w:pPr>
        <w:autoSpaceDE w:val="0"/>
        <w:autoSpaceDN w:val="0"/>
        <w:adjustRightInd w:val="0"/>
        <w:rPr>
          <w:szCs w:val="22"/>
          <w:lang w:val="es-ES_tradnl"/>
        </w:rPr>
      </w:pPr>
    </w:p>
    <w:p w:rsidR="00772040" w:rsidRPr="001C0C8C" w:rsidRDefault="00772040" w:rsidP="00772040">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Los términos empleados en esta publicación y la presentación de los datos que en ella aparecen no implican toma alguna de posición de parte de la UNESCO en cuanto al estatuto jurídico de los países, territorios, ciudades o regiones ni respecto de sus autoridades, fronteras o límites.  </w:t>
      </w:r>
    </w:p>
    <w:p w:rsidR="00772040" w:rsidRPr="001C0C8C" w:rsidRDefault="00772040" w:rsidP="00772040">
      <w:pPr>
        <w:pStyle w:val="BodyText"/>
        <w:jc w:val="left"/>
        <w:rPr>
          <w:rFonts w:ascii="Arial" w:hAnsi="Arial" w:cs="Arial"/>
          <w:bCs/>
          <w:iCs/>
          <w:sz w:val="22"/>
          <w:szCs w:val="22"/>
          <w:lang w:val="es-ES_tradnl"/>
        </w:rPr>
      </w:pPr>
    </w:p>
    <w:p w:rsidR="00772040" w:rsidRDefault="00772040" w:rsidP="00772040">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Las ideas y opiniones expresadas en esta obra son las de los autores y no reflejan necesariamente el punto de vista de la UNESCO ni comprometen a la Organización.  </w:t>
      </w:r>
    </w:p>
    <w:p w:rsidR="00772040" w:rsidRPr="00772040" w:rsidRDefault="00772040" w:rsidP="00772040">
      <w:pPr>
        <w:rPr>
          <w:bCs/>
          <w:iCs/>
          <w:szCs w:val="22"/>
          <w:lang w:val="es-ES_tradnl"/>
        </w:rPr>
      </w:pPr>
      <w:r>
        <w:rPr>
          <w:bCs/>
          <w:iCs/>
          <w:szCs w:val="22"/>
          <w:lang w:val="es-ES_tradnl"/>
        </w:rPr>
        <w:br w:type="page"/>
      </w:r>
    </w:p>
    <w:p w:rsidR="00AA60FF" w:rsidRPr="00AA60FF" w:rsidRDefault="006F64FA" w:rsidP="00AA60FF">
      <w:pPr>
        <w:pStyle w:val="Titcoul"/>
        <w:rPr>
          <w:kern w:val="0"/>
        </w:rPr>
      </w:pPr>
      <w:r w:rsidRPr="006F64FA">
        <w:lastRenderedPageBreak/>
        <w:t xml:space="preserve">GUIÓN PARA EL </w:t>
      </w:r>
      <w:r>
        <w:t xml:space="preserve">facilitador </w:t>
      </w:r>
      <w:r w:rsidR="00AA60FF">
        <w:t>N</w:t>
      </w:r>
      <w:r w:rsidR="001C1463">
        <w:t xml:space="preserve">º </w:t>
      </w:r>
      <w:r w:rsidR="00AA60FF">
        <w:t xml:space="preserve">3: El </w:t>
      </w:r>
      <w:r w:rsidR="00AA60FF">
        <w:rPr>
          <w:i/>
        </w:rPr>
        <w:t>Tátau</w:t>
      </w:r>
      <w:r w:rsidR="00AA60FF">
        <w:t xml:space="preserve"> (Estudio de Caso</w:t>
      </w:r>
      <w:r w:rsidR="001C1463">
        <w:t xml:space="preserve"> </w:t>
      </w:r>
      <w:r w:rsidR="00AA60FF">
        <w:t>38)</w:t>
      </w:r>
    </w:p>
    <w:p w:rsidR="00DC53B4" w:rsidRPr="00AA60FF" w:rsidRDefault="00F80A16" w:rsidP="00AA60FF">
      <w:pPr>
        <w:pStyle w:val="Texte1"/>
      </w:pPr>
      <w:r>
        <w:t xml:space="preserve">Las acciones para la salvaguardar el </w:t>
      </w:r>
      <w:r>
        <w:rPr>
          <w:i/>
        </w:rPr>
        <w:t>tátau</w:t>
      </w:r>
      <w:r>
        <w:t xml:space="preserve"> en los términos de la Convención de 2003 (como podría ser la confección de un inventario) deberían buscar un común denominador entre los distintos intereses de las comunidades, incluidos los de </w:t>
      </w:r>
      <w:r>
        <w:rPr>
          <w:i/>
        </w:rPr>
        <w:t>tufuga</w:t>
      </w:r>
      <w:r>
        <w:t xml:space="preserve">, todos los habitantes de Samoa y la diáspora de Samoa que se identifican con el </w:t>
      </w:r>
      <w:r>
        <w:rPr>
          <w:i/>
        </w:rPr>
        <w:t>tátau</w:t>
      </w:r>
      <w:r>
        <w:t xml:space="preserve">, en lugar de </w:t>
      </w:r>
      <w:r w:rsidR="001C1463">
        <w:t>centrarse</w:t>
      </w:r>
      <w:r>
        <w:t xml:space="preserve"> meramente en </w:t>
      </w:r>
      <w:r w:rsidR="001C1463">
        <w:t>la comunidad de los</w:t>
      </w:r>
      <w:r>
        <w:t xml:space="preserve"> </w:t>
      </w:r>
      <w:r>
        <w:rPr>
          <w:i/>
        </w:rPr>
        <w:t>tufuga</w:t>
      </w:r>
      <w:r>
        <w:t xml:space="preserve"> de forma aislada. Se trata de un problema común a todo proceso de salvaguardia del PCI.</w:t>
      </w:r>
    </w:p>
    <w:p w:rsidR="00F80A16" w:rsidRPr="00AA60FF" w:rsidRDefault="002D3C8B" w:rsidP="00AA60FF">
      <w:pPr>
        <w:pStyle w:val="Texte1"/>
      </w:pPr>
      <w:r>
        <w:t xml:space="preserve">De conformidad con la Convención, uno de los importantes grupos dentro de la comunidad interesada es el de los que practican el </w:t>
      </w:r>
      <w:r w:rsidRPr="002775F5">
        <w:rPr>
          <w:i/>
        </w:rPr>
        <w:t>tátau</w:t>
      </w:r>
      <w:r>
        <w:t xml:space="preserve"> (</w:t>
      </w:r>
      <w:r w:rsidR="001C1463">
        <w:t xml:space="preserve">los </w:t>
      </w:r>
      <w:r>
        <w:rPr>
          <w:i/>
        </w:rPr>
        <w:t>tufuga</w:t>
      </w:r>
      <w:r>
        <w:t xml:space="preserve">). Si la confección de un inventario del </w:t>
      </w:r>
      <w:r>
        <w:rPr>
          <w:i/>
        </w:rPr>
        <w:t>tátau</w:t>
      </w:r>
      <w:r>
        <w:t xml:space="preserve"> o su incorporación a una base de datos de expresiones culturales tradicionales se convierte en una forma de probar la titularidad de los conocimientos tradicionales conforme a las leyes de propiedad intelectual, </w:t>
      </w:r>
      <w:r w:rsidR="001C1463">
        <w:t>se</w:t>
      </w:r>
      <w:r>
        <w:t xml:space="preserve"> podría</w:t>
      </w:r>
      <w:r w:rsidR="001C1463">
        <w:t>n</w:t>
      </w:r>
      <w:r>
        <w:t xml:space="preserve"> promover</w:t>
      </w:r>
      <w:r w:rsidR="001C1463">
        <w:t xml:space="preserve"> entonces</w:t>
      </w:r>
      <w:r>
        <w:t xml:space="preserve"> los intereses de grupos </w:t>
      </w:r>
      <w:r>
        <w:rPr>
          <w:i/>
        </w:rPr>
        <w:t>tufuga</w:t>
      </w:r>
      <w:r>
        <w:t xml:space="preserve"> específicos por encima de otros samoanos que se identifican con el </w:t>
      </w:r>
      <w:r>
        <w:rPr>
          <w:i/>
        </w:rPr>
        <w:t>tátau</w:t>
      </w:r>
      <w:r>
        <w:t xml:space="preserve">. Desde el punto de vista normativo, esto puede coincidir con lo dispuesto en la Convención para las limitaciones tradicionales al acceso a los elementos del PCI, aunque podría sin embargo afectar el equilibrio de poder en la negociación entre los intereses de los distintos grupos de la comunidad </w:t>
      </w:r>
      <w:r>
        <w:rPr>
          <w:i/>
        </w:rPr>
        <w:t>tátau</w:t>
      </w:r>
      <w:r>
        <w:t>.</w:t>
      </w:r>
    </w:p>
    <w:p w:rsidR="002D3C8B" w:rsidRPr="00AA60FF" w:rsidRDefault="002D3C8B" w:rsidP="00AA60FF">
      <w:pPr>
        <w:pStyle w:val="Texte1"/>
      </w:pPr>
      <w:r>
        <w:t>La comunidad interesada puede definirse en términos amplios</w:t>
      </w:r>
      <w:r w:rsidR="001C1463">
        <w:t>,</w:t>
      </w:r>
      <w:r>
        <w:t xml:space="preserve"> según la Convención</w:t>
      </w:r>
      <w:r w:rsidR="001C1463">
        <w:t>,</w:t>
      </w:r>
      <w:r>
        <w:t xml:space="preserve"> como todos los samoanos</w:t>
      </w:r>
      <w:r w:rsidR="001C1463">
        <w:t xml:space="preserve"> —</w:t>
      </w:r>
      <w:r>
        <w:t>incluidos los de la diáspora</w:t>
      </w:r>
      <w:r w:rsidR="001C1463">
        <w:t>—</w:t>
      </w:r>
      <w:r>
        <w:t xml:space="preserve">, que se identifican con el </w:t>
      </w:r>
      <w:r>
        <w:rPr>
          <w:i/>
        </w:rPr>
        <w:t>tátau</w:t>
      </w:r>
      <w:r>
        <w:t xml:space="preserve">. Conforme a la Convención de 2003, la salvaguardia del </w:t>
      </w:r>
      <w:r>
        <w:rPr>
          <w:i/>
        </w:rPr>
        <w:t>tátau</w:t>
      </w:r>
      <w:r>
        <w:t xml:space="preserve"> busca garantizar que los intereses de la comunidad en la salvaguardia de este elemento, así como los beneficios derivados </w:t>
      </w:r>
      <w:r w:rsidR="001C1463">
        <w:t>para la comunidad</w:t>
      </w:r>
      <w:r>
        <w:t>, reciban prioridad frente a los intereses de actores externos, como pueden ser las agencias de turismo, centros de investigación o el Estado. Esto podría estar en oposición a la política de turismo o la política de indus</w:t>
      </w:r>
      <w:r w:rsidR="001C1463">
        <w:t>trias culturales que promueven a</w:t>
      </w:r>
      <w:r>
        <w:t xml:space="preserve">l </w:t>
      </w:r>
      <w:r>
        <w:rPr>
          <w:i/>
        </w:rPr>
        <w:t>tátau</w:t>
      </w:r>
      <w:r>
        <w:t xml:space="preserve"> como un recurso para beneficio de todos los habitantes de Samoa.</w:t>
      </w:r>
    </w:p>
    <w:p w:rsidR="00DC53B4" w:rsidRPr="00AA60FF" w:rsidRDefault="002D3C8B" w:rsidP="00AA60FF">
      <w:pPr>
        <w:pStyle w:val="Texte1"/>
      </w:pPr>
      <w:r>
        <w:t>Al buscar sinergias entre estos distintos enfoques y representar a los distintos grupos (</w:t>
      </w:r>
      <w:r>
        <w:rPr>
          <w:i/>
        </w:rPr>
        <w:t>tufuga</w:t>
      </w:r>
      <w:r>
        <w:t>, samoanos o la nación en su conjunto) como la comunidad interesada podría resultar útil formular algunas preguntas:</w:t>
      </w:r>
    </w:p>
    <w:p w:rsidR="00DC53B4" w:rsidRPr="00AA60FF" w:rsidRDefault="00DC53B4" w:rsidP="00AA60FF">
      <w:pPr>
        <w:pStyle w:val="Texte1"/>
        <w:numPr>
          <w:ilvl w:val="0"/>
          <w:numId w:val="6"/>
        </w:numPr>
      </w:pPr>
      <w:r>
        <w:t>¿Cómo podrían distribuirse los beneficios entre todas las comunidades y grupos?</w:t>
      </w:r>
    </w:p>
    <w:p w:rsidR="00DC53B4" w:rsidRPr="00AA60FF" w:rsidRDefault="00F80A16" w:rsidP="00AA60FF">
      <w:pPr>
        <w:pStyle w:val="Texte1"/>
        <w:numPr>
          <w:ilvl w:val="0"/>
          <w:numId w:val="6"/>
        </w:numPr>
      </w:pPr>
      <w:r>
        <w:t xml:space="preserve">¿Hasta qué punto la salvaguardia del </w:t>
      </w:r>
      <w:r>
        <w:rPr>
          <w:i/>
        </w:rPr>
        <w:t>tátau</w:t>
      </w:r>
      <w:r>
        <w:t xml:space="preserve"> requiere limitaciones específicas en cuanto al acceso y al uso? </w:t>
      </w:r>
    </w:p>
    <w:p w:rsidR="00DC53B4" w:rsidRPr="00AA60FF" w:rsidRDefault="00F80A16" w:rsidP="00AA60FF">
      <w:pPr>
        <w:pStyle w:val="Texte1"/>
        <w:numPr>
          <w:ilvl w:val="0"/>
          <w:numId w:val="6"/>
        </w:numPr>
      </w:pPr>
      <w:r>
        <w:t xml:space="preserve">¿Qué aspectos del </w:t>
      </w:r>
      <w:r>
        <w:rPr>
          <w:i/>
        </w:rPr>
        <w:t>tátau</w:t>
      </w:r>
      <w:r>
        <w:t xml:space="preserve"> deberían controlarse y quién debería ejercer ese control para facilitar su práctica y transmisión?</w:t>
      </w:r>
    </w:p>
    <w:p w:rsidR="00FF69DB" w:rsidRPr="00AA60FF" w:rsidRDefault="00F80A16" w:rsidP="00AA60FF">
      <w:pPr>
        <w:pStyle w:val="Texte1"/>
      </w:pPr>
      <w:r>
        <w:t xml:space="preserve">La promoción del </w:t>
      </w:r>
      <w:r>
        <w:rPr>
          <w:i/>
        </w:rPr>
        <w:t>tátau</w:t>
      </w:r>
      <w:r>
        <w:t xml:space="preserve"> como un recurso de </w:t>
      </w:r>
      <w:r w:rsidR="001C1463">
        <w:t>“libre acceso”</w:t>
      </w:r>
      <w:r>
        <w:t xml:space="preserve"> para todos los samoanos podría ser incompatible con cualquier otra forma de acceso restringido. La pregunta acerca de quién en la comunidad (los </w:t>
      </w:r>
      <w:r>
        <w:rPr>
          <w:i/>
        </w:rPr>
        <w:t>tufuga</w:t>
      </w:r>
      <w:r>
        <w:t xml:space="preserve"> o todos los samoanos) poseen la titularidad de los datos creados durante el proceso de inventario podría verse afectada por las políticas de libre acceso en los organismos públicos o los regímenes convencionales de propiedad intelectual que confieren derechos a los investigadores. Para confeccionar un inventario del </w:t>
      </w:r>
      <w:r>
        <w:rPr>
          <w:i/>
        </w:rPr>
        <w:t>tátau</w:t>
      </w:r>
      <w:r>
        <w:t>, por lo tanto, podría ser necesario tomar algunas medidas particulares que garanticen para la comunidad el control de los datos. La determinación de quién debe ejercer el control de los datos se verá afectada por las negociaciones entre los distintos grupos de la comunidad.</w:t>
      </w:r>
    </w:p>
    <w:sectPr w:rsidR="00FF69DB" w:rsidRPr="00AA60FF" w:rsidSect="002F57B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DE" w:rsidRDefault="00246FDE" w:rsidP="001557D7">
      <w:pPr>
        <w:spacing w:before="0" w:after="0"/>
      </w:pPr>
      <w:r>
        <w:separator/>
      </w:r>
    </w:p>
  </w:endnote>
  <w:endnote w:type="continuationSeparator" w:id="0">
    <w:p w:rsidR="00246FDE" w:rsidRDefault="00246FDE" w:rsidP="001557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BF" w:rsidRPr="002F57BF" w:rsidRDefault="00772040" w:rsidP="002F57BF">
    <w:pPr>
      <w:tabs>
        <w:tab w:val="clear" w:pos="567"/>
        <w:tab w:val="center" w:pos="4423"/>
        <w:tab w:val="right" w:pos="9000"/>
      </w:tabs>
      <w:snapToGrid/>
      <w:spacing w:before="0" w:after="0" w:line="240" w:lineRule="exact"/>
      <w:jc w:val="left"/>
      <w:rPr>
        <w:rFonts w:eastAsia="Calibri" w:cs="Times New Roman"/>
        <w:snapToGrid/>
        <w:sz w:val="16"/>
        <w:szCs w:val="22"/>
      </w:rPr>
    </w:pPr>
    <w:r>
      <w:rPr>
        <w:noProof/>
        <w:lang w:val="fr-FR" w:eastAsia="ja-JP" w:bidi="ar-SA"/>
      </w:rPr>
      <w:drawing>
        <wp:anchor distT="0" distB="0" distL="114300" distR="114300" simplePos="0" relativeHeight="251669504" behindDoc="0" locked="0" layoutInCell="1" allowOverlap="1" wp14:anchorId="70BBB94C" wp14:editId="6CC095AA">
          <wp:simplePos x="0" y="0"/>
          <wp:positionH relativeFrom="column">
            <wp:posOffset>2593075</wp:posOffset>
          </wp:positionH>
          <wp:positionV relativeFrom="paragraph">
            <wp:posOffset>12748</wp:posOffset>
          </wp:positionV>
          <wp:extent cx="542290" cy="189230"/>
          <wp:effectExtent l="0" t="0" r="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2F57BF">
      <w:rPr>
        <w:rFonts w:eastAsia="Calibri" w:cs="Times New Roman"/>
        <w:noProof/>
        <w:snapToGrid/>
        <w:sz w:val="16"/>
        <w:szCs w:val="22"/>
        <w:lang w:val="fr-FR" w:eastAsia="ja-JP" w:bidi="ar-SA"/>
      </w:rPr>
      <w:drawing>
        <wp:anchor distT="0" distB="0" distL="114300" distR="114300" simplePos="0" relativeHeight="251661312" behindDoc="0" locked="0" layoutInCell="1" allowOverlap="1" wp14:anchorId="359CFF5C" wp14:editId="62FD352D">
          <wp:simplePos x="0" y="0"/>
          <wp:positionH relativeFrom="column">
            <wp:posOffset>-115472</wp:posOffset>
          </wp:positionH>
          <wp:positionV relativeFrom="paragraph">
            <wp:posOffset>-258472</wp:posOffset>
          </wp:positionV>
          <wp:extent cx="833755" cy="605155"/>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755" cy="605155"/>
                  </a:xfrm>
                  <a:prstGeom prst="rect">
                    <a:avLst/>
                  </a:prstGeom>
                </pic:spPr>
              </pic:pic>
            </a:graphicData>
          </a:graphic>
          <wp14:sizeRelH relativeFrom="page">
            <wp14:pctWidth>0</wp14:pctWidth>
          </wp14:sizeRelH>
          <wp14:sizeRelV relativeFrom="page">
            <wp14:pctHeight>0</wp14:pctHeight>
          </wp14:sizeRelV>
        </wp:anchor>
      </w:drawing>
    </w:r>
    <w:r w:rsidR="002F57BF">
      <w:tab/>
    </w:r>
    <w:r w:rsidR="002F57BF">
      <w:tab/>
    </w:r>
    <w:r w:rsidR="002F57BF">
      <w:rPr>
        <w:snapToGrid/>
        <w:sz w:val="16"/>
      </w:rPr>
      <w:t>U055-v1.0-FN2-ES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D7" w:rsidRPr="001557D7" w:rsidRDefault="001557D7" w:rsidP="001557D7">
    <w:pPr>
      <w:tabs>
        <w:tab w:val="clear" w:pos="567"/>
        <w:tab w:val="center" w:pos="4423"/>
        <w:tab w:val="right" w:pos="8845"/>
      </w:tabs>
      <w:snapToGrid/>
      <w:spacing w:before="0" w:after="0" w:line="240" w:lineRule="exact"/>
      <w:jc w:val="left"/>
      <w:rPr>
        <w:rFonts w:eastAsia="Calibri" w:cs="Times New Roman"/>
        <w:snapToGrid/>
        <w:sz w:val="16"/>
        <w:szCs w:val="22"/>
      </w:rPr>
    </w:pPr>
    <w:r>
      <w:rPr>
        <w:snapToGrid/>
        <w:sz w:val="16"/>
      </w:rPr>
      <w:t>U055-v1.0-FN3-ES</w:t>
    </w:r>
    <w:r>
      <w:tab/>
    </w:r>
    <w:r>
      <w:rPr>
        <w:snapToGrid/>
        <w:sz w:val="16"/>
      </w:rPr>
      <w:t>© UNESCO • No se debe reproducir sin permiso</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BF" w:rsidRPr="002F57BF" w:rsidRDefault="00772040" w:rsidP="002F57BF">
    <w:pPr>
      <w:tabs>
        <w:tab w:val="clear" w:pos="567"/>
        <w:tab w:val="center" w:pos="4423"/>
        <w:tab w:val="right" w:pos="8845"/>
      </w:tabs>
      <w:snapToGrid/>
      <w:spacing w:before="0" w:after="0" w:line="240" w:lineRule="exact"/>
      <w:jc w:val="left"/>
      <w:rPr>
        <w:rFonts w:eastAsia="Calibri" w:cs="Times New Roman"/>
        <w:snapToGrid/>
        <w:sz w:val="16"/>
        <w:szCs w:val="22"/>
      </w:rPr>
    </w:pPr>
    <w:r>
      <w:rPr>
        <w:noProof/>
        <w:lang w:val="fr-FR" w:eastAsia="ja-JP" w:bidi="ar-SA"/>
      </w:rPr>
      <w:drawing>
        <wp:anchor distT="0" distB="0" distL="114300" distR="114300" simplePos="0" relativeHeight="251667456" behindDoc="0" locked="0" layoutInCell="1" allowOverlap="1" wp14:anchorId="70BBB94C" wp14:editId="6CC095AA">
          <wp:simplePos x="0" y="0"/>
          <wp:positionH relativeFrom="column">
            <wp:posOffset>2579427</wp:posOffset>
          </wp:positionH>
          <wp:positionV relativeFrom="paragraph">
            <wp:posOffset>12748</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2F57BF">
      <w:rPr>
        <w:rFonts w:eastAsia="Calibri" w:cs="Times New Roman"/>
        <w:noProof/>
        <w:snapToGrid/>
        <w:sz w:val="16"/>
        <w:szCs w:val="22"/>
        <w:lang w:val="fr-FR" w:eastAsia="ja-JP" w:bidi="ar-SA"/>
      </w:rPr>
      <w:drawing>
        <wp:anchor distT="0" distB="0" distL="114300" distR="114300" simplePos="0" relativeHeight="251659264" behindDoc="0" locked="0" layoutInCell="1" allowOverlap="1" wp14:anchorId="378D9258" wp14:editId="4D34165B">
          <wp:simplePos x="0" y="0"/>
          <wp:positionH relativeFrom="column">
            <wp:posOffset>4914265</wp:posOffset>
          </wp:positionH>
          <wp:positionV relativeFrom="paragraph">
            <wp:posOffset>-318116</wp:posOffset>
          </wp:positionV>
          <wp:extent cx="833755" cy="605155"/>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755" cy="605155"/>
                  </a:xfrm>
                  <a:prstGeom prst="rect">
                    <a:avLst/>
                  </a:prstGeom>
                </pic:spPr>
              </pic:pic>
            </a:graphicData>
          </a:graphic>
          <wp14:sizeRelH relativeFrom="page">
            <wp14:pctWidth>0</wp14:pctWidth>
          </wp14:sizeRelH>
          <wp14:sizeRelV relativeFrom="page">
            <wp14:pctHeight>0</wp14:pctHeight>
          </wp14:sizeRelV>
        </wp:anchor>
      </w:drawing>
    </w:r>
    <w:r w:rsidR="002F57BF">
      <w:rPr>
        <w:snapToGrid/>
        <w:sz w:val="16"/>
      </w:rPr>
      <w:t>U055-v1.0-FN3-ES</w:t>
    </w:r>
    <w:r w:rsidR="002F57BF">
      <w:tab/>
    </w:r>
    <w:r w:rsidR="002F57B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DE" w:rsidRDefault="00246FDE" w:rsidP="001557D7">
      <w:pPr>
        <w:spacing w:before="0" w:after="0"/>
      </w:pPr>
      <w:r>
        <w:separator/>
      </w:r>
    </w:p>
  </w:footnote>
  <w:footnote w:type="continuationSeparator" w:id="0">
    <w:p w:rsidR="00246FDE" w:rsidRDefault="00246FDE" w:rsidP="001557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BF" w:rsidRPr="002F57BF" w:rsidRDefault="002F57BF" w:rsidP="002F57BF">
    <w:pPr>
      <w:tabs>
        <w:tab w:val="clear" w:pos="567"/>
        <w:tab w:val="center" w:pos="4070"/>
        <w:tab w:val="right" w:pos="9000"/>
      </w:tabs>
      <w:snapToGrid/>
      <w:spacing w:before="0" w:after="200" w:line="276" w:lineRule="auto"/>
      <w:jc w:val="left"/>
      <w:rPr>
        <w:rFonts w:eastAsia="Calibri" w:cs="Times New Roman"/>
        <w:snapToGrid/>
        <w:sz w:val="16"/>
        <w:szCs w:val="22"/>
      </w:rPr>
    </w:pPr>
    <w:r w:rsidRPr="005C4E04">
      <w:rPr>
        <w:rFonts w:eastAsia="Calibri" w:cs="Times New Roman"/>
        <w:snapToGrid/>
        <w:sz w:val="16"/>
        <w:szCs w:val="22"/>
      </w:rPr>
      <w:fldChar w:fldCharType="begin"/>
    </w:r>
    <w:r w:rsidRPr="005C4E04">
      <w:rPr>
        <w:rFonts w:eastAsia="Calibri" w:cs="Times New Roman"/>
        <w:snapToGrid/>
        <w:sz w:val="16"/>
        <w:szCs w:val="22"/>
      </w:rPr>
      <w:instrText xml:space="preserve">PAGE  </w:instrText>
    </w:r>
    <w:r w:rsidRPr="005C4E04">
      <w:rPr>
        <w:rFonts w:eastAsia="Calibri" w:cs="Times New Roman"/>
        <w:snapToGrid/>
        <w:sz w:val="16"/>
        <w:szCs w:val="22"/>
      </w:rPr>
      <w:fldChar w:fldCharType="separate"/>
    </w:r>
    <w:r w:rsidR="00AF5B7B">
      <w:rPr>
        <w:rFonts w:eastAsia="Calibri" w:cs="Times New Roman"/>
        <w:noProof/>
        <w:snapToGrid/>
        <w:sz w:val="16"/>
        <w:szCs w:val="22"/>
      </w:rPr>
      <w:t>2</w:t>
    </w:r>
    <w:r w:rsidRPr="005C4E04">
      <w:rPr>
        <w:rFonts w:eastAsia="Calibri" w:cs="Times New Roman"/>
        <w:snapToGrid/>
        <w:sz w:val="16"/>
        <w:szCs w:val="22"/>
      </w:rPr>
      <w:fldChar w:fldCharType="end"/>
    </w:r>
    <w:r>
      <w:tab/>
    </w:r>
    <w:r>
      <w:rPr>
        <w:snapToGrid/>
        <w:sz w:val="16"/>
      </w:rPr>
      <w:t>Unidad 55: Taller sobre elaboración de políticas para la salvaguardia del PCI</w:t>
    </w:r>
    <w:r>
      <w:tab/>
    </w:r>
    <w:r>
      <w:rPr>
        <w:snapToGrid/>
        <w:sz w:val="16"/>
      </w:rPr>
      <w:t>Notas para el facilitador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D7" w:rsidRPr="001557D7" w:rsidRDefault="001557D7" w:rsidP="001557D7">
    <w:pPr>
      <w:pStyle w:val="Header"/>
      <w:jc w:val="center"/>
      <w:rPr>
        <w:sz w:val="16"/>
        <w:szCs w:val="16"/>
      </w:rPr>
    </w:pPr>
    <w:r>
      <w:rPr>
        <w:sz w:val="16"/>
      </w:rPr>
      <w:t>Notas para el facilitador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BF" w:rsidRPr="002F57BF" w:rsidRDefault="002F57BF" w:rsidP="002F57BF">
    <w:pPr>
      <w:tabs>
        <w:tab w:val="clear" w:pos="567"/>
        <w:tab w:val="center" w:pos="4513"/>
        <w:tab w:val="right" w:pos="9026"/>
      </w:tabs>
      <w:spacing w:before="0" w:after="0"/>
      <w:jc w:val="center"/>
      <w:rPr>
        <w:sz w:val="16"/>
        <w:szCs w:val="16"/>
      </w:rPr>
    </w:pPr>
    <w:r w:rsidRPr="002F57BF">
      <w:rPr>
        <w:sz w:val="16"/>
      </w:rPr>
      <w:t>Notas para el facilitador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7FC0D9B"/>
    <w:multiLevelType w:val="hybridMultilevel"/>
    <w:tmpl w:val="4542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935C6"/>
    <w:multiLevelType w:val="hybridMultilevel"/>
    <w:tmpl w:val="51EAF502"/>
    <w:lvl w:ilvl="0" w:tplc="040C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16"/>
    <w:rsid w:val="001557D7"/>
    <w:rsid w:val="001A5D18"/>
    <w:rsid w:val="001C1463"/>
    <w:rsid w:val="001E3A2C"/>
    <w:rsid w:val="00246FDE"/>
    <w:rsid w:val="002775F5"/>
    <w:rsid w:val="002D3C8B"/>
    <w:rsid w:val="002E44CD"/>
    <w:rsid w:val="002F57BF"/>
    <w:rsid w:val="005250F1"/>
    <w:rsid w:val="00530F03"/>
    <w:rsid w:val="00614EAC"/>
    <w:rsid w:val="00681150"/>
    <w:rsid w:val="006B54A5"/>
    <w:rsid w:val="006F64FA"/>
    <w:rsid w:val="00750B34"/>
    <w:rsid w:val="00772040"/>
    <w:rsid w:val="00785C3B"/>
    <w:rsid w:val="008A0522"/>
    <w:rsid w:val="008E1E9A"/>
    <w:rsid w:val="00967D7F"/>
    <w:rsid w:val="00AA60FF"/>
    <w:rsid w:val="00AF5B7B"/>
    <w:rsid w:val="00C2284B"/>
    <w:rsid w:val="00C55EFA"/>
    <w:rsid w:val="00DC53B4"/>
    <w:rsid w:val="00DD4A84"/>
    <w:rsid w:val="00EC1AD4"/>
    <w:rsid w:val="00EC293C"/>
    <w:rsid w:val="00EF1FF6"/>
    <w:rsid w:val="00F80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93459EC-0C4F-45BC-B906-D506985F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16"/>
    <w:pPr>
      <w:tabs>
        <w:tab w:val="left" w:pos="567"/>
      </w:tabs>
      <w:snapToGrid w:val="0"/>
      <w:spacing w:before="120" w:after="120" w:line="240" w:lineRule="auto"/>
      <w:jc w:val="both"/>
    </w:pPr>
    <w:rPr>
      <w:rFonts w:ascii="Arial" w:eastAsia="SimSun" w:hAnsi="Arial" w:cs="Arial"/>
      <w:snapToGrid w:val="0"/>
      <w:szCs w:val="24"/>
    </w:rPr>
  </w:style>
  <w:style w:type="paragraph" w:styleId="Heading1">
    <w:name w:val="heading 1"/>
    <w:basedOn w:val="Normal"/>
    <w:next w:val="Normal"/>
    <w:link w:val="Heading1Char"/>
    <w:uiPriority w:val="9"/>
    <w:qFormat/>
    <w:rsid w:val="00F80A16"/>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F80A16"/>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F80A16"/>
    <w:pPr>
      <w:tabs>
        <w:tab w:val="clear" w:pos="567"/>
      </w:tabs>
      <w:snapToGrid/>
      <w:spacing w:before="360" w:after="120" w:line="300" w:lineRule="exact"/>
      <w:jc w:val="left"/>
      <w:outlineLvl w:val="2"/>
    </w:pPr>
    <w:rPr>
      <w:rFonts w:ascii="Arial" w:eastAsia="SimSun" w:hAnsi="Arial"/>
      <w:b/>
      <w:bCs/>
      <w:snapToGrid/>
      <w:sz w:val="24"/>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F80A16"/>
    <w:pPr>
      <w:tabs>
        <w:tab w:val="clear" w:pos="567"/>
      </w:tabs>
      <w:snapToGrid/>
      <w:spacing w:before="360" w:after="120" w:line="300" w:lineRule="exact"/>
      <w:jc w:val="left"/>
      <w:outlineLvl w:val="4"/>
    </w:pPr>
    <w:rPr>
      <w:rFonts w:ascii="Arial" w:eastAsia="SimSun" w:hAnsi="Arial"/>
      <w:b/>
      <w:bCs/>
      <w:snapToGrid/>
      <w:sz w:val="2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0A16"/>
    <w:rPr>
      <w:rFonts w:ascii="Arial" w:eastAsiaTheme="majorEastAsia" w:hAnsi="Arial" w:cs="Arial"/>
      <w:b/>
      <w:bCs/>
      <w:caps/>
      <w:noProof/>
      <w:snapToGrid w:val="0"/>
      <w:color w:val="3366FF"/>
      <w:kern w:val="28"/>
      <w:sz w:val="32"/>
      <w:szCs w:val="32"/>
      <w:lang w:val="es-ES" w:eastAsia="es-ES"/>
    </w:rPr>
  </w:style>
  <w:style w:type="character" w:customStyle="1" w:styleId="Heading2Char">
    <w:name w:val="Heading 2 Char"/>
    <w:basedOn w:val="DefaultParagraphFont"/>
    <w:link w:val="Heading2"/>
    <w:uiPriority w:val="9"/>
    <w:rsid w:val="00F80A16"/>
    <w:rPr>
      <w:rFonts w:ascii="Arial" w:eastAsiaTheme="majorEastAsia" w:hAnsi="Arial" w:cs="Arial"/>
      <w:bCs/>
      <w:noProof/>
      <w:snapToGrid w:val="0"/>
      <w:color w:val="3366FF"/>
      <w:kern w:val="28"/>
      <w:sz w:val="32"/>
      <w:szCs w:val="32"/>
      <w:lang w:val="es-ES" w:eastAsia="es-ES"/>
    </w:rPr>
  </w:style>
  <w:style w:type="character" w:customStyle="1" w:styleId="Heading3Char">
    <w:name w:val="Heading 3 Char"/>
    <w:basedOn w:val="DefaultParagraphFont"/>
    <w:link w:val="Heading3"/>
    <w:uiPriority w:val="9"/>
    <w:rsid w:val="00F80A16"/>
    <w:rPr>
      <w:rFonts w:ascii="Arial" w:eastAsia="SimSun" w:hAnsi="Arial" w:cstheme="majorBidi"/>
      <w:b/>
      <w:bCs/>
      <w:caps/>
      <w:sz w:val="24"/>
      <w:szCs w:val="24"/>
      <w:lang w:val="es-ES"/>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80A16"/>
    <w:rPr>
      <w:rFonts w:ascii="Arial" w:eastAsia="SimSun" w:hAnsi="Arial" w:cstheme="majorBidi"/>
      <w:b/>
      <w:bCs/>
      <w:caps/>
      <w:sz w:val="20"/>
      <w:szCs w:val="24"/>
      <w:lang w:val="es-ES"/>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s-ES" w:eastAsia="es-ES"/>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s-ES" w:eastAsia="es-ES"/>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s-ES" w:eastAsia="es-ES"/>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s-ES" w:eastAsia="es-ES"/>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F80A16"/>
    <w:pPr>
      <w:keepNext/>
      <w:keepLines/>
      <w:spacing w:before="480" w:after="0" w:line="480" w:lineRule="exact"/>
      <w:jc w:val="left"/>
      <w:outlineLvl w:val="0"/>
    </w:pPr>
    <w:rPr>
      <w:rFonts w:eastAsiaTheme="majorEastAsia"/>
      <w:b/>
      <w:bCs/>
      <w:caps/>
      <w:noProof/>
      <w:color w:val="3366FF"/>
      <w:kern w:val="28"/>
      <w:sz w:val="48"/>
      <w:szCs w:val="48"/>
    </w:rPr>
  </w:style>
  <w:style w:type="character" w:customStyle="1" w:styleId="TitleChar">
    <w:name w:val="Title Char"/>
    <w:basedOn w:val="DefaultParagraphFont"/>
    <w:link w:val="Title"/>
    <w:uiPriority w:val="10"/>
    <w:rsid w:val="00F80A16"/>
    <w:rPr>
      <w:rFonts w:ascii="Arial" w:eastAsiaTheme="majorEastAsia" w:hAnsi="Arial" w:cs="Arial"/>
      <w:b/>
      <w:bCs/>
      <w:caps/>
      <w:noProof/>
      <w:snapToGrid w:val="0"/>
      <w:color w:val="3366FF"/>
      <w:kern w:val="28"/>
      <w:sz w:val="48"/>
      <w:szCs w:val="48"/>
      <w:lang w:eastAsia="es-ES"/>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s-ES" w:eastAsia="es-ES"/>
    </w:rPr>
  </w:style>
  <w:style w:type="character" w:styleId="Strong">
    <w:name w:val="Strong"/>
    <w:basedOn w:val="DefaultParagraphFont"/>
    <w:uiPriority w:val="22"/>
    <w:qFormat/>
    <w:rsid w:val="00F80A16"/>
    <w:rPr>
      <w:b/>
      <w:bCs/>
    </w:rPr>
  </w:style>
  <w:style w:type="character" w:styleId="Emphasis">
    <w:name w:val="Emphasis"/>
    <w:basedOn w:val="DefaultParagraphFont"/>
    <w:uiPriority w:val="20"/>
    <w:qFormat/>
    <w:rsid w:val="00F80A16"/>
    <w:rPr>
      <w:i/>
      <w:iCs/>
    </w:rPr>
  </w:style>
  <w:style w:type="paragraph" w:styleId="NoSpacing">
    <w:name w:val="No Spacing"/>
    <w:aliases w:val="Title Ed"/>
    <w:basedOn w:val="FootnoteText"/>
    <w:link w:val="NoSpacingChar"/>
    <w:uiPriority w:val="1"/>
    <w:qFormat/>
    <w:rsid w:val="00F80A16"/>
    <w:pPr>
      <w:tabs>
        <w:tab w:val="clear" w:pos="567"/>
        <w:tab w:val="left" w:pos="369"/>
      </w:tabs>
      <w:spacing w:after="60" w:line="180" w:lineRule="exact"/>
      <w:ind w:left="284" w:hanging="284"/>
      <w:jc w:val="left"/>
    </w:pPr>
    <w:rPr>
      <w:rFonts w:ascii="Calibri" w:eastAsiaTheme="minorHAnsi" w:hAnsi="Calibri"/>
      <w:snapToGrid/>
    </w:rPr>
  </w:style>
  <w:style w:type="character" w:customStyle="1" w:styleId="NoSpacingChar">
    <w:name w:val="No Spacing Char"/>
    <w:aliases w:val="Title Ed Char"/>
    <w:basedOn w:val="DefaultParagraphFont"/>
    <w:link w:val="NoSpacing"/>
    <w:uiPriority w:val="1"/>
    <w:locked/>
    <w:rsid w:val="00F80A16"/>
    <w:rPr>
      <w:rFonts w:ascii="Calibri" w:hAnsi="Calibri" w:cs="Arial"/>
      <w:sz w:val="20"/>
      <w:szCs w:val="20"/>
    </w:rPr>
  </w:style>
  <w:style w:type="paragraph" w:styleId="ListParagraph">
    <w:name w:val="List Paragraph"/>
    <w:basedOn w:val="Normal"/>
    <w:uiPriority w:val="34"/>
    <w:qFormat/>
    <w:rsid w:val="00F80A16"/>
    <w:pPr>
      <w:tabs>
        <w:tab w:val="clear" w:pos="567"/>
        <w:tab w:val="left" w:pos="360"/>
      </w:tabs>
      <w:ind w:left="720" w:hanging="360"/>
    </w:pPr>
  </w:style>
  <w:style w:type="paragraph" w:styleId="Quote">
    <w:name w:val="Quote"/>
    <w:basedOn w:val="Normal"/>
    <w:next w:val="Normal"/>
    <w:link w:val="QuoteChar"/>
    <w:uiPriority w:val="29"/>
    <w:qFormat/>
    <w:rsid w:val="00F80A16"/>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F80A16"/>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F80A16"/>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rPr>
  </w:style>
  <w:style w:type="character" w:customStyle="1" w:styleId="IntenseQuoteChar">
    <w:name w:val="Intense Quote Char"/>
    <w:basedOn w:val="DefaultParagraphFont"/>
    <w:link w:val="IntenseQuote"/>
    <w:uiPriority w:val="30"/>
    <w:rsid w:val="00F80A16"/>
    <w:rPr>
      <w:rFonts w:eastAsiaTheme="minorEastAsia" w:cs="Arial"/>
      <w:i/>
      <w:iCs/>
      <w:color w:val="4F81BD"/>
      <w:sz w:val="20"/>
      <w:szCs w:val="20"/>
      <w:lang w:val="es-E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F80A16"/>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rPr>
  </w:style>
  <w:style w:type="paragraph" w:customStyle="1" w:styleId="1">
    <w:name w:val="1."/>
    <w:basedOn w:val="Normal"/>
    <w:link w:val="1Char"/>
    <w:qFormat/>
    <w:rsid w:val="00F80A16"/>
    <w:pPr>
      <w:widowControl w:val="0"/>
      <w:tabs>
        <w:tab w:val="clear" w:pos="567"/>
        <w:tab w:val="left" w:pos="1134"/>
      </w:tabs>
      <w:autoSpaceDE w:val="0"/>
      <w:autoSpaceDN w:val="0"/>
      <w:adjustRightInd w:val="0"/>
      <w:snapToGrid/>
      <w:ind w:left="1134" w:hanging="567"/>
      <w:jc w:val="left"/>
    </w:pPr>
    <w:rPr>
      <w:snapToGrid/>
      <w:w w:val="96"/>
      <w:szCs w:val="22"/>
    </w:rPr>
  </w:style>
  <w:style w:type="character" w:customStyle="1" w:styleId="1Char">
    <w:name w:val="1. Char"/>
    <w:link w:val="1"/>
    <w:locked/>
    <w:rsid w:val="00F80A16"/>
    <w:rPr>
      <w:rFonts w:ascii="Arial" w:eastAsia="SimSun" w:hAnsi="Arial" w:cs="Arial"/>
      <w:w w:val="96"/>
      <w:lang w:val="es-ES" w:eastAsia="es-ES"/>
    </w:rPr>
  </w:style>
  <w:style w:type="paragraph" w:customStyle="1" w:styleId="U1">
    <w:name w:val="U.1"/>
    <w:basedOn w:val="Normal"/>
    <w:qFormat/>
    <w:rsid w:val="00F80A16"/>
    <w:pPr>
      <w:widowControl w:val="0"/>
      <w:tabs>
        <w:tab w:val="clear" w:pos="567"/>
        <w:tab w:val="left" w:pos="1701"/>
      </w:tabs>
      <w:autoSpaceDE w:val="0"/>
      <w:autoSpaceDN w:val="0"/>
      <w:adjustRightInd w:val="0"/>
      <w:snapToGrid/>
      <w:ind w:left="1701" w:hanging="567"/>
      <w:jc w:val="left"/>
    </w:pPr>
    <w:rPr>
      <w:snapToGrid/>
      <w:szCs w:val="22"/>
    </w:rPr>
  </w:style>
  <w:style w:type="paragraph" w:customStyle="1" w:styleId="Paragraph">
    <w:name w:val="Paragraph"/>
    <w:basedOn w:val="Normal"/>
    <w:link w:val="ParagraphChar"/>
    <w:qFormat/>
    <w:rsid w:val="00F80A16"/>
    <w:pPr>
      <w:numPr>
        <w:numId w:val="1"/>
      </w:numPr>
      <w:tabs>
        <w:tab w:val="clear" w:pos="567"/>
      </w:tabs>
      <w:snapToGrid/>
      <w:spacing w:before="240" w:after="0"/>
    </w:pPr>
    <w:rPr>
      <w:snapToGrid/>
      <w:szCs w:val="22"/>
    </w:rPr>
  </w:style>
  <w:style w:type="character" w:customStyle="1" w:styleId="ParagraphChar">
    <w:name w:val="Paragraph Char"/>
    <w:link w:val="Paragraph"/>
    <w:rsid w:val="00F80A16"/>
    <w:rPr>
      <w:rFonts w:ascii="Arial" w:eastAsia="SimSun" w:hAnsi="Arial" w:cs="Arial"/>
      <w:lang w:val="es-ES" w:eastAsia="es-ES"/>
    </w:rPr>
  </w:style>
  <w:style w:type="paragraph" w:customStyle="1" w:styleId="Slideheading">
    <w:name w:val="Slide heading"/>
    <w:basedOn w:val="Heading2"/>
    <w:link w:val="SlideheadingChar"/>
    <w:qFormat/>
    <w:rsid w:val="00F80A16"/>
    <w:pPr>
      <w:spacing w:before="200"/>
    </w:pPr>
    <w:rPr>
      <w:rFonts w:eastAsia="Times New Roman" w:cs="Times New Roman"/>
      <w:b/>
      <w:noProof w:val="0"/>
      <w:color w:val="000000"/>
      <w:kern w:val="0"/>
      <w:sz w:val="24"/>
      <w:szCs w:val="26"/>
    </w:rPr>
  </w:style>
  <w:style w:type="character" w:customStyle="1" w:styleId="SlideheadingChar">
    <w:name w:val="Slide heading Char"/>
    <w:link w:val="Slideheading"/>
    <w:rsid w:val="00F80A16"/>
    <w:rPr>
      <w:rFonts w:ascii="Arial" w:eastAsia="Times New Roman" w:hAnsi="Arial" w:cs="Times New Roman"/>
      <w:b/>
      <w:bCs/>
      <w:snapToGrid w:val="0"/>
      <w:color w:val="000000"/>
      <w:sz w:val="24"/>
      <w:szCs w:val="26"/>
      <w:lang w:eastAsia="es-ES"/>
    </w:rPr>
  </w:style>
  <w:style w:type="paragraph" w:customStyle="1" w:styleId="Txtsecondbullet">
    <w:name w:val="Txt second bullet"/>
    <w:basedOn w:val="Normal"/>
    <w:qFormat/>
    <w:rsid w:val="00F80A16"/>
    <w:pPr>
      <w:numPr>
        <w:ilvl w:val="1"/>
        <w:numId w:val="4"/>
      </w:numPr>
      <w:spacing w:before="0" w:after="60" w:line="280" w:lineRule="exact"/>
    </w:pPr>
    <w:rPr>
      <w:snapToGrid/>
      <w:sz w:val="20"/>
    </w:rPr>
  </w:style>
  <w:style w:type="paragraph" w:customStyle="1" w:styleId="citationunit">
    <w:name w:val="citation unit"/>
    <w:basedOn w:val="Normal"/>
    <w:qFormat/>
    <w:rsid w:val="00F80A16"/>
    <w:pPr>
      <w:spacing w:before="0" w:after="60" w:line="280" w:lineRule="exact"/>
      <w:ind w:left="1134" w:right="284"/>
    </w:pPr>
    <w:rPr>
      <w:snapToGrid/>
      <w:sz w:val="20"/>
    </w:rPr>
  </w:style>
  <w:style w:type="paragraph" w:styleId="FootnoteText">
    <w:name w:val="footnote text"/>
    <w:basedOn w:val="Normal"/>
    <w:link w:val="FootnoteTextChar"/>
    <w:uiPriority w:val="99"/>
    <w:semiHidden/>
    <w:unhideWhenUsed/>
    <w:rsid w:val="00F80A16"/>
    <w:pPr>
      <w:spacing w:before="0" w:after="0"/>
    </w:pPr>
    <w:rPr>
      <w:sz w:val="20"/>
      <w:szCs w:val="20"/>
    </w:rPr>
  </w:style>
  <w:style w:type="character" w:customStyle="1" w:styleId="FootnoteTextChar">
    <w:name w:val="Footnote Text Char"/>
    <w:basedOn w:val="DefaultParagraphFont"/>
    <w:link w:val="FootnoteText"/>
    <w:uiPriority w:val="99"/>
    <w:semiHidden/>
    <w:rsid w:val="00F80A16"/>
    <w:rPr>
      <w:rFonts w:ascii="Arial" w:eastAsia="SimSun" w:hAnsi="Arial" w:cs="Arial"/>
      <w:snapToGrid w:val="0"/>
      <w:sz w:val="20"/>
      <w:szCs w:val="20"/>
      <w:lang w:val="es-ES" w:eastAsia="es-ES"/>
    </w:rPr>
  </w:style>
  <w:style w:type="paragraph" w:customStyle="1" w:styleId="Chapitre">
    <w:name w:val="Chapitre"/>
    <w:basedOn w:val="Heading1"/>
    <w:link w:val="ChapitreCar"/>
    <w:rsid w:val="00AA60FF"/>
    <w:pPr>
      <w:pBdr>
        <w:bottom w:val="single" w:sz="4" w:space="14" w:color="3366FF"/>
      </w:pBdr>
      <w:spacing w:before="240" w:line="840" w:lineRule="exact"/>
    </w:pPr>
    <w:rPr>
      <w:rFonts w:eastAsia="Times New Roman"/>
      <w:sz w:val="70"/>
      <w:szCs w:val="70"/>
    </w:rPr>
  </w:style>
  <w:style w:type="character" w:customStyle="1" w:styleId="ChapitreCar">
    <w:name w:val="Chapitre Car"/>
    <w:link w:val="Chapitre"/>
    <w:rsid w:val="00AA60FF"/>
    <w:rPr>
      <w:rFonts w:ascii="Arial" w:eastAsia="Times New Roman" w:hAnsi="Arial" w:cs="Arial"/>
      <w:b/>
      <w:bCs/>
      <w:caps/>
      <w:noProof/>
      <w:snapToGrid w:val="0"/>
      <w:color w:val="3366FF"/>
      <w:kern w:val="28"/>
      <w:sz w:val="70"/>
      <w:szCs w:val="70"/>
      <w:lang w:eastAsia="es-ES"/>
    </w:rPr>
  </w:style>
  <w:style w:type="paragraph" w:customStyle="1" w:styleId="UPlan">
    <w:name w:val="UPlan"/>
    <w:basedOn w:val="Normal"/>
    <w:link w:val="UPlanCar"/>
    <w:rsid w:val="00AA60FF"/>
    <w:pPr>
      <w:keepNext/>
      <w:keepLines/>
      <w:spacing w:before="480" w:after="0" w:line="480" w:lineRule="exact"/>
      <w:jc w:val="left"/>
      <w:outlineLvl w:val="0"/>
    </w:pPr>
    <w:rPr>
      <w:rFonts w:eastAsia="Times New Roman"/>
      <w:b/>
      <w:bCs/>
      <w:caps/>
      <w:noProof/>
      <w:color w:val="3366FF"/>
      <w:kern w:val="28"/>
      <w:sz w:val="48"/>
      <w:szCs w:val="48"/>
    </w:rPr>
  </w:style>
  <w:style w:type="character" w:customStyle="1" w:styleId="UPlanCar">
    <w:name w:val="UPlan Car"/>
    <w:basedOn w:val="DefaultParagraphFont"/>
    <w:link w:val="UPlan"/>
    <w:rsid w:val="00AA60FF"/>
    <w:rPr>
      <w:rFonts w:ascii="Arial" w:eastAsia="Times New Roman" w:hAnsi="Arial" w:cs="Arial"/>
      <w:b/>
      <w:bCs/>
      <w:caps/>
      <w:noProof/>
      <w:snapToGrid w:val="0"/>
      <w:color w:val="3366FF"/>
      <w:kern w:val="28"/>
      <w:sz w:val="48"/>
      <w:szCs w:val="48"/>
      <w:lang w:eastAsia="es-ES"/>
    </w:rPr>
  </w:style>
  <w:style w:type="paragraph" w:customStyle="1" w:styleId="Titcoul">
    <w:name w:val="Titcoul"/>
    <w:basedOn w:val="Heading1"/>
    <w:link w:val="TitcoulCar"/>
    <w:rsid w:val="00AA60FF"/>
    <w:rPr>
      <w:rFonts w:eastAsia="Times New Roman"/>
    </w:rPr>
  </w:style>
  <w:style w:type="character" w:customStyle="1" w:styleId="TitcoulCar">
    <w:name w:val="Titcoul Car"/>
    <w:link w:val="Titcoul"/>
    <w:rsid w:val="00AA60FF"/>
    <w:rPr>
      <w:rFonts w:ascii="Arial" w:eastAsia="Times New Roman" w:hAnsi="Arial" w:cs="Arial"/>
      <w:b/>
      <w:bCs/>
      <w:caps/>
      <w:noProof/>
      <w:snapToGrid w:val="0"/>
      <w:color w:val="3366FF"/>
      <w:kern w:val="28"/>
      <w:sz w:val="32"/>
      <w:szCs w:val="32"/>
      <w:lang w:eastAsia="es-ES"/>
    </w:rPr>
  </w:style>
  <w:style w:type="paragraph" w:customStyle="1" w:styleId="Texte1">
    <w:name w:val="Texte1"/>
    <w:basedOn w:val="Normal"/>
    <w:link w:val="Texte1Car"/>
    <w:rsid w:val="00AA60FF"/>
    <w:pPr>
      <w:spacing w:before="0" w:after="60" w:line="280" w:lineRule="exact"/>
      <w:ind w:left="851"/>
    </w:pPr>
    <w:rPr>
      <w:snapToGrid/>
      <w:sz w:val="20"/>
    </w:rPr>
  </w:style>
  <w:style w:type="character" w:customStyle="1" w:styleId="Texte1Car">
    <w:name w:val="Texte1 Car"/>
    <w:link w:val="Texte1"/>
    <w:rsid w:val="00AA60FF"/>
    <w:rPr>
      <w:rFonts w:ascii="Arial" w:eastAsia="SimSun" w:hAnsi="Arial" w:cs="Arial"/>
      <w:sz w:val="20"/>
      <w:szCs w:val="24"/>
      <w:lang w:val="es-ES" w:eastAsia="es-ES"/>
    </w:rPr>
  </w:style>
  <w:style w:type="paragraph" w:styleId="Header">
    <w:name w:val="header"/>
    <w:basedOn w:val="Normal"/>
    <w:link w:val="HeaderChar"/>
    <w:uiPriority w:val="99"/>
    <w:unhideWhenUsed/>
    <w:rsid w:val="001557D7"/>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1557D7"/>
    <w:rPr>
      <w:rFonts w:ascii="Arial" w:eastAsia="SimSun" w:hAnsi="Arial" w:cs="Arial"/>
      <w:snapToGrid w:val="0"/>
      <w:szCs w:val="24"/>
      <w:lang w:val="es-ES" w:eastAsia="es-ES"/>
    </w:rPr>
  </w:style>
  <w:style w:type="paragraph" w:styleId="Footer">
    <w:name w:val="footer"/>
    <w:basedOn w:val="Normal"/>
    <w:link w:val="FooterChar"/>
    <w:uiPriority w:val="99"/>
    <w:unhideWhenUsed/>
    <w:rsid w:val="001557D7"/>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1557D7"/>
    <w:rPr>
      <w:rFonts w:ascii="Arial" w:eastAsia="SimSun" w:hAnsi="Arial" w:cs="Arial"/>
      <w:snapToGrid w:val="0"/>
      <w:szCs w:val="24"/>
      <w:lang w:val="es-ES" w:eastAsia="es-ES"/>
    </w:rPr>
  </w:style>
  <w:style w:type="paragraph" w:styleId="BalloonText">
    <w:name w:val="Balloon Text"/>
    <w:basedOn w:val="Normal"/>
    <w:link w:val="BalloonTextChar"/>
    <w:uiPriority w:val="99"/>
    <w:semiHidden/>
    <w:unhideWhenUsed/>
    <w:rsid w:val="002F57B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BF"/>
    <w:rPr>
      <w:rFonts w:ascii="Tahoma" w:eastAsia="SimSun" w:hAnsi="Tahoma" w:cs="Tahoma"/>
      <w:snapToGrid w:val="0"/>
      <w:sz w:val="16"/>
      <w:szCs w:val="16"/>
    </w:rPr>
  </w:style>
  <w:style w:type="character" w:styleId="Hyperlink">
    <w:name w:val="Hyperlink"/>
    <w:unhideWhenUsed/>
    <w:rsid w:val="002E44CD"/>
    <w:rPr>
      <w:color w:val="0000FF"/>
      <w:u w:val="single"/>
    </w:rPr>
  </w:style>
  <w:style w:type="paragraph" w:styleId="BodyText">
    <w:name w:val="Body Text"/>
    <w:basedOn w:val="Normal"/>
    <w:link w:val="BodyTextChar"/>
    <w:rsid w:val="00772040"/>
    <w:pPr>
      <w:tabs>
        <w:tab w:val="clear" w:pos="567"/>
      </w:tabs>
      <w:snapToGrid/>
      <w:spacing w:before="0" w:after="0"/>
    </w:pPr>
    <w:rPr>
      <w:rFonts w:ascii="Times New Roman" w:eastAsia="Times New Roman" w:hAnsi="Times New Roman" w:cs="Times New Roman"/>
      <w:snapToGrid/>
      <w:sz w:val="24"/>
      <w:szCs w:val="20"/>
      <w:lang w:val="pt-BR" w:eastAsia="pt-BR" w:bidi="ar-SA"/>
    </w:rPr>
  </w:style>
  <w:style w:type="character" w:customStyle="1" w:styleId="BodyTextChar">
    <w:name w:val="Body Text Char"/>
    <w:basedOn w:val="DefaultParagraphFont"/>
    <w:link w:val="BodyText"/>
    <w:rsid w:val="00772040"/>
    <w:rPr>
      <w:rFonts w:ascii="Times New Roman" w:eastAsia="Times New Roman" w:hAnsi="Times New Roman" w:cs="Times New Roman"/>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sco.org/open-access/terms-use-ccbysa-sp"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790</Words>
  <Characters>4351</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7</cp:revision>
  <dcterms:created xsi:type="dcterms:W3CDTF">2016-03-15T14:52:00Z</dcterms:created>
  <dcterms:modified xsi:type="dcterms:W3CDTF">2018-04-23T12:59:00Z</dcterms:modified>
</cp:coreProperties>
</file>