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AD" w:rsidRPr="00456CF4" w:rsidRDefault="000410AD" w:rsidP="000410AD">
      <w:pPr>
        <w:pStyle w:val="Chapitre"/>
        <w:rPr>
          <w:lang w:val="fr-FR"/>
        </w:rPr>
      </w:pPr>
      <w:r w:rsidRPr="00456CF4">
        <w:rPr>
          <w:lang w:val="fr-FR"/>
        </w:rPr>
        <w:t>UnitÉ 55</w:t>
      </w:r>
    </w:p>
    <w:p w:rsidR="000A214E" w:rsidRDefault="000410AD" w:rsidP="00456CF4">
      <w:pPr>
        <w:pStyle w:val="UPlan"/>
        <w:rPr>
          <w:lang w:val="fr-FR"/>
        </w:rPr>
      </w:pPr>
      <w:r w:rsidRPr="00456CF4">
        <w:rPr>
          <w:lang w:val="fr-FR"/>
        </w:rPr>
        <w:t>atelier sur l’</w:t>
      </w:r>
      <w:r w:rsidR="00122B4B">
        <w:rPr>
          <w:lang w:val="fr-FR"/>
        </w:rPr>
        <w:t>É</w:t>
      </w:r>
      <w:r w:rsidRPr="00456CF4">
        <w:rPr>
          <w:lang w:val="fr-FR"/>
        </w:rPr>
        <w:t>laboration de politiques pour la sauvegarde du patrimoine c</w:t>
      </w:r>
      <w:r w:rsidRPr="001718AD">
        <w:rPr>
          <w:lang w:val="fr-FR"/>
        </w:rPr>
        <w:t>ulturel immatéri</w:t>
      </w:r>
      <w:r>
        <w:rPr>
          <w:lang w:val="fr-FR"/>
        </w:rPr>
        <w:t>el</w:t>
      </w:r>
    </w:p>
    <w:p w:rsidR="000A214E" w:rsidRPr="000A63A1" w:rsidRDefault="000A214E" w:rsidP="000A214E">
      <w:pPr>
        <w:pStyle w:val="BodyText"/>
        <w:spacing w:before="480"/>
        <w:jc w:val="left"/>
        <w:rPr>
          <w:rFonts w:ascii="Arial" w:hAnsi="Arial" w:cs="Arial"/>
          <w:sz w:val="22"/>
          <w:szCs w:val="22"/>
          <w:lang w:val="fr-FR"/>
        </w:rPr>
      </w:pPr>
      <w:r w:rsidRPr="000A63A1">
        <w:rPr>
          <w:rFonts w:ascii="Arial" w:hAnsi="Arial" w:cs="Arial"/>
          <w:sz w:val="22"/>
          <w:szCs w:val="22"/>
          <w:lang w:val="fr-FR"/>
        </w:rPr>
        <w:t xml:space="preserve">Publié en </w:t>
      </w:r>
      <w:r w:rsidR="008F63A8">
        <w:rPr>
          <w:rFonts w:ascii="Arial" w:hAnsi="Arial" w:cs="Arial"/>
          <w:sz w:val="22"/>
          <w:szCs w:val="22"/>
          <w:lang w:val="fr-FR"/>
        </w:rPr>
        <w:t>2016</w:t>
      </w:r>
      <w:r w:rsidRPr="000A63A1">
        <w:rPr>
          <w:rFonts w:ascii="Arial" w:hAnsi="Arial" w:cs="Arial"/>
          <w:sz w:val="22"/>
          <w:szCs w:val="22"/>
          <w:lang w:val="fr-FR"/>
        </w:rPr>
        <w:t xml:space="preserve"> par l’Organisation des Nations Unies pour l’éducation, la science et la culture </w:t>
      </w:r>
    </w:p>
    <w:p w:rsidR="000A214E" w:rsidRPr="000A63A1" w:rsidRDefault="000A214E" w:rsidP="000A214E">
      <w:pPr>
        <w:pStyle w:val="BodyText"/>
        <w:jc w:val="left"/>
        <w:rPr>
          <w:rFonts w:ascii="Arial" w:hAnsi="Arial" w:cs="Arial"/>
          <w:bCs/>
          <w:iCs/>
          <w:sz w:val="22"/>
          <w:szCs w:val="22"/>
          <w:lang w:val="fr-FR"/>
        </w:rPr>
      </w:pPr>
      <w:r w:rsidRPr="000A63A1">
        <w:rPr>
          <w:rFonts w:ascii="Arial" w:hAnsi="Arial" w:cs="Arial"/>
          <w:bCs/>
          <w:iCs/>
          <w:sz w:val="22"/>
          <w:szCs w:val="22"/>
          <w:lang w:val="fr-FR"/>
        </w:rPr>
        <w:t>7, place de Fontenoy, 75352 Paris 07 SP, France</w:t>
      </w:r>
    </w:p>
    <w:p w:rsidR="000A214E" w:rsidRPr="000A63A1" w:rsidRDefault="000A214E" w:rsidP="000A214E">
      <w:pPr>
        <w:pStyle w:val="BodyText"/>
        <w:jc w:val="left"/>
        <w:rPr>
          <w:rFonts w:ascii="Arial" w:hAnsi="Arial" w:cs="Arial"/>
          <w:bCs/>
          <w:iCs/>
          <w:sz w:val="22"/>
          <w:szCs w:val="22"/>
          <w:lang w:val="fr-FR"/>
        </w:rPr>
      </w:pPr>
    </w:p>
    <w:p w:rsidR="000A214E" w:rsidRPr="000A63A1" w:rsidRDefault="000A214E" w:rsidP="000A214E">
      <w:pPr>
        <w:autoSpaceDE w:val="0"/>
        <w:autoSpaceDN w:val="0"/>
        <w:adjustRightInd w:val="0"/>
        <w:rPr>
          <w:szCs w:val="22"/>
          <w:lang w:val="en-GB"/>
        </w:rPr>
      </w:pPr>
      <w:r w:rsidRPr="000A63A1">
        <w:rPr>
          <w:szCs w:val="22"/>
          <w:lang w:val="en-GB"/>
        </w:rPr>
        <w:t xml:space="preserve">© UNESCO </w:t>
      </w:r>
      <w:r w:rsidR="008F63A8">
        <w:rPr>
          <w:szCs w:val="22"/>
          <w:lang w:val="en-GB"/>
        </w:rPr>
        <w:t>2016</w:t>
      </w:r>
    </w:p>
    <w:p w:rsidR="000A214E" w:rsidRPr="000A63A1" w:rsidRDefault="000A214E" w:rsidP="000A214E">
      <w:pPr>
        <w:autoSpaceDE w:val="0"/>
        <w:autoSpaceDN w:val="0"/>
        <w:adjustRightInd w:val="0"/>
        <w:rPr>
          <w:szCs w:val="22"/>
          <w:lang w:val="en-GB"/>
        </w:rPr>
      </w:pPr>
    </w:p>
    <w:p w:rsidR="000A214E" w:rsidRPr="00FC624F" w:rsidRDefault="000A214E" w:rsidP="000A214E">
      <w:pPr>
        <w:autoSpaceDE w:val="0"/>
        <w:autoSpaceDN w:val="0"/>
        <w:adjustRightInd w:val="0"/>
        <w:rPr>
          <w:szCs w:val="22"/>
          <w:lang w:val="en-GB"/>
        </w:rPr>
      </w:pPr>
      <w:r w:rsidRPr="000A63A1">
        <w:rPr>
          <w:noProof/>
          <w:szCs w:val="22"/>
          <w:lang w:val="fr-FR" w:eastAsia="ja-JP"/>
        </w:rPr>
        <w:drawing>
          <wp:inline distT="0" distB="0" distL="0" distR="0" wp14:anchorId="64CFFF3F" wp14:editId="1A800688">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0A214E" w:rsidRPr="000A63A1" w:rsidRDefault="000A214E" w:rsidP="000A214E">
      <w:pPr>
        <w:autoSpaceDE w:val="0"/>
        <w:autoSpaceDN w:val="0"/>
        <w:adjustRightInd w:val="0"/>
        <w:rPr>
          <w:szCs w:val="22"/>
          <w:lang w:val="fr-FR"/>
        </w:rPr>
      </w:pPr>
      <w:r w:rsidRPr="000A63A1">
        <w:rPr>
          <w:szCs w:val="22"/>
          <w:lang w:val="fr-FR"/>
        </w:rPr>
        <w:t>Œuvre publiée en libre accès sous la licence Attribution-ShareAlike 3.0 IGO (CC-BY-SA 3.0 IGO) (</w:t>
      </w:r>
      <w:hyperlink r:id="rId8" w:history="1">
        <w:r w:rsidRPr="000A63A1">
          <w:rPr>
            <w:rFonts w:eastAsiaTheme="minorHAnsi"/>
            <w:color w:val="0000FF"/>
            <w:szCs w:val="22"/>
            <w:u w:val="single" w:color="0000FF"/>
            <w:lang w:val="fr-FR" w:eastAsia="en-US"/>
          </w:rPr>
          <w:t>http://creativecommons.org/licenses/by-sa/3.0/igo/</w:t>
        </w:r>
      </w:hyperlink>
      <w:r w:rsidRPr="000A63A1">
        <w:rPr>
          <w:szCs w:val="22"/>
          <w:lang w:val="fr-FR"/>
        </w:rPr>
        <w:t>). Les utilisateurs du contenu de la présente publication acceptent les termes d’utilisation de l’Archive ouverte de libre accès UNESCO (</w:t>
      </w:r>
      <w:hyperlink r:id="rId9" w:history="1">
        <w:r w:rsidRPr="000A63A1">
          <w:rPr>
            <w:rStyle w:val="Hyperlink"/>
            <w:rFonts w:eastAsiaTheme="minorHAnsi"/>
            <w:szCs w:val="22"/>
            <w:lang w:val="fr-FR" w:eastAsia="en-US"/>
          </w:rPr>
          <w:t>www.unesco.org/open-access/terms-use-ccbysa-fr</w:t>
        </w:r>
      </w:hyperlink>
      <w:r w:rsidRPr="000A63A1">
        <w:rPr>
          <w:szCs w:val="22"/>
          <w:lang w:val="fr-FR"/>
        </w:rPr>
        <w:t>).</w:t>
      </w:r>
    </w:p>
    <w:p w:rsidR="000A214E" w:rsidRPr="00FC624F" w:rsidRDefault="000A214E" w:rsidP="000A214E">
      <w:pPr>
        <w:autoSpaceDE w:val="0"/>
        <w:autoSpaceDN w:val="0"/>
        <w:adjustRightInd w:val="0"/>
        <w:rPr>
          <w:szCs w:val="22"/>
          <w:lang w:val="fr-FR"/>
        </w:rPr>
      </w:pPr>
      <w:r w:rsidRPr="00FC624F">
        <w:rPr>
          <w:szCs w:val="22"/>
          <w:lang w:val="fr-FR"/>
        </w:rPr>
        <w:t xml:space="preserve">Les images dans cette publication ne sont pas couvertes par la licence CC-BY-SA et ne peuvent en aucune façon être commercialisées ou reproduites sans l’autorisation expresse des détenteurs des droits de reproduction. </w:t>
      </w:r>
    </w:p>
    <w:p w:rsidR="000A214E" w:rsidRPr="000A63A1" w:rsidRDefault="000A214E" w:rsidP="000A214E">
      <w:pPr>
        <w:pStyle w:val="BodyText"/>
        <w:jc w:val="left"/>
        <w:rPr>
          <w:rFonts w:ascii="Arial" w:hAnsi="Arial" w:cs="Arial"/>
          <w:bCs/>
          <w:iCs/>
          <w:sz w:val="22"/>
          <w:szCs w:val="22"/>
          <w:lang w:val="fr-FR"/>
        </w:rPr>
      </w:pPr>
    </w:p>
    <w:p w:rsidR="000A214E" w:rsidRPr="000A63A1" w:rsidRDefault="000A214E" w:rsidP="000A214E">
      <w:pPr>
        <w:pStyle w:val="BodyText"/>
        <w:jc w:val="left"/>
        <w:rPr>
          <w:rFonts w:ascii="Arial" w:hAnsi="Arial" w:cs="Arial"/>
          <w:bCs/>
          <w:iCs/>
          <w:sz w:val="22"/>
          <w:szCs w:val="22"/>
          <w:lang w:val="en-GB"/>
        </w:rPr>
      </w:pPr>
      <w:r w:rsidRPr="000A63A1">
        <w:rPr>
          <w:rFonts w:ascii="Arial" w:hAnsi="Arial" w:cs="Arial"/>
          <w:bCs/>
          <w:iCs/>
          <w:sz w:val="22"/>
          <w:szCs w:val="22"/>
          <w:lang w:val="en-GB"/>
        </w:rPr>
        <w:t xml:space="preserve">Titre original : Workshop on policy </w:t>
      </w:r>
      <w:r>
        <w:rPr>
          <w:rFonts w:ascii="Arial" w:hAnsi="Arial" w:cs="Arial"/>
          <w:bCs/>
          <w:iCs/>
          <w:sz w:val="22"/>
          <w:szCs w:val="22"/>
          <w:lang w:val="en-GB"/>
        </w:rPr>
        <w:t>development</w:t>
      </w:r>
      <w:r w:rsidRPr="000A63A1">
        <w:rPr>
          <w:rFonts w:ascii="Arial" w:hAnsi="Arial" w:cs="Arial"/>
          <w:bCs/>
          <w:iCs/>
          <w:sz w:val="22"/>
          <w:szCs w:val="22"/>
          <w:lang w:val="en-GB"/>
        </w:rPr>
        <w:t xml:space="preserve"> for intangible cultural heritage safeguarding</w:t>
      </w:r>
    </w:p>
    <w:p w:rsidR="000A214E" w:rsidRPr="000A63A1" w:rsidRDefault="000A214E" w:rsidP="000A214E">
      <w:pPr>
        <w:pStyle w:val="BodyText"/>
        <w:jc w:val="left"/>
        <w:rPr>
          <w:rFonts w:ascii="Arial" w:hAnsi="Arial" w:cs="Arial"/>
          <w:sz w:val="22"/>
          <w:szCs w:val="22"/>
          <w:lang w:val="fr-FR"/>
        </w:rPr>
      </w:pPr>
      <w:r w:rsidRPr="000A63A1">
        <w:rPr>
          <w:rFonts w:ascii="Arial" w:hAnsi="Arial" w:cs="Arial"/>
          <w:sz w:val="22"/>
          <w:szCs w:val="22"/>
          <w:lang w:val="fr-FR"/>
        </w:rPr>
        <w:t xml:space="preserve">Publié en </w:t>
      </w:r>
      <w:r w:rsidR="008F63A8">
        <w:rPr>
          <w:rFonts w:ascii="Arial" w:hAnsi="Arial" w:cs="Arial"/>
          <w:sz w:val="22"/>
          <w:szCs w:val="22"/>
          <w:lang w:val="fr-FR"/>
        </w:rPr>
        <w:t>2016</w:t>
      </w:r>
      <w:r w:rsidRPr="000A63A1">
        <w:rPr>
          <w:rFonts w:ascii="Arial" w:hAnsi="Arial" w:cs="Arial"/>
          <w:sz w:val="22"/>
          <w:szCs w:val="22"/>
          <w:lang w:val="fr-FR"/>
        </w:rPr>
        <w:t xml:space="preserve"> par l’Organisation des Nations Unies pour l’éducation, la science et la culture </w:t>
      </w:r>
    </w:p>
    <w:p w:rsidR="000A214E" w:rsidRPr="000A63A1" w:rsidRDefault="000A214E" w:rsidP="000A214E">
      <w:pPr>
        <w:pStyle w:val="BodyText"/>
        <w:jc w:val="left"/>
        <w:rPr>
          <w:rFonts w:ascii="Arial" w:hAnsi="Arial" w:cs="Arial"/>
          <w:bCs/>
          <w:iCs/>
          <w:sz w:val="22"/>
          <w:szCs w:val="22"/>
          <w:lang w:val="fr-FR"/>
        </w:rPr>
      </w:pPr>
    </w:p>
    <w:p w:rsidR="000A214E" w:rsidRPr="000A63A1" w:rsidRDefault="000A214E" w:rsidP="000A214E">
      <w:pPr>
        <w:pStyle w:val="BodyText"/>
        <w:jc w:val="left"/>
        <w:rPr>
          <w:rFonts w:ascii="Arial" w:hAnsi="Arial" w:cs="Arial"/>
          <w:bCs/>
          <w:iCs/>
          <w:sz w:val="22"/>
          <w:szCs w:val="22"/>
          <w:lang w:val="fr-FR"/>
        </w:rPr>
      </w:pPr>
      <w:r w:rsidRPr="000A63A1">
        <w:rPr>
          <w:rFonts w:ascii="Arial" w:hAnsi="Arial" w:cs="Arial"/>
          <w:bCs/>
          <w:iCs/>
          <w:sz w:val="22"/>
          <w:szCs w:val="22"/>
          <w:lang w:val="fr-FR"/>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w:t>
      </w:r>
      <w:bookmarkStart w:id="0" w:name="_GoBack"/>
      <w:bookmarkEnd w:id="0"/>
      <w:r w:rsidRPr="000A63A1">
        <w:rPr>
          <w:rFonts w:ascii="Arial" w:hAnsi="Arial" w:cs="Arial"/>
          <w:bCs/>
          <w:iCs/>
          <w:sz w:val="22"/>
          <w:szCs w:val="22"/>
          <w:lang w:val="fr-FR"/>
        </w:rPr>
        <w:t>mites.</w:t>
      </w:r>
    </w:p>
    <w:p w:rsidR="000A214E" w:rsidRPr="000A63A1" w:rsidRDefault="000A214E" w:rsidP="000A214E">
      <w:pPr>
        <w:pStyle w:val="BodyText"/>
        <w:jc w:val="left"/>
        <w:rPr>
          <w:rFonts w:ascii="Arial" w:hAnsi="Arial" w:cs="Arial"/>
          <w:bCs/>
          <w:iCs/>
          <w:sz w:val="22"/>
          <w:szCs w:val="22"/>
          <w:lang w:val="fr-FR"/>
        </w:rPr>
      </w:pPr>
    </w:p>
    <w:p w:rsidR="000A214E" w:rsidRPr="000A214E" w:rsidRDefault="000A214E" w:rsidP="000A214E">
      <w:pPr>
        <w:pStyle w:val="BodyText"/>
        <w:jc w:val="left"/>
        <w:rPr>
          <w:rFonts w:ascii="Arial" w:hAnsi="Arial" w:cs="Arial"/>
          <w:bCs/>
          <w:iCs/>
          <w:sz w:val="22"/>
          <w:szCs w:val="22"/>
          <w:lang w:val="fr-FR"/>
        </w:rPr>
      </w:pPr>
      <w:r w:rsidRPr="000A63A1">
        <w:rPr>
          <w:rFonts w:ascii="Arial" w:hAnsi="Arial" w:cs="Arial"/>
          <w:bCs/>
          <w:iCs/>
          <w:sz w:val="22"/>
          <w:szCs w:val="22"/>
          <w:lang w:val="fr-FR"/>
        </w:rPr>
        <w:t>Les idées et les opinions exprimées dans cette publication sont celles des auteurs ; elles ne reflètent pas nécessairement les points de vue de l’UNESCO et n’engagent en aucune façon l’Organisation.</w:t>
      </w:r>
    </w:p>
    <w:p w:rsidR="000410AD" w:rsidRPr="001718AD" w:rsidRDefault="000A214E" w:rsidP="00456CF4">
      <w:pPr>
        <w:pStyle w:val="UPlan"/>
        <w:rPr>
          <w:lang w:val="fr-FR"/>
        </w:rPr>
      </w:pPr>
      <w:r>
        <w:rPr>
          <w:lang w:val="fr-FR"/>
        </w:rPr>
        <w:br w:type="page"/>
      </w:r>
    </w:p>
    <w:p w:rsidR="00F80A16" w:rsidRPr="00F36887" w:rsidRDefault="006332CF" w:rsidP="00F80A16">
      <w:pPr>
        <w:pStyle w:val="Heading1"/>
        <w:rPr>
          <w:lang w:val="fr-FR"/>
        </w:rPr>
      </w:pPr>
      <w:r>
        <w:rPr>
          <w:lang w:val="fr-FR"/>
        </w:rPr>
        <w:lastRenderedPageBreak/>
        <w:t>Exposé</w:t>
      </w:r>
      <w:r w:rsidR="00F36887" w:rsidRPr="00F36887">
        <w:rPr>
          <w:lang w:val="fr-FR"/>
        </w:rPr>
        <w:t xml:space="preserve"> à l’intention des </w:t>
      </w:r>
      <w:r w:rsidR="00F80A16" w:rsidRPr="00F36887">
        <w:rPr>
          <w:lang w:val="fr-FR"/>
        </w:rPr>
        <w:t>Facilitat</w:t>
      </w:r>
      <w:r w:rsidR="00F36887" w:rsidRPr="00F36887">
        <w:rPr>
          <w:lang w:val="fr-FR"/>
        </w:rPr>
        <w:t>eu</w:t>
      </w:r>
      <w:r w:rsidR="00F80A16" w:rsidRPr="00F36887">
        <w:rPr>
          <w:lang w:val="fr-FR"/>
        </w:rPr>
        <w:t>rs</w:t>
      </w:r>
      <w:r w:rsidR="00F36887" w:rsidRPr="00F36887">
        <w:rPr>
          <w:lang w:val="fr-FR"/>
        </w:rPr>
        <w:t> </w:t>
      </w:r>
      <w:r w:rsidR="001718AD">
        <w:rPr>
          <w:lang w:val="fr-FR"/>
        </w:rPr>
        <w:t xml:space="preserve"> </w:t>
      </w:r>
      <w:r w:rsidR="000410AD">
        <w:rPr>
          <w:lang w:val="fr-FR"/>
        </w:rPr>
        <w:t>3</w:t>
      </w:r>
      <w:r w:rsidR="00F80A16" w:rsidRPr="00F36887">
        <w:rPr>
          <w:lang w:val="fr-FR"/>
        </w:rPr>
        <w:t xml:space="preserve">: </w:t>
      </w:r>
      <w:r w:rsidR="00EA345D">
        <w:rPr>
          <w:lang w:val="fr-FR"/>
        </w:rPr>
        <w:t xml:space="preserve">l’art du </w:t>
      </w:r>
      <w:r w:rsidR="00F80A16" w:rsidRPr="00F36887">
        <w:rPr>
          <w:lang w:val="fr-FR"/>
        </w:rPr>
        <w:t>Tatau</w:t>
      </w:r>
      <w:r w:rsidR="00EA345D">
        <w:rPr>
          <w:lang w:val="fr-FR"/>
        </w:rPr>
        <w:t xml:space="preserve"> (É</w:t>
      </w:r>
      <w:r w:rsidR="00EA345D" w:rsidRPr="00F36887">
        <w:rPr>
          <w:lang w:val="fr-FR"/>
        </w:rPr>
        <w:t xml:space="preserve">tude de cas </w:t>
      </w:r>
      <w:r w:rsidR="00EA345D">
        <w:rPr>
          <w:lang w:val="fr-FR"/>
        </w:rPr>
        <w:t>38)</w:t>
      </w:r>
    </w:p>
    <w:p w:rsidR="00C57C58" w:rsidRPr="00456CF4" w:rsidRDefault="0041225E" w:rsidP="00456CF4">
      <w:pPr>
        <w:pStyle w:val="Texte1"/>
      </w:pPr>
      <w:r w:rsidRPr="00582A2A">
        <w:t xml:space="preserve">Toute initiative de sauvegarde du </w:t>
      </w:r>
      <w:r w:rsidR="00F80A16" w:rsidRPr="00582A2A">
        <w:t>tatau</w:t>
      </w:r>
      <w:r w:rsidR="00195E0B" w:rsidRPr="00456CF4">
        <w:t xml:space="preserve"> (telle que son inscription à un inventaire),</w:t>
      </w:r>
      <w:r w:rsidR="00F80A16" w:rsidRPr="00456CF4">
        <w:t xml:space="preserve"> </w:t>
      </w:r>
      <w:r w:rsidRPr="00456CF4">
        <w:t>en vertu de la Convention de</w:t>
      </w:r>
      <w:r w:rsidR="00F80A16" w:rsidRPr="00456CF4">
        <w:t xml:space="preserve"> 2003</w:t>
      </w:r>
      <w:r w:rsidR="00195E0B" w:rsidRPr="00456CF4">
        <w:t>,</w:t>
      </w:r>
      <w:r w:rsidR="00F80A16" w:rsidRPr="00456CF4">
        <w:t xml:space="preserve"> </w:t>
      </w:r>
      <w:r w:rsidR="00DF387D" w:rsidRPr="00456CF4">
        <w:t xml:space="preserve">devra </w:t>
      </w:r>
      <w:r w:rsidR="00E8237F" w:rsidRPr="00456CF4">
        <w:t>s’efforcer de concilier l</w:t>
      </w:r>
      <w:r w:rsidR="00DF387D" w:rsidRPr="00456CF4">
        <w:t>es intérêts très divers des communautés</w:t>
      </w:r>
      <w:r w:rsidR="00417A72" w:rsidRPr="00456CF4">
        <w:t xml:space="preserve"> </w:t>
      </w:r>
      <w:r w:rsidR="008630BF" w:rsidRPr="00456CF4">
        <w:t>e</w:t>
      </w:r>
      <w:r w:rsidR="002F5948" w:rsidRPr="00456CF4">
        <w:t>n n</w:t>
      </w:r>
      <w:r w:rsidR="008630BF" w:rsidRPr="00456CF4">
        <w:t xml:space="preserve">e </w:t>
      </w:r>
      <w:r w:rsidR="0092297A" w:rsidRPr="00456CF4">
        <w:t>se limit</w:t>
      </w:r>
      <w:r w:rsidR="002F5948" w:rsidRPr="00456CF4">
        <w:t xml:space="preserve">ant pas </w:t>
      </w:r>
      <w:r w:rsidR="0092297A" w:rsidRPr="00456CF4">
        <w:t xml:space="preserve">aux seuls </w:t>
      </w:r>
      <w:r w:rsidR="00C57C58" w:rsidRPr="00456CF4">
        <w:t>T</w:t>
      </w:r>
      <w:r w:rsidR="00F80A16" w:rsidRPr="00456CF4">
        <w:t>ufuga</w:t>
      </w:r>
      <w:r w:rsidR="00DF497C" w:rsidRPr="00456CF4">
        <w:t xml:space="preserve">, mais en prenant en compte l’ensemble des Samoans, y compris les membres de la diaspora qui s’identifient au </w:t>
      </w:r>
      <w:r w:rsidR="00223A99" w:rsidRPr="00456CF4">
        <w:t>tatau.</w:t>
      </w:r>
      <w:r w:rsidR="00223A99">
        <w:t xml:space="preserve"> </w:t>
      </w:r>
      <w:r w:rsidR="00E8237F" w:rsidRPr="00456CF4">
        <w:t>C</w:t>
      </w:r>
      <w:r w:rsidR="00DF497C" w:rsidRPr="00456CF4">
        <w:t>e</w:t>
      </w:r>
      <w:r w:rsidR="00C57C58" w:rsidRPr="00456CF4">
        <w:t xml:space="preserve"> problème </w:t>
      </w:r>
      <w:r w:rsidR="00DF497C" w:rsidRPr="00456CF4">
        <w:t>est</w:t>
      </w:r>
      <w:r w:rsidR="00E8237F" w:rsidRPr="00456CF4">
        <w:t xml:space="preserve"> fréquemment </w:t>
      </w:r>
      <w:r w:rsidR="00DF497C" w:rsidRPr="00456CF4">
        <w:t xml:space="preserve">rencontré </w:t>
      </w:r>
      <w:r w:rsidR="00E8237F" w:rsidRPr="00456CF4">
        <w:t xml:space="preserve">dans le cadre </w:t>
      </w:r>
      <w:r w:rsidR="00C57C58" w:rsidRPr="00456CF4">
        <w:t>d</w:t>
      </w:r>
      <w:r w:rsidR="008630BF" w:rsidRPr="00456CF4">
        <w:t xml:space="preserve">e </w:t>
      </w:r>
      <w:r w:rsidR="00C57C58" w:rsidRPr="00456CF4">
        <w:t xml:space="preserve">tout processus de sauvegarde de la </w:t>
      </w:r>
      <w:r w:rsidR="002D3C8B" w:rsidRPr="00456CF4">
        <w:t>Convention</w:t>
      </w:r>
      <w:r w:rsidR="00C57C58" w:rsidRPr="00456CF4">
        <w:t>.</w:t>
      </w:r>
    </w:p>
    <w:p w:rsidR="00F80A16" w:rsidRPr="006332CF" w:rsidRDefault="00C57C58" w:rsidP="00456CF4">
      <w:pPr>
        <w:pStyle w:val="Texte1"/>
      </w:pPr>
      <w:r w:rsidRPr="006332CF">
        <w:t xml:space="preserve">Les praticiens du </w:t>
      </w:r>
      <w:r w:rsidR="00AB1CE4" w:rsidRPr="006332CF">
        <w:t>tatau</w:t>
      </w:r>
      <w:r w:rsidR="00AB1CE4" w:rsidRPr="006332CF" w:rsidDel="00AB1CE4">
        <w:t xml:space="preserve"> </w:t>
      </w:r>
      <w:r w:rsidRPr="006332CF">
        <w:t xml:space="preserve">(les Tufuga) </w:t>
      </w:r>
      <w:r w:rsidR="00FE7D57" w:rsidRPr="006332CF">
        <w:t>forment</w:t>
      </w:r>
      <w:r w:rsidRPr="006332CF">
        <w:t xml:space="preserve"> un des groupes importants de la communauté concernée</w:t>
      </w:r>
      <w:r w:rsidR="002D3C8B" w:rsidRPr="006332CF">
        <w:t xml:space="preserve">. </w:t>
      </w:r>
      <w:r w:rsidR="00163BCB" w:rsidRPr="006332CF">
        <w:t xml:space="preserve">Si </w:t>
      </w:r>
      <w:r w:rsidR="00543809" w:rsidRPr="006332CF">
        <w:t>le fait d’</w:t>
      </w:r>
      <w:r w:rsidR="00163BCB" w:rsidRPr="006332CF">
        <w:t>inscrire</w:t>
      </w:r>
      <w:r w:rsidR="00750C1A" w:rsidRPr="006332CF">
        <w:t xml:space="preserve"> le</w:t>
      </w:r>
      <w:r w:rsidR="00AB1CE4" w:rsidRPr="006332CF">
        <w:t xml:space="preserve"> tatau</w:t>
      </w:r>
      <w:r w:rsidR="00750C1A" w:rsidRPr="006332CF">
        <w:t xml:space="preserve"> à </w:t>
      </w:r>
      <w:r w:rsidR="002F5948" w:rsidRPr="006332CF">
        <w:t xml:space="preserve">un </w:t>
      </w:r>
      <w:r w:rsidR="00750C1A" w:rsidRPr="006332CF">
        <w:t xml:space="preserve">inventaire ou </w:t>
      </w:r>
      <w:r w:rsidR="00543809" w:rsidRPr="006332CF">
        <w:t xml:space="preserve">de </w:t>
      </w:r>
      <w:r w:rsidR="00750C1A" w:rsidRPr="006332CF">
        <w:t>le pla</w:t>
      </w:r>
      <w:r w:rsidR="00163BCB" w:rsidRPr="006332CF">
        <w:t>cer</w:t>
      </w:r>
      <w:r w:rsidR="00750C1A" w:rsidRPr="006332CF">
        <w:t xml:space="preserve"> dans une base de données </w:t>
      </w:r>
      <w:r w:rsidR="008630BF" w:rsidRPr="006332CF">
        <w:t>des expressions culturelles traditionnelles</w:t>
      </w:r>
      <w:r w:rsidR="00D61372" w:rsidRPr="006332CF">
        <w:t xml:space="preserve"> devient </w:t>
      </w:r>
      <w:r w:rsidR="002F5948" w:rsidRPr="006332CF">
        <w:t>un</w:t>
      </w:r>
      <w:r w:rsidR="00D61372" w:rsidRPr="006332CF">
        <w:t xml:space="preserve"> moyen d</w:t>
      </w:r>
      <w:r w:rsidR="00163BCB" w:rsidRPr="006332CF">
        <w:t xml:space="preserve">e prouver </w:t>
      </w:r>
      <w:r w:rsidR="002F5948" w:rsidRPr="006332CF">
        <w:t>la</w:t>
      </w:r>
      <w:r w:rsidR="00D61372" w:rsidRPr="006332CF">
        <w:t xml:space="preserve"> propriété </w:t>
      </w:r>
      <w:r w:rsidR="002F5948" w:rsidRPr="006332CF">
        <w:t>d</w:t>
      </w:r>
      <w:r w:rsidR="00D61372" w:rsidRPr="006332CF">
        <w:t>e</w:t>
      </w:r>
      <w:r w:rsidR="00071B81" w:rsidRPr="006332CF">
        <w:t>s</w:t>
      </w:r>
      <w:r w:rsidR="00D61372" w:rsidRPr="006332CF">
        <w:t xml:space="preserve"> savoirs traditionnels en vertu du droit de la propriété intellectuelle, on risque de promouvoir les intérêts de</w:t>
      </w:r>
      <w:r w:rsidR="00FE7D57" w:rsidRPr="006332CF">
        <w:t>s</w:t>
      </w:r>
      <w:r w:rsidR="00D61372" w:rsidRPr="006332CF">
        <w:t xml:space="preserve"> groupes tufuga au détriment d</w:t>
      </w:r>
      <w:r w:rsidR="008E283E" w:rsidRPr="006332CF">
        <w:t xml:space="preserve">es </w:t>
      </w:r>
      <w:r w:rsidR="00D61372" w:rsidRPr="006332CF">
        <w:t>autres</w:t>
      </w:r>
      <w:r w:rsidR="00DC53B4" w:rsidRPr="006332CF">
        <w:t xml:space="preserve"> Samoans </w:t>
      </w:r>
      <w:r w:rsidR="00D61372" w:rsidRPr="006332CF">
        <w:t>qui s’identifient au</w:t>
      </w:r>
      <w:r w:rsidR="00FE7D57" w:rsidRPr="006332CF">
        <w:t xml:space="preserve"> tatau</w:t>
      </w:r>
      <w:r w:rsidR="00DC53B4" w:rsidRPr="006332CF">
        <w:t>.</w:t>
      </w:r>
      <w:r w:rsidR="00F80A16" w:rsidRPr="006332CF">
        <w:t xml:space="preserve"> </w:t>
      </w:r>
      <w:r w:rsidR="008E283E" w:rsidRPr="006332CF">
        <w:t>Du point de vue p</w:t>
      </w:r>
      <w:r w:rsidR="00D61372" w:rsidRPr="006332CF">
        <w:t xml:space="preserve">olitique, </w:t>
      </w:r>
      <w:r w:rsidR="005F52AF" w:rsidRPr="006332CF">
        <w:t>l’inscription du tatau</w:t>
      </w:r>
      <w:r w:rsidR="005F52AF" w:rsidRPr="006332CF" w:rsidDel="005F52AF">
        <w:t xml:space="preserve"> </w:t>
      </w:r>
      <w:r w:rsidR="005F52AF" w:rsidRPr="006332CF">
        <w:t>à un inventaire ou dans une base</w:t>
      </w:r>
      <w:r w:rsidR="00761E83" w:rsidRPr="006332CF">
        <w:t xml:space="preserve"> de</w:t>
      </w:r>
      <w:r w:rsidR="005F52AF" w:rsidRPr="006332CF">
        <w:t xml:space="preserve"> données </w:t>
      </w:r>
      <w:r w:rsidR="00D61372" w:rsidRPr="006332CF">
        <w:t xml:space="preserve">peut être </w:t>
      </w:r>
      <w:r w:rsidR="008E283E" w:rsidRPr="006332CF">
        <w:t>conforme aux</w:t>
      </w:r>
      <w:r w:rsidR="00D61372" w:rsidRPr="006332CF">
        <w:t xml:space="preserve"> dispositions de </w:t>
      </w:r>
      <w:r w:rsidR="008E283E" w:rsidRPr="006332CF">
        <w:t xml:space="preserve">la </w:t>
      </w:r>
      <w:r w:rsidR="00D61372" w:rsidRPr="006332CF">
        <w:t xml:space="preserve">Convention </w:t>
      </w:r>
      <w:r w:rsidR="005F52AF" w:rsidRPr="006332CF">
        <w:t xml:space="preserve">quant aux </w:t>
      </w:r>
      <w:r w:rsidR="00D61372" w:rsidRPr="006332CF">
        <w:t xml:space="preserve">limites traditionnelles </w:t>
      </w:r>
      <w:r w:rsidR="00543809" w:rsidRPr="006332CF">
        <w:t>de</w:t>
      </w:r>
      <w:r w:rsidR="00D61372" w:rsidRPr="006332CF">
        <w:t xml:space="preserve"> l’accès à certains éléments du PCI</w:t>
      </w:r>
      <w:r w:rsidR="005F52AF" w:rsidRPr="006332CF">
        <w:t>.</w:t>
      </w:r>
      <w:r w:rsidR="00D61372" w:rsidRPr="006332CF">
        <w:t xml:space="preserve"> </w:t>
      </w:r>
      <w:r w:rsidR="005F52AF" w:rsidRPr="006332CF">
        <w:t>Cependant,</w:t>
      </w:r>
      <w:r w:rsidR="00D61372" w:rsidRPr="006332CF">
        <w:t xml:space="preserve"> </w:t>
      </w:r>
      <w:r w:rsidR="00543809" w:rsidRPr="006332CF">
        <w:t>c</w:t>
      </w:r>
      <w:r w:rsidR="005F52AF" w:rsidRPr="006332CF">
        <w:t>ette action</w:t>
      </w:r>
      <w:r w:rsidR="00543809" w:rsidRPr="006332CF">
        <w:t xml:space="preserve"> peut aussi </w:t>
      </w:r>
      <w:r w:rsidR="00C45CE8" w:rsidRPr="006332CF">
        <w:t xml:space="preserve">nuire à l’équilibre des rapports de </w:t>
      </w:r>
      <w:r w:rsidR="00543809" w:rsidRPr="006332CF">
        <w:t>force</w:t>
      </w:r>
      <w:r w:rsidR="00C45CE8" w:rsidRPr="006332CF">
        <w:t xml:space="preserve"> dans la négociation </w:t>
      </w:r>
      <w:r w:rsidR="00AE1458" w:rsidRPr="006332CF">
        <w:t>d</w:t>
      </w:r>
      <w:r w:rsidR="00C45CE8" w:rsidRPr="006332CF">
        <w:t>es intérêts des différents groupes communautaires adeptes du</w:t>
      </w:r>
      <w:r w:rsidR="00F93505" w:rsidRPr="006332CF">
        <w:t xml:space="preserve"> </w:t>
      </w:r>
      <w:r w:rsidR="005F52AF" w:rsidRPr="006332CF">
        <w:t>tatau</w:t>
      </w:r>
      <w:r w:rsidR="00F80A16" w:rsidRPr="006332CF">
        <w:t>.</w:t>
      </w:r>
    </w:p>
    <w:p w:rsidR="002D3C8B" w:rsidRPr="006332CF" w:rsidRDefault="00C45CE8" w:rsidP="00456CF4">
      <w:pPr>
        <w:pStyle w:val="Texte1"/>
      </w:pPr>
      <w:r w:rsidRPr="00582A2A">
        <w:t>La communauté concernée peut être définie</w:t>
      </w:r>
      <w:r w:rsidR="00D337EF" w:rsidRPr="00456CF4">
        <w:t>,</w:t>
      </w:r>
      <w:r w:rsidR="00C30F9C" w:rsidRPr="00456CF4">
        <w:t xml:space="preserve"> de manière générale</w:t>
      </w:r>
      <w:r w:rsidR="00D337EF" w:rsidRPr="00456CF4">
        <w:t xml:space="preserve"> et</w:t>
      </w:r>
      <w:r w:rsidR="00185DAD" w:rsidRPr="00456CF4">
        <w:t xml:space="preserve"> selon les principes </w:t>
      </w:r>
      <w:r w:rsidR="00585668" w:rsidRPr="00456CF4">
        <w:t>de la Convention</w:t>
      </w:r>
      <w:r w:rsidR="00185DAD" w:rsidRPr="00456CF4">
        <w:t>,</w:t>
      </w:r>
      <w:r w:rsidR="00585668" w:rsidRPr="00456CF4">
        <w:t xml:space="preserve"> comme </w:t>
      </w:r>
      <w:r w:rsidR="00185DAD" w:rsidRPr="00456CF4">
        <w:t xml:space="preserve">étant </w:t>
      </w:r>
      <w:r w:rsidR="00585668" w:rsidRPr="00456CF4">
        <w:t xml:space="preserve">composée de tous les </w:t>
      </w:r>
      <w:r w:rsidR="002D3C8B" w:rsidRPr="00456CF4">
        <w:t>Samoans (</w:t>
      </w:r>
      <w:r w:rsidR="00585668" w:rsidRPr="00456CF4">
        <w:t xml:space="preserve">y compris ceux de la </w:t>
      </w:r>
      <w:r w:rsidR="002D3C8B" w:rsidRPr="00456CF4">
        <w:t xml:space="preserve">diaspora) </w:t>
      </w:r>
      <w:r w:rsidR="00585668" w:rsidRPr="00456CF4">
        <w:t>qu</w:t>
      </w:r>
      <w:r w:rsidR="00185DAD" w:rsidRPr="00456CF4">
        <w:t>i</w:t>
      </w:r>
      <w:r w:rsidR="00585668" w:rsidRPr="00456CF4">
        <w:t xml:space="preserve"> s’identifient au</w:t>
      </w:r>
      <w:r w:rsidR="00C71EF9" w:rsidRPr="00456CF4">
        <w:t xml:space="preserve"> tatau</w:t>
      </w:r>
      <w:r w:rsidR="002D3C8B" w:rsidRPr="00582A2A">
        <w:t xml:space="preserve">. </w:t>
      </w:r>
      <w:r w:rsidR="00185DAD" w:rsidRPr="006332CF">
        <w:t>La s</w:t>
      </w:r>
      <w:r w:rsidR="00F80A16" w:rsidRPr="006332CF">
        <w:t>a</w:t>
      </w:r>
      <w:r w:rsidR="00585668" w:rsidRPr="006332CF">
        <w:t>uv</w:t>
      </w:r>
      <w:r w:rsidR="00F80A16" w:rsidRPr="006332CF">
        <w:t>egard</w:t>
      </w:r>
      <w:r w:rsidR="00185DAD" w:rsidRPr="006332CF">
        <w:t>e</w:t>
      </w:r>
      <w:r w:rsidR="00585668" w:rsidRPr="006332CF">
        <w:t xml:space="preserve"> </w:t>
      </w:r>
      <w:r w:rsidR="00185DAD" w:rsidRPr="006332CF">
        <w:t>du</w:t>
      </w:r>
      <w:r w:rsidR="00585668" w:rsidRPr="006332CF">
        <w:t xml:space="preserve"> </w:t>
      </w:r>
      <w:r w:rsidR="00C71EF9" w:rsidRPr="006332CF">
        <w:t>tatau</w:t>
      </w:r>
      <w:r w:rsidR="0060729A" w:rsidRPr="006332CF">
        <w:t xml:space="preserve">, </w:t>
      </w:r>
      <w:r w:rsidR="00585668" w:rsidRPr="006332CF">
        <w:t xml:space="preserve">en vertu de la </w:t>
      </w:r>
      <w:r w:rsidR="00F80A16" w:rsidRPr="006332CF">
        <w:t>Convention</w:t>
      </w:r>
      <w:r w:rsidR="00585668" w:rsidRPr="006332CF">
        <w:t xml:space="preserve"> de 2003</w:t>
      </w:r>
      <w:r w:rsidR="0060729A" w:rsidRPr="006332CF">
        <w:t>,</w:t>
      </w:r>
      <w:r w:rsidR="00F80A16" w:rsidRPr="006332CF">
        <w:t xml:space="preserve"> </w:t>
      </w:r>
      <w:r w:rsidR="00585668" w:rsidRPr="006332CF">
        <w:t xml:space="preserve">a pour but de faire en sorte que les intérêts de la communauté dans la sauvegarde du </w:t>
      </w:r>
      <w:r w:rsidR="00C71EF9" w:rsidRPr="006332CF">
        <w:t>tatau</w:t>
      </w:r>
      <w:r w:rsidR="00C71EF9" w:rsidRPr="006332CF" w:rsidDel="00C71EF9">
        <w:t xml:space="preserve"> </w:t>
      </w:r>
      <w:r w:rsidR="00F80A16" w:rsidRPr="006332CF">
        <w:t>(</w:t>
      </w:r>
      <w:r w:rsidR="00585668" w:rsidRPr="006332CF">
        <w:t>et les avantages qu</w:t>
      </w:r>
      <w:r w:rsidR="00CD460E" w:rsidRPr="006332CF">
        <w:t>’ell</w:t>
      </w:r>
      <w:r w:rsidR="00585668" w:rsidRPr="006332CF">
        <w:t xml:space="preserve">e </w:t>
      </w:r>
      <w:r w:rsidR="00CD460E" w:rsidRPr="006332CF">
        <w:t>p</w:t>
      </w:r>
      <w:r w:rsidR="00585668" w:rsidRPr="006332CF">
        <w:t>eut en tirer</w:t>
      </w:r>
      <w:r w:rsidR="00F80A16" w:rsidRPr="006332CF">
        <w:t xml:space="preserve">) </w:t>
      </w:r>
      <w:r w:rsidR="00123335" w:rsidRPr="006332CF">
        <w:t xml:space="preserve">soient privilégiés par rapport </w:t>
      </w:r>
      <w:r w:rsidR="00CD460E" w:rsidRPr="006332CF">
        <w:t>à ceux</w:t>
      </w:r>
      <w:r w:rsidR="00123335" w:rsidRPr="006332CF">
        <w:t xml:space="preserve"> d</w:t>
      </w:r>
      <w:r w:rsidR="00CD460E" w:rsidRPr="006332CF">
        <w:t xml:space="preserve">es </w:t>
      </w:r>
      <w:r w:rsidR="00123335" w:rsidRPr="006332CF">
        <w:t>acteurs extérieurs</w:t>
      </w:r>
      <w:r w:rsidR="00F80A16" w:rsidRPr="006332CF">
        <w:t xml:space="preserve"> </w:t>
      </w:r>
      <w:r w:rsidR="002D3C8B" w:rsidRPr="006332CF">
        <w:t>(</w:t>
      </w:r>
      <w:r w:rsidR="00123335" w:rsidRPr="006332CF">
        <w:t xml:space="preserve">tels que les agences de </w:t>
      </w:r>
      <w:r w:rsidR="00F80A16" w:rsidRPr="006332CF">
        <w:t>tourism</w:t>
      </w:r>
      <w:r w:rsidR="00123335" w:rsidRPr="006332CF">
        <w:t>e</w:t>
      </w:r>
      <w:r w:rsidR="00CD460E" w:rsidRPr="006332CF">
        <w:t>,</w:t>
      </w:r>
      <w:r w:rsidR="00123335" w:rsidRPr="006332CF">
        <w:t xml:space="preserve"> les chercheurs ou l’</w:t>
      </w:r>
      <w:r w:rsidR="00AE583F" w:rsidRPr="006332CF">
        <w:t>État</w:t>
      </w:r>
      <w:r w:rsidR="002D3C8B" w:rsidRPr="006332CF">
        <w:t>)</w:t>
      </w:r>
      <w:r w:rsidR="00F80A16" w:rsidRPr="006332CF">
        <w:t>.</w:t>
      </w:r>
      <w:r w:rsidR="00123335" w:rsidRPr="006332CF">
        <w:t xml:space="preserve"> Ce</w:t>
      </w:r>
      <w:r w:rsidR="00CD460E" w:rsidRPr="006332CF">
        <w:t>ci</w:t>
      </w:r>
      <w:r w:rsidR="00123335" w:rsidRPr="006332CF">
        <w:t xml:space="preserve"> peut être contraire à la politique </w:t>
      </w:r>
      <w:r w:rsidR="00B0768A" w:rsidRPr="006332CF">
        <w:t>relative au</w:t>
      </w:r>
      <w:r w:rsidR="00123335" w:rsidRPr="006332CF">
        <w:t xml:space="preserve"> tourisme ou </w:t>
      </w:r>
      <w:r w:rsidR="00B0768A" w:rsidRPr="006332CF">
        <w:t xml:space="preserve">aux </w:t>
      </w:r>
      <w:r w:rsidR="00123335" w:rsidRPr="006332CF">
        <w:t xml:space="preserve">industries culturelles qui </w:t>
      </w:r>
      <w:r w:rsidR="004F39F8" w:rsidRPr="006332CF">
        <w:t>met en avant</w:t>
      </w:r>
      <w:r w:rsidR="00123335" w:rsidRPr="006332CF">
        <w:t xml:space="preserve"> </w:t>
      </w:r>
      <w:r w:rsidR="004F39F8" w:rsidRPr="006332CF">
        <w:t>le</w:t>
      </w:r>
      <w:r w:rsidR="00123335" w:rsidRPr="006332CF">
        <w:t xml:space="preserve"> </w:t>
      </w:r>
      <w:r w:rsidR="00C71EF9" w:rsidRPr="006332CF">
        <w:t>tatau</w:t>
      </w:r>
      <w:r w:rsidR="00C71EF9" w:rsidRPr="006332CF" w:rsidDel="00C71EF9">
        <w:t xml:space="preserve"> </w:t>
      </w:r>
      <w:r w:rsidR="00123335" w:rsidRPr="006332CF">
        <w:t xml:space="preserve">en tant que ressource </w:t>
      </w:r>
      <w:r w:rsidR="00B0768A" w:rsidRPr="006332CF">
        <w:t>devant bénéficier à</w:t>
      </w:r>
      <w:r w:rsidR="00123335" w:rsidRPr="006332CF">
        <w:t xml:space="preserve"> tous les </w:t>
      </w:r>
      <w:r w:rsidR="002D3C8B" w:rsidRPr="006332CF">
        <w:t>Samoans</w:t>
      </w:r>
      <w:r w:rsidR="00DC53B4" w:rsidRPr="006332CF">
        <w:t>.</w:t>
      </w:r>
    </w:p>
    <w:p w:rsidR="00DC53B4" w:rsidRPr="00456CF4" w:rsidRDefault="0060729A" w:rsidP="00456CF4">
      <w:pPr>
        <w:pStyle w:val="Texte1"/>
      </w:pPr>
      <w:r w:rsidRPr="00456CF4">
        <w:t>Afin de</w:t>
      </w:r>
      <w:r w:rsidR="004F39F8" w:rsidRPr="00456CF4">
        <w:t xml:space="preserve"> trouver </w:t>
      </w:r>
      <w:r w:rsidR="00123335" w:rsidRPr="00456CF4">
        <w:t xml:space="preserve">des </w:t>
      </w:r>
      <w:r w:rsidR="002D3C8B" w:rsidRPr="00456CF4">
        <w:t>synergies e</w:t>
      </w:r>
      <w:r w:rsidR="00123335" w:rsidRPr="00456CF4">
        <w:t xml:space="preserve">ntre ces </w:t>
      </w:r>
      <w:r w:rsidR="001C3A43" w:rsidRPr="00456CF4">
        <w:t>d</w:t>
      </w:r>
      <w:r w:rsidR="000F02E9" w:rsidRPr="00456CF4">
        <w:t>iverses</w:t>
      </w:r>
      <w:r w:rsidR="001C3A43" w:rsidRPr="00456CF4">
        <w:t xml:space="preserve"> </w:t>
      </w:r>
      <w:r w:rsidR="00123335" w:rsidRPr="00456CF4">
        <w:t>approches</w:t>
      </w:r>
      <w:r w:rsidRPr="00456CF4">
        <w:t>, qui</w:t>
      </w:r>
      <w:r w:rsidR="00123335" w:rsidRPr="00456CF4">
        <w:t xml:space="preserve"> </w:t>
      </w:r>
      <w:r w:rsidR="00FF7C8F" w:rsidRPr="00456CF4">
        <w:t>représent</w:t>
      </w:r>
      <w:r w:rsidRPr="00456CF4">
        <w:t>e</w:t>
      </w:r>
      <w:r w:rsidR="00FF7C8F" w:rsidRPr="00456CF4">
        <w:t xml:space="preserve">nt </w:t>
      </w:r>
      <w:r w:rsidRPr="00456CF4">
        <w:t xml:space="preserve">les </w:t>
      </w:r>
      <w:r w:rsidR="001C3A43" w:rsidRPr="00456CF4">
        <w:t xml:space="preserve">différents </w:t>
      </w:r>
      <w:r w:rsidR="00FF7C8F" w:rsidRPr="00456CF4">
        <w:t>groupes (T</w:t>
      </w:r>
      <w:r w:rsidR="002D3C8B" w:rsidRPr="00456CF4">
        <w:t>ufuga, Samoans o</w:t>
      </w:r>
      <w:r w:rsidR="00FF7C8F" w:rsidRPr="00456CF4">
        <w:t>u l’ensemble de la</w:t>
      </w:r>
      <w:r w:rsidR="002D3C8B" w:rsidRPr="00456CF4">
        <w:t xml:space="preserve"> nation) </w:t>
      </w:r>
      <w:r w:rsidR="00FF7C8F" w:rsidRPr="00456CF4">
        <w:t>constitu</w:t>
      </w:r>
      <w:r w:rsidR="001C3A43" w:rsidRPr="00456CF4">
        <w:t>tifs de</w:t>
      </w:r>
      <w:r w:rsidR="00FF7C8F" w:rsidRPr="00456CF4">
        <w:t xml:space="preserve"> la communauté concernée, il peut être utile de se demander </w:t>
      </w:r>
      <w:r w:rsidR="00DC53B4" w:rsidRPr="00456CF4">
        <w:t>:</w:t>
      </w:r>
    </w:p>
    <w:p w:rsidR="00DC53B4" w:rsidRPr="006332CF" w:rsidRDefault="00FC3C8B" w:rsidP="00456CF4">
      <w:pPr>
        <w:pStyle w:val="Texte1"/>
        <w:numPr>
          <w:ilvl w:val="0"/>
          <w:numId w:val="6"/>
        </w:numPr>
      </w:pPr>
      <w:r w:rsidRPr="006332CF">
        <w:t>c</w:t>
      </w:r>
      <w:r w:rsidR="00FF7C8F" w:rsidRPr="006332CF">
        <w:t xml:space="preserve">omment les avantages pourraient être </w:t>
      </w:r>
      <w:r w:rsidRPr="006332CF">
        <w:t>répartis entre</w:t>
      </w:r>
      <w:r w:rsidR="00FF7C8F" w:rsidRPr="006332CF">
        <w:t xml:space="preserve"> les</w:t>
      </w:r>
      <w:r w:rsidR="00390BC1" w:rsidRPr="006332CF">
        <w:t xml:space="preserve"> différents</w:t>
      </w:r>
      <w:r w:rsidR="00FF7C8F" w:rsidRPr="006332CF">
        <w:t xml:space="preserve"> groupes et communautés</w:t>
      </w:r>
      <w:r w:rsidR="001C3A43" w:rsidRPr="006332CF">
        <w:t> ;</w:t>
      </w:r>
    </w:p>
    <w:p w:rsidR="00DC53B4" w:rsidRPr="00456CF4" w:rsidRDefault="00FC3C8B" w:rsidP="00456CF4">
      <w:pPr>
        <w:pStyle w:val="Texte1"/>
        <w:numPr>
          <w:ilvl w:val="0"/>
          <w:numId w:val="6"/>
        </w:numPr>
      </w:pPr>
      <w:r w:rsidRPr="00582A2A">
        <w:t>d</w:t>
      </w:r>
      <w:r w:rsidR="00FF7C8F" w:rsidRPr="00456CF4">
        <w:t xml:space="preserve">ans quelle mesure la sauvegarde du </w:t>
      </w:r>
      <w:r w:rsidR="00C71EF9" w:rsidRPr="00456CF4">
        <w:t>tatau</w:t>
      </w:r>
      <w:r w:rsidR="00C71EF9" w:rsidRPr="00456CF4" w:rsidDel="00C71EF9">
        <w:t xml:space="preserve"> </w:t>
      </w:r>
      <w:r w:rsidR="00FF7C8F" w:rsidRPr="00456CF4">
        <w:t>exige</w:t>
      </w:r>
      <w:r w:rsidR="00390BC1" w:rsidRPr="00456CF4">
        <w:t>-t-elle</w:t>
      </w:r>
      <w:r w:rsidR="00FF7C8F" w:rsidRPr="00456CF4">
        <w:t xml:space="preserve"> d</w:t>
      </w:r>
      <w:r w:rsidRPr="00456CF4">
        <w:t xml:space="preserve">e limiter l’accès à cette pratique et </w:t>
      </w:r>
      <w:r w:rsidR="000F02E9" w:rsidRPr="00456CF4">
        <w:t xml:space="preserve">à </w:t>
      </w:r>
      <w:r w:rsidRPr="00456CF4">
        <w:t>son</w:t>
      </w:r>
      <w:r w:rsidR="00FF7C8F" w:rsidRPr="00456CF4">
        <w:t xml:space="preserve"> utilisation</w:t>
      </w:r>
      <w:r w:rsidR="001C3A43" w:rsidRPr="00456CF4">
        <w:t> ;</w:t>
      </w:r>
    </w:p>
    <w:p w:rsidR="00DC53B4" w:rsidRPr="00456CF4" w:rsidRDefault="00FC3C8B" w:rsidP="00456CF4">
      <w:pPr>
        <w:pStyle w:val="Texte1"/>
        <w:numPr>
          <w:ilvl w:val="0"/>
          <w:numId w:val="6"/>
        </w:numPr>
      </w:pPr>
      <w:r w:rsidRPr="00456CF4">
        <w:t>q</w:t>
      </w:r>
      <w:r w:rsidR="00FF7C8F" w:rsidRPr="00456CF4">
        <w:t xml:space="preserve">ui devra contrôler quels aspects de la pratique du </w:t>
      </w:r>
      <w:r w:rsidR="00C71EF9" w:rsidRPr="00456CF4">
        <w:t>tatau</w:t>
      </w:r>
      <w:r w:rsidR="00DC53B4" w:rsidRPr="00456CF4">
        <w:t xml:space="preserve"> </w:t>
      </w:r>
      <w:r w:rsidR="00FF7C8F" w:rsidRPr="00456CF4">
        <w:t xml:space="preserve">pour </w:t>
      </w:r>
      <w:r w:rsidR="000F02E9" w:rsidRPr="00456CF4">
        <w:t xml:space="preserve">en </w:t>
      </w:r>
      <w:r w:rsidR="00FF7C8F" w:rsidRPr="00456CF4">
        <w:t xml:space="preserve">faciliter la pratique et la </w:t>
      </w:r>
      <w:r w:rsidR="00DC53B4" w:rsidRPr="00456CF4">
        <w:t>transmission</w:t>
      </w:r>
      <w:r w:rsidR="00F80A16" w:rsidRPr="00456CF4">
        <w:t>.</w:t>
      </w:r>
    </w:p>
    <w:p w:rsidR="00FF69DB" w:rsidRPr="006332CF" w:rsidRDefault="00B8726B" w:rsidP="00456CF4">
      <w:pPr>
        <w:pStyle w:val="Texte1"/>
      </w:pPr>
      <w:r w:rsidRPr="00456CF4">
        <w:t xml:space="preserve">Promouvoir le </w:t>
      </w:r>
      <w:r w:rsidR="00C71EF9" w:rsidRPr="00456CF4">
        <w:t>tatau</w:t>
      </w:r>
      <w:r w:rsidR="00F80A16" w:rsidRPr="00456CF4">
        <w:t xml:space="preserve"> </w:t>
      </w:r>
      <w:r w:rsidRPr="00456CF4">
        <w:t xml:space="preserve">en tant que ressource </w:t>
      </w:r>
      <w:r w:rsidR="000E5A94" w:rsidRPr="00456CF4">
        <w:t>à</w:t>
      </w:r>
      <w:r w:rsidRPr="00456CF4">
        <w:t xml:space="preserve"> </w:t>
      </w:r>
      <w:r w:rsidR="000E5A94" w:rsidRPr="00456CF4">
        <w:t xml:space="preserve">laquelle </w:t>
      </w:r>
      <w:r w:rsidRPr="00456CF4">
        <w:t xml:space="preserve">tous les </w:t>
      </w:r>
      <w:r w:rsidR="00F80A16" w:rsidRPr="00456CF4">
        <w:t>Samoans</w:t>
      </w:r>
      <w:r w:rsidR="000E5A94" w:rsidRPr="00456CF4">
        <w:t xml:space="preserve"> peuvent accéder</w:t>
      </w:r>
      <w:r w:rsidR="00F80A16" w:rsidRPr="00456CF4">
        <w:t xml:space="preserve"> </w:t>
      </w:r>
      <w:r w:rsidRPr="00456CF4">
        <w:t xml:space="preserve">peut être contradictoire </w:t>
      </w:r>
      <w:r w:rsidR="007E024D" w:rsidRPr="00456CF4">
        <w:t>à</w:t>
      </w:r>
      <w:r w:rsidRPr="00456CF4">
        <w:t xml:space="preserve"> </w:t>
      </w:r>
      <w:r w:rsidR="00F5215A" w:rsidRPr="00456CF4">
        <w:t>toute</w:t>
      </w:r>
      <w:r w:rsidRPr="00456CF4">
        <w:t xml:space="preserve"> forme d’accès restreint</w:t>
      </w:r>
      <w:r w:rsidR="00F80A16" w:rsidRPr="00456CF4">
        <w:t xml:space="preserve">. </w:t>
      </w:r>
      <w:r w:rsidR="00421E9B" w:rsidRPr="006332CF">
        <w:t>L</w:t>
      </w:r>
      <w:r w:rsidRPr="006332CF">
        <w:t>es politiques d’accès libre</w:t>
      </w:r>
      <w:r w:rsidR="00C30D12" w:rsidRPr="006332CF">
        <w:t xml:space="preserve"> des organismes publics ou les régimes classiques de propriété intellectuelle qui confèrent des droits au</w:t>
      </w:r>
      <w:r w:rsidR="00421E9B" w:rsidRPr="006332CF">
        <w:t>x</w:t>
      </w:r>
      <w:r w:rsidR="00C30D12" w:rsidRPr="006332CF">
        <w:t xml:space="preserve"> chercheurs</w:t>
      </w:r>
      <w:r w:rsidR="00421E9B" w:rsidRPr="006332CF">
        <w:t xml:space="preserve"> peuvent avoir une incidence sur la question de savoir qui, au sein de la communauté (les Tufuga ou tous les Samoans), est propriétaire des données créées lors du processus d’inventaire</w:t>
      </w:r>
      <w:r w:rsidR="00F80A16" w:rsidRPr="006332CF">
        <w:t xml:space="preserve">. </w:t>
      </w:r>
      <w:r w:rsidR="00421E9B" w:rsidRPr="006332CF">
        <w:t xml:space="preserve">Par conséquent, </w:t>
      </w:r>
      <w:r w:rsidR="00D66E3B" w:rsidRPr="006332CF">
        <w:t>l’inscription du</w:t>
      </w:r>
      <w:r w:rsidR="00C30D12" w:rsidRPr="006332CF">
        <w:t xml:space="preserve"> </w:t>
      </w:r>
      <w:r w:rsidR="00C71EF9" w:rsidRPr="006332CF">
        <w:t>tatau</w:t>
      </w:r>
      <w:r w:rsidR="00F80A16" w:rsidRPr="006332CF">
        <w:t xml:space="preserve"> </w:t>
      </w:r>
      <w:r w:rsidR="00421E9B" w:rsidRPr="006332CF">
        <w:t xml:space="preserve">à un inventaire </w:t>
      </w:r>
      <w:r w:rsidR="00C30D12" w:rsidRPr="006332CF">
        <w:t xml:space="preserve">peut </w:t>
      </w:r>
      <w:r w:rsidR="007E024D" w:rsidRPr="006332CF">
        <w:t xml:space="preserve">nécessiter </w:t>
      </w:r>
      <w:r w:rsidR="007F23CF" w:rsidRPr="006332CF">
        <w:t xml:space="preserve">la prise </w:t>
      </w:r>
      <w:r w:rsidR="00C30D12" w:rsidRPr="006332CF">
        <w:t xml:space="preserve">de mesures spécifiques pour protéger le </w:t>
      </w:r>
      <w:r w:rsidR="00D66E3B" w:rsidRPr="006332CF">
        <w:t xml:space="preserve">droit de </w:t>
      </w:r>
      <w:r w:rsidR="00C30D12" w:rsidRPr="006332CF">
        <w:t xml:space="preserve">contrôle </w:t>
      </w:r>
      <w:r w:rsidR="00D66E3B" w:rsidRPr="006332CF">
        <w:t>de la communauté sur c</w:t>
      </w:r>
      <w:r w:rsidR="00311E34" w:rsidRPr="006332CF">
        <w:t>es données</w:t>
      </w:r>
      <w:r w:rsidR="00F80A16" w:rsidRPr="006332CF">
        <w:t xml:space="preserve">. </w:t>
      </w:r>
      <w:r w:rsidR="007E024D" w:rsidRPr="006332CF">
        <w:t xml:space="preserve">Par ailleurs, </w:t>
      </w:r>
      <w:r w:rsidR="0027026A" w:rsidRPr="006332CF">
        <w:t>d</w:t>
      </w:r>
      <w:r w:rsidR="00311E34" w:rsidRPr="006332CF">
        <w:t xml:space="preserve">es négociations entre les différents groupes </w:t>
      </w:r>
      <w:r w:rsidR="00CF0781" w:rsidRPr="006332CF">
        <w:t>de la communauté</w:t>
      </w:r>
      <w:r w:rsidR="00311E34" w:rsidRPr="006332CF">
        <w:t xml:space="preserve"> auront une inc</w:t>
      </w:r>
      <w:r w:rsidR="00D66E3B" w:rsidRPr="006332CF">
        <w:t>iden</w:t>
      </w:r>
      <w:r w:rsidR="00B503F7" w:rsidRPr="006332CF">
        <w:t xml:space="preserve">ce sur la </w:t>
      </w:r>
      <w:r w:rsidR="00311E34" w:rsidRPr="006332CF">
        <w:t xml:space="preserve">question de savoir </w:t>
      </w:r>
      <w:r w:rsidR="00AE583F" w:rsidRPr="006332CF">
        <w:t xml:space="preserve">à </w:t>
      </w:r>
      <w:r w:rsidR="00311E34" w:rsidRPr="006332CF">
        <w:t xml:space="preserve">qui </w:t>
      </w:r>
      <w:r w:rsidR="00AE583F" w:rsidRPr="006332CF">
        <w:t xml:space="preserve">revient </w:t>
      </w:r>
      <w:r w:rsidR="00311E34" w:rsidRPr="006332CF">
        <w:t>le contrôle de ces données</w:t>
      </w:r>
      <w:r w:rsidR="00F80A16" w:rsidRPr="006332CF">
        <w:t>.</w:t>
      </w:r>
    </w:p>
    <w:sectPr w:rsidR="00FF69DB" w:rsidRPr="006332CF" w:rsidSect="00456C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54" w:rsidRDefault="000C2554" w:rsidP="00AB1CE4">
      <w:pPr>
        <w:spacing w:before="0" w:after="0"/>
      </w:pPr>
      <w:r>
        <w:separator/>
      </w:r>
    </w:p>
  </w:endnote>
  <w:endnote w:type="continuationSeparator" w:id="0">
    <w:p w:rsidR="000C2554" w:rsidRDefault="000C2554" w:rsidP="00AB1C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189" w:rsidRPr="00AC4189" w:rsidRDefault="000A214E" w:rsidP="00AC4189">
    <w:pPr>
      <w:tabs>
        <w:tab w:val="clear" w:pos="567"/>
        <w:tab w:val="center" w:pos="4423"/>
        <w:tab w:val="right" w:pos="9000"/>
      </w:tabs>
      <w:snapToGrid/>
      <w:spacing w:before="0" w:after="0" w:line="240" w:lineRule="exact"/>
      <w:jc w:val="left"/>
      <w:rPr>
        <w:rFonts w:eastAsia="Calibri" w:cs="Times New Roman"/>
        <w:snapToGrid/>
        <w:sz w:val="16"/>
        <w:szCs w:val="22"/>
        <w:lang w:val="it-IT" w:eastAsia="en-US"/>
      </w:rPr>
    </w:pPr>
    <w:r>
      <w:rPr>
        <w:noProof/>
        <w:lang w:val="fr-FR" w:eastAsia="ja-JP"/>
      </w:rPr>
      <w:drawing>
        <wp:anchor distT="0" distB="0" distL="114300" distR="114300" simplePos="0" relativeHeight="251671552" behindDoc="0" locked="0" layoutInCell="1" allowOverlap="1" wp14:anchorId="30967BD7" wp14:editId="1819BC14">
          <wp:simplePos x="0" y="0"/>
          <wp:positionH relativeFrom="column">
            <wp:posOffset>2305050</wp:posOffset>
          </wp:positionH>
          <wp:positionV relativeFrom="paragraph">
            <wp:posOffset>-50165</wp:posOffset>
          </wp:positionV>
          <wp:extent cx="542290" cy="189230"/>
          <wp:effectExtent l="0" t="0" r="0"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AC4189" w:rsidRPr="00AC4189">
      <w:rPr>
        <w:rFonts w:eastAsia="Calibri" w:cs="Times New Roman"/>
        <w:noProof/>
        <w:snapToGrid/>
        <w:sz w:val="16"/>
        <w:szCs w:val="22"/>
        <w:lang w:val="fr-FR" w:eastAsia="ja-JP"/>
      </w:rPr>
      <w:drawing>
        <wp:anchor distT="0" distB="0" distL="114300" distR="114300" simplePos="0" relativeHeight="251663360" behindDoc="0" locked="0" layoutInCell="1" allowOverlap="1" wp14:anchorId="425878CD" wp14:editId="571F31CE">
          <wp:simplePos x="0" y="0"/>
          <wp:positionH relativeFrom="column">
            <wp:posOffset>-116205</wp:posOffset>
          </wp:positionH>
          <wp:positionV relativeFrom="paragraph">
            <wp:posOffset>-260350</wp:posOffset>
          </wp:positionV>
          <wp:extent cx="801370" cy="6013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1370" cy="601345"/>
                  </a:xfrm>
                  <a:prstGeom prst="rect">
                    <a:avLst/>
                  </a:prstGeom>
                </pic:spPr>
              </pic:pic>
            </a:graphicData>
          </a:graphic>
          <wp14:sizeRelH relativeFrom="page">
            <wp14:pctWidth>0</wp14:pctWidth>
          </wp14:sizeRelH>
          <wp14:sizeRelV relativeFrom="page">
            <wp14:pctHeight>0</wp14:pctHeight>
          </wp14:sizeRelV>
        </wp:anchor>
      </w:drawing>
    </w:r>
    <w:r w:rsidR="00AC4189" w:rsidRPr="00AC4189">
      <w:rPr>
        <w:rFonts w:eastAsia="Calibri" w:cs="Times New Roman"/>
        <w:snapToGrid/>
        <w:sz w:val="16"/>
        <w:szCs w:val="22"/>
        <w:lang w:val="it-IT" w:eastAsia="en-US"/>
      </w:rPr>
      <w:tab/>
    </w:r>
    <w:r w:rsidR="00AC4189" w:rsidRPr="00AC4189">
      <w:rPr>
        <w:rFonts w:eastAsia="Calibri" w:cs="Times New Roman"/>
        <w:snapToGrid/>
        <w:sz w:val="16"/>
        <w:szCs w:val="22"/>
        <w:lang w:val="it-IT" w:eastAsia="en-US"/>
      </w:rPr>
      <w:tab/>
      <w:t>U055-v1.0-FN2-FR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96" w:rsidRPr="00456CF4" w:rsidRDefault="000A214E" w:rsidP="00456CF4">
    <w:pPr>
      <w:tabs>
        <w:tab w:val="clear" w:pos="567"/>
        <w:tab w:val="center" w:pos="4423"/>
        <w:tab w:val="right" w:pos="8845"/>
      </w:tabs>
      <w:snapToGrid/>
      <w:spacing w:before="0" w:after="0" w:line="240" w:lineRule="exact"/>
      <w:jc w:val="left"/>
      <w:rPr>
        <w:lang w:val="it-IT"/>
      </w:rPr>
    </w:pPr>
    <w:r>
      <w:rPr>
        <w:noProof/>
        <w:lang w:val="fr-FR" w:eastAsia="ja-JP"/>
      </w:rPr>
      <w:drawing>
        <wp:anchor distT="0" distB="0" distL="114300" distR="114300" simplePos="0" relativeHeight="251673600" behindDoc="0" locked="0" layoutInCell="1" allowOverlap="1" wp14:anchorId="6A0CA4E8" wp14:editId="021F4DB3">
          <wp:simplePos x="0" y="0"/>
          <wp:positionH relativeFrom="column">
            <wp:posOffset>2771775</wp:posOffset>
          </wp:positionH>
          <wp:positionV relativeFrom="paragraph">
            <wp:posOffset>15875</wp:posOffset>
          </wp:positionV>
          <wp:extent cx="542290" cy="189230"/>
          <wp:effectExtent l="0" t="0" r="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D73A96">
      <w:rPr>
        <w:rFonts w:eastAsia="Calibri" w:cs="Times New Roman"/>
        <w:noProof/>
        <w:snapToGrid/>
        <w:sz w:val="16"/>
        <w:szCs w:val="22"/>
        <w:lang w:val="fr-FR" w:eastAsia="ja-JP"/>
      </w:rPr>
      <w:drawing>
        <wp:anchor distT="0" distB="0" distL="114300" distR="114300" simplePos="0" relativeHeight="251659264" behindDoc="0" locked="0" layoutInCell="1" allowOverlap="1" wp14:anchorId="40DCBC55" wp14:editId="6F31F18D">
          <wp:simplePos x="0" y="0"/>
          <wp:positionH relativeFrom="column">
            <wp:posOffset>5134610</wp:posOffset>
          </wp:positionH>
          <wp:positionV relativeFrom="paragraph">
            <wp:posOffset>-146577</wp:posOffset>
          </wp:positionV>
          <wp:extent cx="801370" cy="6013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1370" cy="601345"/>
                  </a:xfrm>
                  <a:prstGeom prst="rect">
                    <a:avLst/>
                  </a:prstGeom>
                </pic:spPr>
              </pic:pic>
            </a:graphicData>
          </a:graphic>
          <wp14:sizeRelH relativeFrom="page">
            <wp14:pctWidth>0</wp14:pctWidth>
          </wp14:sizeRelH>
          <wp14:sizeRelV relativeFrom="page">
            <wp14:pctHeight>0</wp14:pctHeight>
          </wp14:sizeRelV>
        </wp:anchor>
      </w:drawing>
    </w:r>
    <w:r w:rsidR="00D73A96" w:rsidRPr="001557D7">
      <w:rPr>
        <w:rFonts w:eastAsia="Calibri" w:cs="Times New Roman"/>
        <w:snapToGrid/>
        <w:sz w:val="16"/>
        <w:szCs w:val="22"/>
        <w:lang w:val="it-IT" w:eastAsia="en-US"/>
      </w:rPr>
      <w:t>U055-v1.0-FN</w:t>
    </w:r>
    <w:r w:rsidR="00D73A96">
      <w:rPr>
        <w:rFonts w:eastAsia="Calibri" w:cs="Times New Roman"/>
        <w:snapToGrid/>
        <w:sz w:val="16"/>
        <w:szCs w:val="22"/>
        <w:lang w:val="it-IT" w:eastAsia="en-US"/>
      </w:rPr>
      <w:t>3-FR</w:t>
    </w:r>
    <w:r w:rsidR="00D73A96">
      <w:rPr>
        <w:rFonts w:eastAsia="Calibri" w:cs="Times New Roman"/>
        <w:snapToGrid/>
        <w:sz w:val="16"/>
        <w:szCs w:val="22"/>
        <w:lang w:val="it-IT" w:eastAsia="en-US"/>
      </w:rPr>
      <w:tab/>
    </w:r>
    <w:r w:rsidR="00D73A96" w:rsidRPr="001557D7">
      <w:rPr>
        <w:rFonts w:eastAsia="Calibri" w:cs="Times New Roman"/>
        <w:snapToGrid/>
        <w:sz w:val="16"/>
        <w:szCs w:val="22"/>
        <w:lang w:val="it-IT"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189" w:rsidRPr="00AC4189" w:rsidRDefault="000A214E" w:rsidP="00AC4189">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Pr>
        <w:noProof/>
        <w:lang w:val="fr-FR" w:eastAsia="ja-JP"/>
      </w:rPr>
      <w:drawing>
        <wp:anchor distT="0" distB="0" distL="114300" distR="114300" simplePos="0" relativeHeight="251669504" behindDoc="0" locked="0" layoutInCell="1" allowOverlap="1" wp14:anchorId="0E9D13C9" wp14:editId="3B0CC45C">
          <wp:simplePos x="0" y="0"/>
          <wp:positionH relativeFrom="column">
            <wp:posOffset>2695575</wp:posOffset>
          </wp:positionH>
          <wp:positionV relativeFrom="paragraph">
            <wp:posOffset>-50165</wp:posOffset>
          </wp:positionV>
          <wp:extent cx="542290" cy="189230"/>
          <wp:effectExtent l="0" t="0" r="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AC4189" w:rsidRPr="00AC4189">
      <w:rPr>
        <w:rFonts w:eastAsia="Calibri" w:cs="Times New Roman"/>
        <w:noProof/>
        <w:snapToGrid/>
        <w:sz w:val="16"/>
        <w:szCs w:val="22"/>
        <w:lang w:val="fr-FR" w:eastAsia="ja-JP"/>
      </w:rPr>
      <w:drawing>
        <wp:anchor distT="0" distB="0" distL="114300" distR="114300" simplePos="0" relativeHeight="251661312" behindDoc="0" locked="0" layoutInCell="1" allowOverlap="1" wp14:anchorId="16E658CB" wp14:editId="1DE917D3">
          <wp:simplePos x="0" y="0"/>
          <wp:positionH relativeFrom="column">
            <wp:posOffset>5027295</wp:posOffset>
          </wp:positionH>
          <wp:positionV relativeFrom="paragraph">
            <wp:posOffset>-260350</wp:posOffset>
          </wp:positionV>
          <wp:extent cx="801370" cy="6013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1370" cy="601345"/>
                  </a:xfrm>
                  <a:prstGeom prst="rect">
                    <a:avLst/>
                  </a:prstGeom>
                </pic:spPr>
              </pic:pic>
            </a:graphicData>
          </a:graphic>
          <wp14:sizeRelH relativeFrom="page">
            <wp14:pctWidth>0</wp14:pctWidth>
          </wp14:sizeRelH>
          <wp14:sizeRelV relativeFrom="page">
            <wp14:pctHeight>0</wp14:pctHeight>
          </wp14:sizeRelV>
        </wp:anchor>
      </w:drawing>
    </w:r>
    <w:r w:rsidR="00AC4189" w:rsidRPr="00AC4189">
      <w:rPr>
        <w:rFonts w:eastAsia="Calibri" w:cs="Times New Roman"/>
        <w:snapToGrid/>
        <w:sz w:val="16"/>
        <w:szCs w:val="22"/>
        <w:lang w:val="it-IT" w:eastAsia="en-US"/>
      </w:rPr>
      <w:t>U055-v1.0-FN2-FR</w:t>
    </w:r>
    <w:r w:rsidR="00AC4189" w:rsidRPr="00AC4189">
      <w:rPr>
        <w:rFonts w:eastAsia="Calibri" w:cs="Times New Roman"/>
        <w:snapToGrid/>
        <w:sz w:val="16"/>
        <w:szCs w:val="22"/>
        <w:lang w:val="it-IT" w:eastAsia="en-US"/>
      </w:rPr>
      <w:tab/>
    </w:r>
    <w:r w:rsidR="00AC4189" w:rsidRPr="00AC4189">
      <w:rPr>
        <w:rFonts w:eastAsia="Calibri" w:cs="Times New Roman"/>
        <w:snapToGrid/>
        <w:sz w:val="16"/>
        <w:szCs w:val="22"/>
        <w:lang w:val="it-IT"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54" w:rsidRDefault="000C2554" w:rsidP="00AB1CE4">
      <w:pPr>
        <w:spacing w:before="0" w:after="0"/>
      </w:pPr>
      <w:r>
        <w:separator/>
      </w:r>
    </w:p>
  </w:footnote>
  <w:footnote w:type="continuationSeparator" w:id="0">
    <w:p w:rsidR="000C2554" w:rsidRDefault="000C2554" w:rsidP="00AB1C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189" w:rsidRPr="00AC4189" w:rsidRDefault="00AC4189" w:rsidP="00AC4189">
    <w:pPr>
      <w:tabs>
        <w:tab w:val="clear" w:pos="567"/>
        <w:tab w:val="center" w:pos="4070"/>
        <w:tab w:val="right" w:pos="9000"/>
      </w:tabs>
      <w:snapToGrid/>
      <w:spacing w:before="0" w:after="200" w:line="276" w:lineRule="auto"/>
      <w:jc w:val="left"/>
      <w:rPr>
        <w:rFonts w:eastAsia="Calibri" w:cs="Times New Roman"/>
        <w:snapToGrid/>
        <w:sz w:val="16"/>
        <w:szCs w:val="22"/>
        <w:lang w:val="it-IT" w:eastAsia="en-US"/>
      </w:rPr>
    </w:pPr>
    <w:r w:rsidRPr="00AC4189">
      <w:rPr>
        <w:rFonts w:eastAsia="Calibri" w:cs="Times New Roman"/>
        <w:snapToGrid/>
        <w:sz w:val="16"/>
        <w:szCs w:val="22"/>
        <w:lang w:val="it-IT" w:eastAsia="en-US"/>
      </w:rPr>
      <w:fldChar w:fldCharType="begin"/>
    </w:r>
    <w:r w:rsidRPr="00AC4189">
      <w:rPr>
        <w:rFonts w:eastAsia="Calibri" w:cs="Times New Roman"/>
        <w:snapToGrid/>
        <w:sz w:val="16"/>
        <w:szCs w:val="22"/>
        <w:lang w:val="it-IT" w:eastAsia="en-US"/>
      </w:rPr>
      <w:instrText xml:space="preserve">PAGE  </w:instrText>
    </w:r>
    <w:r w:rsidRPr="00AC4189">
      <w:rPr>
        <w:rFonts w:eastAsia="Calibri" w:cs="Times New Roman"/>
        <w:snapToGrid/>
        <w:sz w:val="16"/>
        <w:szCs w:val="22"/>
        <w:lang w:val="it-IT" w:eastAsia="en-US"/>
      </w:rPr>
      <w:fldChar w:fldCharType="separate"/>
    </w:r>
    <w:r w:rsidR="008F63A8">
      <w:rPr>
        <w:rFonts w:eastAsia="Calibri" w:cs="Times New Roman"/>
        <w:noProof/>
        <w:snapToGrid/>
        <w:sz w:val="16"/>
        <w:szCs w:val="22"/>
        <w:lang w:val="it-IT" w:eastAsia="en-US"/>
      </w:rPr>
      <w:t>2</w:t>
    </w:r>
    <w:r w:rsidRPr="00AC4189">
      <w:rPr>
        <w:rFonts w:eastAsia="Calibri" w:cs="Times New Roman"/>
        <w:snapToGrid/>
        <w:sz w:val="16"/>
        <w:szCs w:val="22"/>
        <w:lang w:val="it-IT" w:eastAsia="en-US"/>
      </w:rPr>
      <w:fldChar w:fldCharType="end"/>
    </w:r>
    <w:r w:rsidRPr="00AC4189">
      <w:rPr>
        <w:rFonts w:eastAsia="Calibri" w:cs="Times New Roman"/>
        <w:snapToGrid/>
        <w:sz w:val="16"/>
        <w:szCs w:val="22"/>
        <w:lang w:val="it-IT" w:eastAsia="en-US"/>
      </w:rPr>
      <w:tab/>
      <w:t>Unité 55: Atelier sur l’élaboration de politiques pour ma sauvegarde du PCI</w:t>
    </w:r>
    <w:r w:rsidRPr="00AC4189">
      <w:rPr>
        <w:rFonts w:eastAsia="Calibri" w:cs="Times New Roman"/>
        <w:snapToGrid/>
        <w:sz w:val="16"/>
        <w:szCs w:val="22"/>
        <w:lang w:val="it-IT" w:eastAsia="en-US"/>
      </w:rPr>
      <w:tab/>
      <w:t>Notes du facilitateur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3C" w:rsidRPr="00456CF4" w:rsidRDefault="0092473C" w:rsidP="00456CF4">
    <w:pPr>
      <w:pStyle w:val="Header"/>
      <w:jc w:val="center"/>
      <w:rPr>
        <w:lang w:val="fr-FR"/>
      </w:rPr>
    </w:pPr>
    <w:r>
      <w:rPr>
        <w:lang w:val="fr-FR"/>
      </w:rPr>
      <w:t>Notes du facilitateur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189" w:rsidRPr="00AC4189" w:rsidRDefault="00AC4189" w:rsidP="00AC4189">
    <w:pPr>
      <w:tabs>
        <w:tab w:val="clear" w:pos="567"/>
        <w:tab w:val="center" w:pos="4513"/>
        <w:tab w:val="right" w:pos="9026"/>
      </w:tabs>
      <w:snapToGrid/>
      <w:spacing w:before="0" w:after="0" w:line="259" w:lineRule="auto"/>
      <w:jc w:val="center"/>
      <w:rPr>
        <w:sz w:val="16"/>
        <w:szCs w:val="16"/>
      </w:rPr>
    </w:pPr>
    <w:r w:rsidRPr="00AC4189">
      <w:rPr>
        <w:sz w:val="16"/>
        <w:szCs w:val="16"/>
      </w:rPr>
      <w:t xml:space="preserve">Notes du facilitateur </w:t>
    </w:r>
    <w:r>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B31BD"/>
    <w:multiLevelType w:val="hybridMultilevel"/>
    <w:tmpl w:val="B2224E44"/>
    <w:lvl w:ilvl="0" w:tplc="040C0001">
      <w:start w:val="1"/>
      <w:numFmt w:val="bullet"/>
      <w:lvlText w:val=""/>
      <w:lvlJc w:val="left"/>
      <w:pPr>
        <w:ind w:left="1931" w:hanging="360"/>
      </w:pPr>
      <w:rPr>
        <w:rFonts w:ascii="Symbol" w:hAnsi="Symbo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FC0D9B"/>
    <w:multiLevelType w:val="hybridMultilevel"/>
    <w:tmpl w:val="B8447D96"/>
    <w:lvl w:ilvl="0" w:tplc="8438D0DE">
      <w:start w:val="1"/>
      <w:numFmt w:val="bullet"/>
      <w:lvlText w:val=""/>
      <w:lvlJc w:val="left"/>
      <w:pPr>
        <w:ind w:left="720" w:hanging="360"/>
      </w:pPr>
      <w:rPr>
        <w:rFonts w:ascii="Symbol" w:hAnsi="Symbol"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16"/>
    <w:rsid w:val="000410AD"/>
    <w:rsid w:val="00044869"/>
    <w:rsid w:val="00071B81"/>
    <w:rsid w:val="000A214E"/>
    <w:rsid w:val="000C2554"/>
    <w:rsid w:val="000E5A94"/>
    <w:rsid w:val="000F02E9"/>
    <w:rsid w:val="0011710D"/>
    <w:rsid w:val="00122B4B"/>
    <w:rsid w:val="00123335"/>
    <w:rsid w:val="00163BCB"/>
    <w:rsid w:val="001718AD"/>
    <w:rsid w:val="00185DAD"/>
    <w:rsid w:val="00195E0B"/>
    <w:rsid w:val="001C3A43"/>
    <w:rsid w:val="001E3A2C"/>
    <w:rsid w:val="00223A99"/>
    <w:rsid w:val="002306AD"/>
    <w:rsid w:val="0027026A"/>
    <w:rsid w:val="002D3C8B"/>
    <w:rsid w:val="002E35C2"/>
    <w:rsid w:val="002F5948"/>
    <w:rsid w:val="00303301"/>
    <w:rsid w:val="00311E34"/>
    <w:rsid w:val="00390BC1"/>
    <w:rsid w:val="0041225E"/>
    <w:rsid w:val="00417A72"/>
    <w:rsid w:val="00421E9B"/>
    <w:rsid w:val="00456CF4"/>
    <w:rsid w:val="004F39F8"/>
    <w:rsid w:val="00530F03"/>
    <w:rsid w:val="00543809"/>
    <w:rsid w:val="00563FCD"/>
    <w:rsid w:val="00582A2A"/>
    <w:rsid w:val="00585668"/>
    <w:rsid w:val="005F52AF"/>
    <w:rsid w:val="0060729A"/>
    <w:rsid w:val="00614EAC"/>
    <w:rsid w:val="006332CF"/>
    <w:rsid w:val="00750C1A"/>
    <w:rsid w:val="00761E83"/>
    <w:rsid w:val="007E024D"/>
    <w:rsid w:val="007F23CF"/>
    <w:rsid w:val="008630BF"/>
    <w:rsid w:val="008E1E9A"/>
    <w:rsid w:val="008E283E"/>
    <w:rsid w:val="008F63A8"/>
    <w:rsid w:val="0092297A"/>
    <w:rsid w:val="0092473C"/>
    <w:rsid w:val="00AB1CE4"/>
    <w:rsid w:val="00AC4189"/>
    <w:rsid w:val="00AE1458"/>
    <w:rsid w:val="00AE583F"/>
    <w:rsid w:val="00B0768A"/>
    <w:rsid w:val="00B3417C"/>
    <w:rsid w:val="00B503F7"/>
    <w:rsid w:val="00B8726B"/>
    <w:rsid w:val="00C2284B"/>
    <w:rsid w:val="00C30D12"/>
    <w:rsid w:val="00C30F9C"/>
    <w:rsid w:val="00C45CE8"/>
    <w:rsid w:val="00C55EFA"/>
    <w:rsid w:val="00C57C58"/>
    <w:rsid w:val="00C71EF9"/>
    <w:rsid w:val="00C93FDD"/>
    <w:rsid w:val="00CD460E"/>
    <w:rsid w:val="00CF0781"/>
    <w:rsid w:val="00D337EF"/>
    <w:rsid w:val="00D61372"/>
    <w:rsid w:val="00D66E3B"/>
    <w:rsid w:val="00D73A96"/>
    <w:rsid w:val="00DC53B4"/>
    <w:rsid w:val="00DF387D"/>
    <w:rsid w:val="00DF497C"/>
    <w:rsid w:val="00E8237F"/>
    <w:rsid w:val="00EA345D"/>
    <w:rsid w:val="00EC1AD4"/>
    <w:rsid w:val="00EC293C"/>
    <w:rsid w:val="00EE1ADC"/>
    <w:rsid w:val="00EF1FF6"/>
    <w:rsid w:val="00F36887"/>
    <w:rsid w:val="00F5215A"/>
    <w:rsid w:val="00F6706A"/>
    <w:rsid w:val="00F80A16"/>
    <w:rsid w:val="00F93505"/>
    <w:rsid w:val="00FC3C8B"/>
    <w:rsid w:val="00FE7D57"/>
    <w:rsid w:val="00FF7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8C3CD-10BC-4993-BC9C-CFB961AD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A16"/>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F80A16"/>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F80A16"/>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F80A16"/>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iPriority w:val="9"/>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F80A16"/>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0A16"/>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F80A16"/>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F80A16"/>
    <w:rPr>
      <w:rFonts w:ascii="Arial" w:eastAsia="SimSun" w:hAnsi="Arial" w:cstheme="majorBidi"/>
      <w:b/>
      <w:bCs/>
      <w:caps/>
      <w:sz w:val="24"/>
      <w:szCs w:val="24"/>
      <w:lang w:val="it-IT"/>
    </w:rPr>
  </w:style>
  <w:style w:type="character" w:customStyle="1" w:styleId="Heading4Char">
    <w:name w:val="Heading 4 Char"/>
    <w:basedOn w:val="DefaultParagraphFont"/>
    <w:link w:val="Heading4"/>
    <w:uiPriority w:val="9"/>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80A16"/>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F80A16"/>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F80A16"/>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F80A16"/>
    <w:rPr>
      <w:b/>
      <w:bCs/>
    </w:rPr>
  </w:style>
  <w:style w:type="character" w:styleId="Emphasis">
    <w:name w:val="Emphasis"/>
    <w:basedOn w:val="DefaultParagraphFont"/>
    <w:uiPriority w:val="20"/>
    <w:qFormat/>
    <w:rsid w:val="00F80A16"/>
    <w:rPr>
      <w:i/>
      <w:iCs/>
    </w:rPr>
  </w:style>
  <w:style w:type="paragraph" w:styleId="NoSpacing">
    <w:name w:val="No Spacing"/>
    <w:aliases w:val="Title Ed"/>
    <w:basedOn w:val="FootnoteText"/>
    <w:link w:val="NoSpacingChar"/>
    <w:uiPriority w:val="1"/>
    <w:qFormat/>
    <w:rsid w:val="00F80A16"/>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F80A16"/>
    <w:rPr>
      <w:rFonts w:ascii="Calibri" w:hAnsi="Calibri" w:cs="Arial"/>
      <w:sz w:val="20"/>
      <w:szCs w:val="20"/>
    </w:rPr>
  </w:style>
  <w:style w:type="paragraph" w:styleId="ListParagraph">
    <w:name w:val="List Paragraph"/>
    <w:basedOn w:val="Normal"/>
    <w:uiPriority w:val="34"/>
    <w:qFormat/>
    <w:rsid w:val="00F80A16"/>
    <w:pPr>
      <w:tabs>
        <w:tab w:val="clear" w:pos="567"/>
        <w:tab w:val="left" w:pos="360"/>
      </w:tabs>
      <w:ind w:left="720" w:hanging="360"/>
    </w:pPr>
  </w:style>
  <w:style w:type="paragraph" w:styleId="Quote">
    <w:name w:val="Quote"/>
    <w:basedOn w:val="Normal"/>
    <w:next w:val="Normal"/>
    <w:link w:val="QuoteChar"/>
    <w:uiPriority w:val="29"/>
    <w:qFormat/>
    <w:rsid w:val="00F80A16"/>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F80A16"/>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F80A16"/>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F80A16"/>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F80A16"/>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1">
    <w:name w:val="1."/>
    <w:basedOn w:val="Normal"/>
    <w:link w:val="1Char"/>
    <w:qFormat/>
    <w:rsid w:val="00F80A16"/>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F80A16"/>
    <w:rPr>
      <w:rFonts w:ascii="Arial" w:eastAsia="SimSun" w:hAnsi="Arial" w:cs="Arial"/>
      <w:w w:val="96"/>
      <w:lang w:val="en-US" w:eastAsia="fr-FR"/>
    </w:rPr>
  </w:style>
  <w:style w:type="paragraph" w:customStyle="1" w:styleId="U1">
    <w:name w:val="U.1"/>
    <w:basedOn w:val="Normal"/>
    <w:qFormat/>
    <w:rsid w:val="00F80A16"/>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F80A16"/>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F80A16"/>
    <w:rPr>
      <w:rFonts w:ascii="Arial" w:eastAsia="SimSun" w:hAnsi="Arial" w:cs="Arial"/>
      <w:lang w:val="en-US" w:eastAsia="fr-FR"/>
    </w:rPr>
  </w:style>
  <w:style w:type="paragraph" w:customStyle="1" w:styleId="Slideheading">
    <w:name w:val="Slide heading"/>
    <w:basedOn w:val="Heading2"/>
    <w:link w:val="SlideheadingChar"/>
    <w:qFormat/>
    <w:rsid w:val="00F80A16"/>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F80A16"/>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F80A16"/>
    <w:pPr>
      <w:numPr>
        <w:ilvl w:val="1"/>
        <w:numId w:val="4"/>
      </w:numPr>
      <w:spacing w:before="0" w:after="60" w:line="280" w:lineRule="exact"/>
    </w:pPr>
    <w:rPr>
      <w:snapToGrid/>
      <w:sz w:val="20"/>
      <w:lang w:val="fr-FR"/>
    </w:rPr>
  </w:style>
  <w:style w:type="paragraph" w:customStyle="1" w:styleId="citationunit">
    <w:name w:val="citation unit"/>
    <w:basedOn w:val="Normal"/>
    <w:qFormat/>
    <w:rsid w:val="00F80A16"/>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F80A16"/>
    <w:pPr>
      <w:spacing w:before="0" w:after="0"/>
    </w:pPr>
    <w:rPr>
      <w:sz w:val="20"/>
      <w:szCs w:val="20"/>
    </w:rPr>
  </w:style>
  <w:style w:type="character" w:customStyle="1" w:styleId="FootnoteTextChar">
    <w:name w:val="Footnote Text Char"/>
    <w:basedOn w:val="DefaultParagraphFont"/>
    <w:link w:val="FootnoteText"/>
    <w:uiPriority w:val="99"/>
    <w:semiHidden/>
    <w:rsid w:val="00F80A16"/>
    <w:rPr>
      <w:rFonts w:ascii="Arial" w:eastAsia="SimSun" w:hAnsi="Arial" w:cs="Arial"/>
      <w:snapToGrid w:val="0"/>
      <w:sz w:val="20"/>
      <w:szCs w:val="20"/>
      <w:lang w:val="en-US" w:eastAsia="zh-CN"/>
    </w:rPr>
  </w:style>
  <w:style w:type="paragraph" w:customStyle="1" w:styleId="Chapitre">
    <w:name w:val="Chapitre"/>
    <w:basedOn w:val="Heading1"/>
    <w:link w:val="ChapitreCar"/>
    <w:rsid w:val="000410AD"/>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0410AD"/>
    <w:rPr>
      <w:rFonts w:ascii="Arial" w:eastAsia="Times New Roman" w:hAnsi="Arial" w:cs="Arial"/>
      <w:b/>
      <w:bCs/>
      <w:caps/>
      <w:noProof/>
      <w:snapToGrid w:val="0"/>
      <w:color w:val="3366FF"/>
      <w:kern w:val="28"/>
      <w:sz w:val="70"/>
      <w:szCs w:val="70"/>
      <w:lang w:eastAsia="zh-CN"/>
    </w:rPr>
  </w:style>
  <w:style w:type="paragraph" w:customStyle="1" w:styleId="UPlan">
    <w:name w:val="UPlan"/>
    <w:basedOn w:val="Normal"/>
    <w:link w:val="UPlanCar"/>
    <w:rsid w:val="000410AD"/>
    <w:pPr>
      <w:keepNext/>
      <w:keepLines/>
      <w:spacing w:before="480" w:after="0" w:line="480" w:lineRule="exact"/>
      <w:jc w:val="left"/>
      <w:outlineLvl w:val="0"/>
    </w:pPr>
    <w:rPr>
      <w:rFonts w:eastAsia="Times New Roman"/>
      <w:b/>
      <w:bCs/>
      <w:caps/>
      <w:noProof/>
      <w:color w:val="3366FF"/>
      <w:kern w:val="28"/>
      <w:sz w:val="48"/>
      <w:szCs w:val="48"/>
      <w:lang w:val="en-GB"/>
    </w:rPr>
  </w:style>
  <w:style w:type="character" w:customStyle="1" w:styleId="UPlanCar">
    <w:name w:val="UPlan Car"/>
    <w:basedOn w:val="DefaultParagraphFont"/>
    <w:link w:val="UPlan"/>
    <w:rsid w:val="000410AD"/>
    <w:rPr>
      <w:rFonts w:ascii="Arial" w:eastAsia="Times New Roman" w:hAnsi="Arial" w:cs="Arial"/>
      <w:b/>
      <w:bCs/>
      <w:caps/>
      <w:noProof/>
      <w:snapToGrid w:val="0"/>
      <w:color w:val="3366FF"/>
      <w:kern w:val="28"/>
      <w:sz w:val="48"/>
      <w:szCs w:val="48"/>
      <w:lang w:eastAsia="zh-CN"/>
    </w:rPr>
  </w:style>
  <w:style w:type="paragraph" w:styleId="BalloonText">
    <w:name w:val="Balloon Text"/>
    <w:basedOn w:val="Normal"/>
    <w:link w:val="BalloonTextChar"/>
    <w:uiPriority w:val="99"/>
    <w:semiHidden/>
    <w:unhideWhenUsed/>
    <w:rsid w:val="000410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0AD"/>
    <w:rPr>
      <w:rFonts w:ascii="Tahoma" w:eastAsia="SimSun" w:hAnsi="Tahoma" w:cs="Tahoma"/>
      <w:snapToGrid w:val="0"/>
      <w:sz w:val="16"/>
      <w:szCs w:val="16"/>
      <w:lang w:val="en-US" w:eastAsia="zh-CN"/>
    </w:rPr>
  </w:style>
  <w:style w:type="paragraph" w:styleId="Header">
    <w:name w:val="header"/>
    <w:basedOn w:val="Normal"/>
    <w:link w:val="HeaderChar"/>
    <w:uiPriority w:val="99"/>
    <w:unhideWhenUsed/>
    <w:rsid w:val="0092473C"/>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92473C"/>
    <w:rPr>
      <w:rFonts w:ascii="Arial" w:eastAsia="SimSun" w:hAnsi="Arial" w:cs="Arial"/>
      <w:snapToGrid w:val="0"/>
      <w:szCs w:val="24"/>
      <w:lang w:val="en-US" w:eastAsia="zh-CN"/>
    </w:rPr>
  </w:style>
  <w:style w:type="paragraph" w:styleId="Footer">
    <w:name w:val="footer"/>
    <w:basedOn w:val="Normal"/>
    <w:link w:val="FooterChar"/>
    <w:uiPriority w:val="99"/>
    <w:unhideWhenUsed/>
    <w:rsid w:val="0092473C"/>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92473C"/>
    <w:rPr>
      <w:rFonts w:ascii="Arial" w:eastAsia="SimSun" w:hAnsi="Arial" w:cs="Arial"/>
      <w:snapToGrid w:val="0"/>
      <w:szCs w:val="24"/>
      <w:lang w:val="en-US" w:eastAsia="zh-CN"/>
    </w:rPr>
  </w:style>
  <w:style w:type="paragraph" w:customStyle="1" w:styleId="Texte1">
    <w:name w:val="Texte1"/>
    <w:basedOn w:val="Normal"/>
    <w:link w:val="Texte1Car"/>
    <w:rsid w:val="00223A99"/>
    <w:pPr>
      <w:spacing w:before="0" w:after="60" w:line="280" w:lineRule="exact"/>
      <w:ind w:left="851"/>
    </w:pPr>
    <w:rPr>
      <w:snapToGrid/>
      <w:sz w:val="20"/>
      <w:lang w:val="fr-FR"/>
    </w:rPr>
  </w:style>
  <w:style w:type="character" w:customStyle="1" w:styleId="Texte1Car">
    <w:name w:val="Texte1 Car"/>
    <w:link w:val="Texte1"/>
    <w:rsid w:val="00223A99"/>
    <w:rPr>
      <w:rFonts w:ascii="Arial" w:eastAsia="SimSun" w:hAnsi="Arial" w:cs="Arial"/>
      <w:sz w:val="20"/>
      <w:szCs w:val="24"/>
      <w:lang w:val="fr-FR" w:eastAsia="zh-CN"/>
    </w:rPr>
  </w:style>
  <w:style w:type="character" w:styleId="Hyperlink">
    <w:name w:val="Hyperlink"/>
    <w:unhideWhenUsed/>
    <w:rsid w:val="00563FCD"/>
    <w:rPr>
      <w:color w:val="0000FF"/>
      <w:u w:val="single"/>
    </w:rPr>
  </w:style>
  <w:style w:type="paragraph" w:styleId="BodyText">
    <w:name w:val="Body Text"/>
    <w:basedOn w:val="Normal"/>
    <w:link w:val="BodyTextChar"/>
    <w:rsid w:val="000A214E"/>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0A214E"/>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esco.org/open-access/terms-use-ccbysa-f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778</Words>
  <Characters>4285</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11</cp:revision>
  <dcterms:created xsi:type="dcterms:W3CDTF">2016-03-31T14:28:00Z</dcterms:created>
  <dcterms:modified xsi:type="dcterms:W3CDTF">2018-04-23T12:57:00Z</dcterms:modified>
</cp:coreProperties>
</file>