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33C" w:rsidRPr="00857FF3" w:rsidRDefault="0099233C" w:rsidP="0099233C">
      <w:pPr>
        <w:pStyle w:val="Chapitre"/>
        <w:rPr>
          <w:lang w:val="fr-FR"/>
        </w:rPr>
      </w:pPr>
      <w:r w:rsidRPr="00857FF3">
        <w:rPr>
          <w:lang w:val="fr-FR"/>
        </w:rPr>
        <w:t>UnitÉ 55</w:t>
      </w:r>
    </w:p>
    <w:p w:rsidR="00F315A3" w:rsidRDefault="00A77936" w:rsidP="00857FF3">
      <w:pPr>
        <w:pStyle w:val="UPlan"/>
        <w:rPr>
          <w:lang w:val="fr-FR"/>
        </w:rPr>
      </w:pPr>
      <w:r>
        <w:rPr>
          <w:lang w:val="fr-FR"/>
        </w:rPr>
        <w:t>atelier sur l’élaboration</w:t>
      </w:r>
      <w:r w:rsidR="0099233C" w:rsidRPr="00857FF3">
        <w:rPr>
          <w:lang w:val="fr-FR"/>
        </w:rPr>
        <w:t xml:space="preserve"> de politiques pour la sauvegarde du patrimoine culturel immatériel</w:t>
      </w:r>
    </w:p>
    <w:p w:rsidR="00F315A3" w:rsidRPr="000A63A1" w:rsidRDefault="00F315A3" w:rsidP="00F315A3">
      <w:pPr>
        <w:pStyle w:val="BodyText"/>
        <w:spacing w:before="480"/>
        <w:jc w:val="left"/>
        <w:rPr>
          <w:rFonts w:ascii="Arial" w:hAnsi="Arial" w:cs="Arial"/>
          <w:sz w:val="22"/>
          <w:szCs w:val="22"/>
          <w:lang w:val="fr-FR"/>
        </w:rPr>
      </w:pPr>
      <w:r w:rsidRPr="000A63A1">
        <w:rPr>
          <w:rFonts w:ascii="Arial" w:hAnsi="Arial" w:cs="Arial"/>
          <w:sz w:val="22"/>
          <w:szCs w:val="22"/>
          <w:lang w:val="fr-FR"/>
        </w:rPr>
        <w:t>Publié e</w:t>
      </w:r>
      <w:bookmarkStart w:id="0" w:name="_GoBack"/>
      <w:bookmarkEnd w:id="0"/>
      <w:r w:rsidRPr="000A63A1">
        <w:rPr>
          <w:rFonts w:ascii="Arial" w:hAnsi="Arial" w:cs="Arial"/>
          <w:sz w:val="22"/>
          <w:szCs w:val="22"/>
          <w:lang w:val="fr-FR"/>
        </w:rPr>
        <w:t xml:space="preserve">n </w:t>
      </w:r>
      <w:r w:rsidR="00EB49FB">
        <w:rPr>
          <w:rFonts w:ascii="Arial" w:hAnsi="Arial" w:cs="Arial"/>
          <w:sz w:val="22"/>
          <w:szCs w:val="22"/>
          <w:lang w:val="fr-FR"/>
        </w:rPr>
        <w:t>2016</w:t>
      </w:r>
      <w:r w:rsidRPr="000A63A1">
        <w:rPr>
          <w:rFonts w:ascii="Arial" w:hAnsi="Arial" w:cs="Arial"/>
          <w:sz w:val="22"/>
          <w:szCs w:val="22"/>
          <w:lang w:val="fr-FR"/>
        </w:rPr>
        <w:t xml:space="preserve"> par l’Organisation des Nations Unies pour l’éducation, la science et la culture </w:t>
      </w:r>
    </w:p>
    <w:p w:rsidR="00F315A3" w:rsidRPr="000A63A1" w:rsidRDefault="00F315A3" w:rsidP="00F315A3">
      <w:pPr>
        <w:pStyle w:val="BodyText"/>
        <w:jc w:val="left"/>
        <w:rPr>
          <w:rFonts w:ascii="Arial" w:hAnsi="Arial" w:cs="Arial"/>
          <w:bCs/>
          <w:iCs/>
          <w:sz w:val="22"/>
          <w:szCs w:val="22"/>
          <w:lang w:val="fr-FR"/>
        </w:rPr>
      </w:pPr>
      <w:r w:rsidRPr="000A63A1">
        <w:rPr>
          <w:rFonts w:ascii="Arial" w:hAnsi="Arial" w:cs="Arial"/>
          <w:bCs/>
          <w:iCs/>
          <w:sz w:val="22"/>
          <w:szCs w:val="22"/>
          <w:lang w:val="fr-FR"/>
        </w:rPr>
        <w:t>7, place de Fontenoy, 75352 Paris 07 SP, France</w:t>
      </w:r>
    </w:p>
    <w:p w:rsidR="00F315A3" w:rsidRPr="000A63A1" w:rsidRDefault="00F315A3" w:rsidP="00F315A3">
      <w:pPr>
        <w:pStyle w:val="BodyText"/>
        <w:jc w:val="left"/>
        <w:rPr>
          <w:rFonts w:ascii="Arial" w:hAnsi="Arial" w:cs="Arial"/>
          <w:bCs/>
          <w:iCs/>
          <w:sz w:val="22"/>
          <w:szCs w:val="22"/>
          <w:lang w:val="fr-FR"/>
        </w:rPr>
      </w:pPr>
    </w:p>
    <w:p w:rsidR="00F315A3" w:rsidRPr="000A63A1" w:rsidRDefault="00F315A3" w:rsidP="00F315A3">
      <w:pPr>
        <w:autoSpaceDE w:val="0"/>
        <w:autoSpaceDN w:val="0"/>
        <w:adjustRightInd w:val="0"/>
        <w:rPr>
          <w:szCs w:val="22"/>
          <w:lang w:val="en-GB"/>
        </w:rPr>
      </w:pPr>
      <w:r w:rsidRPr="000A63A1">
        <w:rPr>
          <w:szCs w:val="22"/>
          <w:lang w:val="en-GB"/>
        </w:rPr>
        <w:t xml:space="preserve">© UNESCO </w:t>
      </w:r>
      <w:r w:rsidR="00EB49FB">
        <w:rPr>
          <w:szCs w:val="22"/>
          <w:lang w:val="en-GB"/>
        </w:rPr>
        <w:t>2016</w:t>
      </w:r>
    </w:p>
    <w:p w:rsidR="00F315A3" w:rsidRPr="000A63A1" w:rsidRDefault="00F315A3" w:rsidP="00F315A3">
      <w:pPr>
        <w:autoSpaceDE w:val="0"/>
        <w:autoSpaceDN w:val="0"/>
        <w:adjustRightInd w:val="0"/>
        <w:rPr>
          <w:szCs w:val="22"/>
          <w:lang w:val="en-GB"/>
        </w:rPr>
      </w:pPr>
    </w:p>
    <w:p w:rsidR="00F315A3" w:rsidRPr="00FC624F" w:rsidRDefault="00F315A3" w:rsidP="00F315A3">
      <w:pPr>
        <w:autoSpaceDE w:val="0"/>
        <w:autoSpaceDN w:val="0"/>
        <w:adjustRightInd w:val="0"/>
        <w:rPr>
          <w:szCs w:val="22"/>
          <w:lang w:val="en-GB"/>
        </w:rPr>
      </w:pPr>
      <w:r w:rsidRPr="000A63A1">
        <w:rPr>
          <w:noProof/>
          <w:szCs w:val="22"/>
          <w:lang w:val="fr-FR" w:eastAsia="ja-JP"/>
        </w:rPr>
        <w:drawing>
          <wp:inline distT="0" distB="0" distL="0" distR="0" wp14:anchorId="5187EC69" wp14:editId="66855BA6">
            <wp:extent cx="756527" cy="266031"/>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rsidR="00F315A3" w:rsidRPr="000A63A1" w:rsidRDefault="00F315A3" w:rsidP="00F315A3">
      <w:pPr>
        <w:autoSpaceDE w:val="0"/>
        <w:autoSpaceDN w:val="0"/>
        <w:adjustRightInd w:val="0"/>
        <w:rPr>
          <w:szCs w:val="22"/>
          <w:lang w:val="fr-FR"/>
        </w:rPr>
      </w:pPr>
      <w:r w:rsidRPr="000A63A1">
        <w:rPr>
          <w:szCs w:val="22"/>
          <w:lang w:val="fr-FR"/>
        </w:rPr>
        <w:t>Œuvre publiée en libre accès sous la licence Attribution-ShareAlike 3.0 IGO (CC-BY-SA 3.0 IGO) (</w:t>
      </w:r>
      <w:hyperlink r:id="rId9" w:history="1">
        <w:r w:rsidRPr="000A63A1">
          <w:rPr>
            <w:rFonts w:eastAsiaTheme="minorHAnsi"/>
            <w:color w:val="0000FF"/>
            <w:szCs w:val="22"/>
            <w:u w:val="single" w:color="0000FF"/>
            <w:lang w:val="fr-FR" w:eastAsia="en-US"/>
          </w:rPr>
          <w:t>http://creativecommons.org/licenses/by-sa/3.0/igo/</w:t>
        </w:r>
      </w:hyperlink>
      <w:r w:rsidRPr="000A63A1">
        <w:rPr>
          <w:szCs w:val="22"/>
          <w:lang w:val="fr-FR"/>
        </w:rPr>
        <w:t>). Les utilisateurs du contenu de la présente publication acceptent les termes d’utilisation de l’Archive ouverte de libre accès UNESCO (</w:t>
      </w:r>
      <w:hyperlink r:id="rId10" w:history="1">
        <w:r w:rsidRPr="000A63A1">
          <w:rPr>
            <w:rStyle w:val="Hyperlink"/>
            <w:rFonts w:eastAsiaTheme="minorHAnsi"/>
            <w:szCs w:val="22"/>
            <w:lang w:val="fr-FR" w:eastAsia="en-US"/>
          </w:rPr>
          <w:t>www.unesco.org/open-access/terms-use-ccbysa-fr</w:t>
        </w:r>
      </w:hyperlink>
      <w:r w:rsidRPr="000A63A1">
        <w:rPr>
          <w:szCs w:val="22"/>
          <w:lang w:val="fr-FR"/>
        </w:rPr>
        <w:t>).</w:t>
      </w:r>
    </w:p>
    <w:p w:rsidR="00F315A3" w:rsidRPr="00FC624F" w:rsidRDefault="00F315A3" w:rsidP="00F315A3">
      <w:pPr>
        <w:autoSpaceDE w:val="0"/>
        <w:autoSpaceDN w:val="0"/>
        <w:adjustRightInd w:val="0"/>
        <w:rPr>
          <w:szCs w:val="22"/>
          <w:lang w:val="fr-FR"/>
        </w:rPr>
      </w:pPr>
      <w:r w:rsidRPr="00FC624F">
        <w:rPr>
          <w:szCs w:val="22"/>
          <w:lang w:val="fr-FR"/>
        </w:rPr>
        <w:t xml:space="preserve">Les images dans cette publication ne sont pas couvertes par la licence CC-BY-SA et ne peuvent en aucune façon être commercialisées ou reproduites sans l’autorisation expresse des détenteurs des droits de reproduction. </w:t>
      </w:r>
    </w:p>
    <w:p w:rsidR="00F315A3" w:rsidRPr="000A63A1" w:rsidRDefault="00F315A3" w:rsidP="00F315A3">
      <w:pPr>
        <w:pStyle w:val="BodyText"/>
        <w:jc w:val="left"/>
        <w:rPr>
          <w:rFonts w:ascii="Arial" w:hAnsi="Arial" w:cs="Arial"/>
          <w:bCs/>
          <w:iCs/>
          <w:sz w:val="22"/>
          <w:szCs w:val="22"/>
          <w:lang w:val="fr-FR"/>
        </w:rPr>
      </w:pPr>
    </w:p>
    <w:p w:rsidR="00F315A3" w:rsidRPr="000A63A1" w:rsidRDefault="00F315A3" w:rsidP="00F315A3">
      <w:pPr>
        <w:pStyle w:val="BodyText"/>
        <w:jc w:val="left"/>
        <w:rPr>
          <w:rFonts w:ascii="Arial" w:hAnsi="Arial" w:cs="Arial"/>
          <w:bCs/>
          <w:iCs/>
          <w:sz w:val="22"/>
          <w:szCs w:val="22"/>
          <w:lang w:val="en-GB"/>
        </w:rPr>
      </w:pPr>
      <w:r w:rsidRPr="000A63A1">
        <w:rPr>
          <w:rFonts w:ascii="Arial" w:hAnsi="Arial" w:cs="Arial"/>
          <w:bCs/>
          <w:iCs/>
          <w:sz w:val="22"/>
          <w:szCs w:val="22"/>
          <w:lang w:val="en-GB"/>
        </w:rPr>
        <w:t xml:space="preserve">Titre original : Workshop on policy </w:t>
      </w:r>
      <w:r>
        <w:rPr>
          <w:rFonts w:ascii="Arial" w:hAnsi="Arial" w:cs="Arial"/>
          <w:bCs/>
          <w:iCs/>
          <w:sz w:val="22"/>
          <w:szCs w:val="22"/>
          <w:lang w:val="en-GB"/>
        </w:rPr>
        <w:t>development</w:t>
      </w:r>
      <w:r w:rsidRPr="000A63A1">
        <w:rPr>
          <w:rFonts w:ascii="Arial" w:hAnsi="Arial" w:cs="Arial"/>
          <w:bCs/>
          <w:iCs/>
          <w:sz w:val="22"/>
          <w:szCs w:val="22"/>
          <w:lang w:val="en-GB"/>
        </w:rPr>
        <w:t xml:space="preserve"> for intangible cultural heritage safeguarding</w:t>
      </w:r>
    </w:p>
    <w:p w:rsidR="00F315A3" w:rsidRPr="000A63A1" w:rsidRDefault="00F315A3" w:rsidP="00F315A3">
      <w:pPr>
        <w:pStyle w:val="BodyText"/>
        <w:jc w:val="left"/>
        <w:rPr>
          <w:rFonts w:ascii="Arial" w:hAnsi="Arial" w:cs="Arial"/>
          <w:sz w:val="22"/>
          <w:szCs w:val="22"/>
          <w:lang w:val="fr-FR"/>
        </w:rPr>
      </w:pPr>
      <w:r w:rsidRPr="000A63A1">
        <w:rPr>
          <w:rFonts w:ascii="Arial" w:hAnsi="Arial" w:cs="Arial"/>
          <w:sz w:val="22"/>
          <w:szCs w:val="22"/>
          <w:lang w:val="fr-FR"/>
        </w:rPr>
        <w:t xml:space="preserve">Publié en </w:t>
      </w:r>
      <w:r w:rsidR="00EB49FB">
        <w:rPr>
          <w:rFonts w:ascii="Arial" w:hAnsi="Arial" w:cs="Arial"/>
          <w:sz w:val="22"/>
          <w:szCs w:val="22"/>
          <w:lang w:val="fr-FR"/>
        </w:rPr>
        <w:t>2016</w:t>
      </w:r>
      <w:r w:rsidRPr="000A63A1">
        <w:rPr>
          <w:rFonts w:ascii="Arial" w:hAnsi="Arial" w:cs="Arial"/>
          <w:sz w:val="22"/>
          <w:szCs w:val="22"/>
          <w:lang w:val="fr-FR"/>
        </w:rPr>
        <w:t xml:space="preserve"> par l’Organisation des Nations Unies pour l’éducation, la science et la culture </w:t>
      </w:r>
    </w:p>
    <w:p w:rsidR="00F315A3" w:rsidRPr="000A63A1" w:rsidRDefault="00F315A3" w:rsidP="00F315A3">
      <w:pPr>
        <w:pStyle w:val="BodyText"/>
        <w:jc w:val="left"/>
        <w:rPr>
          <w:rFonts w:ascii="Arial" w:hAnsi="Arial" w:cs="Arial"/>
          <w:bCs/>
          <w:iCs/>
          <w:sz w:val="22"/>
          <w:szCs w:val="22"/>
          <w:lang w:val="fr-FR"/>
        </w:rPr>
      </w:pPr>
    </w:p>
    <w:p w:rsidR="00F315A3" w:rsidRPr="000A63A1" w:rsidRDefault="00F315A3" w:rsidP="00F315A3">
      <w:pPr>
        <w:pStyle w:val="BodyText"/>
        <w:jc w:val="left"/>
        <w:rPr>
          <w:rFonts w:ascii="Arial" w:hAnsi="Arial" w:cs="Arial"/>
          <w:bCs/>
          <w:iCs/>
          <w:sz w:val="22"/>
          <w:szCs w:val="22"/>
          <w:lang w:val="fr-FR"/>
        </w:rPr>
      </w:pPr>
      <w:r w:rsidRPr="000A63A1">
        <w:rPr>
          <w:rFonts w:ascii="Arial" w:hAnsi="Arial" w:cs="Arial"/>
          <w:bCs/>
          <w:iCs/>
          <w:sz w:val="22"/>
          <w:szCs w:val="22"/>
          <w:lang w:val="fr-FR"/>
        </w:rPr>
        <w:t>Les désignations employées dans cette publication et la présentation des données qui y figurent n’impliquent de la part de l’UNESCO aucune prise de position quant au statut juridique des pays, territoires, villes ou zones, ou de leurs autorités, ni quant au tracé de leurs frontières ou limites.</w:t>
      </w:r>
    </w:p>
    <w:p w:rsidR="00F315A3" w:rsidRPr="000A63A1" w:rsidRDefault="00F315A3" w:rsidP="00F315A3">
      <w:pPr>
        <w:pStyle w:val="BodyText"/>
        <w:jc w:val="left"/>
        <w:rPr>
          <w:rFonts w:ascii="Arial" w:hAnsi="Arial" w:cs="Arial"/>
          <w:bCs/>
          <w:iCs/>
          <w:sz w:val="22"/>
          <w:szCs w:val="22"/>
          <w:lang w:val="fr-FR"/>
        </w:rPr>
      </w:pPr>
    </w:p>
    <w:p w:rsidR="00F315A3" w:rsidRPr="00F315A3" w:rsidRDefault="00F315A3" w:rsidP="00F315A3">
      <w:pPr>
        <w:pStyle w:val="BodyText"/>
        <w:jc w:val="left"/>
        <w:rPr>
          <w:rFonts w:ascii="Arial" w:hAnsi="Arial" w:cs="Arial"/>
          <w:bCs/>
          <w:iCs/>
          <w:sz w:val="22"/>
          <w:szCs w:val="22"/>
          <w:lang w:val="fr-FR"/>
        </w:rPr>
      </w:pPr>
      <w:r w:rsidRPr="000A63A1">
        <w:rPr>
          <w:rFonts w:ascii="Arial" w:hAnsi="Arial" w:cs="Arial"/>
          <w:bCs/>
          <w:iCs/>
          <w:sz w:val="22"/>
          <w:szCs w:val="22"/>
          <w:lang w:val="fr-FR"/>
        </w:rPr>
        <w:t>Les idées et les opinions exprimées dans cette publication sont celles des auteurs ; elles ne reflètent pas nécessairement les points de vue de l’UNESCO et n’engagent en aucune façon l’Organisation.</w:t>
      </w:r>
    </w:p>
    <w:p w:rsidR="0099233C" w:rsidRPr="00857FF3" w:rsidRDefault="00F315A3" w:rsidP="00857FF3">
      <w:pPr>
        <w:pStyle w:val="UPlan"/>
        <w:rPr>
          <w:lang w:val="fr-FR"/>
        </w:rPr>
      </w:pPr>
      <w:r>
        <w:rPr>
          <w:lang w:val="fr-FR"/>
        </w:rPr>
        <w:br w:type="page"/>
      </w:r>
    </w:p>
    <w:p w:rsidR="009A29B6" w:rsidRPr="00E543A4" w:rsidRDefault="001E7F31" w:rsidP="009A29B6">
      <w:pPr>
        <w:pStyle w:val="Titcoul"/>
        <w:rPr>
          <w:kern w:val="0"/>
          <w:lang w:val="fr-FR"/>
        </w:rPr>
      </w:pPr>
      <w:r>
        <w:rPr>
          <w:lang w:val="fr-FR"/>
        </w:rPr>
        <w:lastRenderedPageBreak/>
        <w:t>Exposé</w:t>
      </w:r>
      <w:r w:rsidR="009A29B6" w:rsidRPr="00E543A4">
        <w:rPr>
          <w:kern w:val="0"/>
          <w:lang w:val="fr-FR"/>
        </w:rPr>
        <w:t xml:space="preserve"> du facilitateur 4: une forme secrÈte de tapisserie est maintenant accessible au public (étude de cas 46)</w:t>
      </w:r>
    </w:p>
    <w:p w:rsidR="009A29B6" w:rsidRPr="00857FF3" w:rsidRDefault="009A29B6" w:rsidP="009A29B6">
      <w:pPr>
        <w:pStyle w:val="Texte1"/>
        <w:rPr>
          <w:sz w:val="22"/>
          <w:szCs w:val="22"/>
        </w:rPr>
      </w:pPr>
      <w:r w:rsidRPr="00857FF3">
        <w:rPr>
          <w:sz w:val="22"/>
          <w:szCs w:val="22"/>
        </w:rPr>
        <w:t>Cette étude de cas peut être utilisée afin d’entamer un débat</w:t>
      </w:r>
      <w:r w:rsidR="003906DC" w:rsidRPr="00857FF3">
        <w:rPr>
          <w:sz w:val="22"/>
          <w:szCs w:val="22"/>
        </w:rPr>
        <w:t xml:space="preserve"> sur les thèmes suivants</w:t>
      </w:r>
      <w:r w:rsidRPr="00857FF3">
        <w:rPr>
          <w:sz w:val="22"/>
          <w:szCs w:val="22"/>
        </w:rPr>
        <w:t>:</w:t>
      </w:r>
    </w:p>
    <w:p w:rsidR="009A29B6" w:rsidRPr="00857FF3" w:rsidRDefault="009A29B6" w:rsidP="009A29B6">
      <w:pPr>
        <w:pStyle w:val="Texte1"/>
        <w:numPr>
          <w:ilvl w:val="0"/>
          <w:numId w:val="6"/>
        </w:numPr>
        <w:rPr>
          <w:sz w:val="22"/>
          <w:szCs w:val="22"/>
        </w:rPr>
      </w:pPr>
      <w:r w:rsidRPr="00857FF3">
        <w:rPr>
          <w:sz w:val="22"/>
          <w:szCs w:val="22"/>
        </w:rPr>
        <w:t>Le lien entre droit et éthique;</w:t>
      </w:r>
    </w:p>
    <w:p w:rsidR="009A29B6" w:rsidRPr="00857FF3" w:rsidRDefault="009A29B6" w:rsidP="009A29B6">
      <w:pPr>
        <w:pStyle w:val="Texte1"/>
        <w:numPr>
          <w:ilvl w:val="0"/>
          <w:numId w:val="6"/>
        </w:numPr>
        <w:rPr>
          <w:sz w:val="22"/>
          <w:szCs w:val="22"/>
        </w:rPr>
      </w:pPr>
      <w:r w:rsidRPr="00857FF3">
        <w:rPr>
          <w:sz w:val="22"/>
          <w:szCs w:val="22"/>
        </w:rPr>
        <w:t>Les possibilités et limites de la protection des droits intellectuels traditionnels dans la protection du PCI ou des expressions culturelles, (raison pour laquelle des régimes de protection de la propriété intellectuelle sui generis sont parfois mis en œuvre); et</w:t>
      </w:r>
    </w:p>
    <w:p w:rsidR="009A29B6" w:rsidRPr="00857FF3" w:rsidRDefault="009A29B6" w:rsidP="009A29B6">
      <w:pPr>
        <w:pStyle w:val="Texte1"/>
        <w:numPr>
          <w:ilvl w:val="0"/>
          <w:numId w:val="6"/>
        </w:numPr>
        <w:rPr>
          <w:sz w:val="22"/>
          <w:szCs w:val="22"/>
        </w:rPr>
      </w:pPr>
      <w:r w:rsidRPr="00857FF3">
        <w:rPr>
          <w:sz w:val="22"/>
          <w:szCs w:val="22"/>
        </w:rPr>
        <w:t xml:space="preserve">À défaut de régimes de propriété intellectuelle sui generis, de </w:t>
      </w:r>
      <w:r w:rsidR="00232B94" w:rsidRPr="00857FF3">
        <w:rPr>
          <w:sz w:val="22"/>
          <w:szCs w:val="22"/>
        </w:rPr>
        <w:t>moyens d’</w:t>
      </w:r>
      <w:r w:rsidRPr="00857FF3">
        <w:rPr>
          <w:sz w:val="22"/>
          <w:szCs w:val="22"/>
        </w:rPr>
        <w:t xml:space="preserve">utiliser des contrats, de directives éthiques, et  de régimes de droits moraux </w:t>
      </w:r>
      <w:r w:rsidR="00232B94" w:rsidRPr="00857FF3">
        <w:rPr>
          <w:sz w:val="22"/>
          <w:szCs w:val="22"/>
        </w:rPr>
        <w:t xml:space="preserve">permettant </w:t>
      </w:r>
      <w:r w:rsidRPr="00857FF3">
        <w:rPr>
          <w:sz w:val="22"/>
          <w:szCs w:val="22"/>
        </w:rPr>
        <w:t>la sauvegarde du PCI.</w:t>
      </w:r>
    </w:p>
    <w:p w:rsidR="009A29B6" w:rsidRPr="00857FF3" w:rsidRDefault="009A29B6" w:rsidP="009A29B6">
      <w:pPr>
        <w:pStyle w:val="Heading4"/>
        <w:tabs>
          <w:tab w:val="clear" w:pos="567"/>
        </w:tabs>
        <w:snapToGrid/>
        <w:spacing w:before="360" w:after="120" w:line="300" w:lineRule="exact"/>
        <w:jc w:val="left"/>
        <w:rPr>
          <w:rFonts w:ascii="Arial" w:eastAsia="SimSun" w:hAnsi="Arial" w:cs="Times New Roman"/>
          <w:b/>
          <w:bCs/>
          <w:snapToGrid/>
          <w:sz w:val="20"/>
          <w:lang w:val="fr-FR" w:eastAsia="en-US"/>
        </w:rPr>
      </w:pPr>
      <w:r w:rsidRPr="00857FF3">
        <w:rPr>
          <w:rFonts w:ascii="Arial" w:eastAsia="SimSun" w:hAnsi="Arial" w:cs="Times New Roman"/>
          <w:b/>
          <w:bCs/>
          <w:snapToGrid/>
          <w:sz w:val="20"/>
          <w:lang w:val="fr-FR" w:eastAsia="en-US"/>
        </w:rPr>
        <w:t>Qui détient les droits de l’oeuvre: les artistes ou la communauté?</w:t>
      </w:r>
    </w:p>
    <w:p w:rsidR="009A29B6" w:rsidRDefault="009A29B6" w:rsidP="00857FF3">
      <w:pPr>
        <w:spacing w:line="276" w:lineRule="auto"/>
        <w:ind w:left="567"/>
        <w:rPr>
          <w:sz w:val="20"/>
          <w:szCs w:val="20"/>
          <w:lang w:val="fr-FR"/>
        </w:rPr>
      </w:pPr>
      <w:r w:rsidRPr="00857FF3">
        <w:rPr>
          <w:sz w:val="20"/>
          <w:szCs w:val="20"/>
          <w:lang w:val="fr-FR"/>
        </w:rPr>
        <w:t xml:space="preserve">Les participants aux ateliers devraient être à </w:t>
      </w:r>
      <w:r w:rsidR="00F7204A" w:rsidRPr="00857FF3">
        <w:rPr>
          <w:sz w:val="20"/>
          <w:szCs w:val="20"/>
          <w:lang w:val="fr-FR"/>
        </w:rPr>
        <w:t>même de comprendre</w:t>
      </w:r>
      <w:r w:rsidR="003749AE" w:rsidRPr="00857FF3">
        <w:rPr>
          <w:sz w:val="20"/>
          <w:szCs w:val="20"/>
          <w:lang w:val="fr-FR"/>
        </w:rPr>
        <w:t xml:space="preserve"> que, étant donné</w:t>
      </w:r>
      <w:r w:rsidRPr="00857FF3">
        <w:rPr>
          <w:sz w:val="20"/>
          <w:szCs w:val="20"/>
          <w:lang w:val="fr-FR"/>
        </w:rPr>
        <w:t xml:space="preserve"> que chaque tapisserie réinterprète les motifs traditionnels, les trois femmes à l’origine</w:t>
      </w:r>
      <w:r w:rsidR="00F7204A" w:rsidRPr="00857FF3">
        <w:rPr>
          <w:sz w:val="20"/>
          <w:szCs w:val="20"/>
          <w:lang w:val="fr-FR"/>
        </w:rPr>
        <w:t>, il y a plusieurs années,</w:t>
      </w:r>
      <w:r w:rsidRPr="00857FF3">
        <w:rPr>
          <w:sz w:val="20"/>
          <w:szCs w:val="20"/>
          <w:lang w:val="fr-FR"/>
        </w:rPr>
        <w:t xml:space="preserve"> de cet art </w:t>
      </w:r>
      <w:r w:rsidR="003749AE" w:rsidRPr="00857FF3">
        <w:rPr>
          <w:sz w:val="20"/>
          <w:szCs w:val="20"/>
          <w:lang w:val="fr-FR"/>
        </w:rPr>
        <w:t xml:space="preserve">en </w:t>
      </w:r>
      <w:r w:rsidRPr="00857FF3">
        <w:rPr>
          <w:sz w:val="20"/>
          <w:szCs w:val="20"/>
          <w:lang w:val="fr-FR"/>
        </w:rPr>
        <w:t xml:space="preserve">détiendraient toutes </w:t>
      </w:r>
      <w:r w:rsidR="009E1E7F" w:rsidRPr="00857FF3">
        <w:rPr>
          <w:sz w:val="20"/>
          <w:szCs w:val="20"/>
          <w:lang w:val="fr-FR"/>
        </w:rPr>
        <w:t>l</w:t>
      </w:r>
      <w:r w:rsidRPr="00857FF3">
        <w:rPr>
          <w:sz w:val="20"/>
          <w:szCs w:val="20"/>
          <w:lang w:val="fr-FR"/>
        </w:rPr>
        <w:t>es droits</w:t>
      </w:r>
      <w:r w:rsidR="00F7204A" w:rsidRPr="00857FF3">
        <w:rPr>
          <w:sz w:val="20"/>
          <w:szCs w:val="20"/>
          <w:lang w:val="fr-FR"/>
        </w:rPr>
        <w:t xml:space="preserve"> d’auteur, ou d</w:t>
      </w:r>
      <w:r w:rsidRPr="00857FF3">
        <w:rPr>
          <w:sz w:val="20"/>
          <w:szCs w:val="20"/>
          <w:lang w:val="fr-FR"/>
        </w:rPr>
        <w:t>u moins pour l’aspect original des motifs. (Les aspects d’un motif ayant été exactement copié</w:t>
      </w:r>
      <w:r w:rsidR="00F7204A" w:rsidRPr="00857FF3">
        <w:rPr>
          <w:sz w:val="20"/>
          <w:szCs w:val="20"/>
          <w:lang w:val="fr-FR"/>
        </w:rPr>
        <w:t>s</w:t>
      </w:r>
      <w:r w:rsidRPr="00857FF3">
        <w:rPr>
          <w:sz w:val="20"/>
          <w:szCs w:val="20"/>
          <w:lang w:val="fr-FR"/>
        </w:rPr>
        <w:t xml:space="preserve"> d’une autre </w:t>
      </w:r>
      <w:r w:rsidR="00E543A4" w:rsidRPr="00E543A4">
        <w:rPr>
          <w:sz w:val="20"/>
          <w:szCs w:val="20"/>
          <w:lang w:val="fr-FR"/>
        </w:rPr>
        <w:t>œuvre</w:t>
      </w:r>
      <w:r w:rsidR="00232B94">
        <w:rPr>
          <w:sz w:val="20"/>
          <w:szCs w:val="20"/>
          <w:lang w:val="fr-FR"/>
        </w:rPr>
        <w:t xml:space="preserve"> ne sont toutefois pas protégé</w:t>
      </w:r>
      <w:r w:rsidRPr="00857FF3">
        <w:rPr>
          <w:sz w:val="20"/>
          <w:szCs w:val="20"/>
          <w:lang w:val="fr-FR"/>
        </w:rPr>
        <w:t xml:space="preserve">s par </w:t>
      </w:r>
      <w:r w:rsidR="00F7204A" w:rsidRPr="00857FF3">
        <w:rPr>
          <w:sz w:val="20"/>
          <w:szCs w:val="20"/>
          <w:lang w:val="fr-FR"/>
        </w:rPr>
        <w:t>d</w:t>
      </w:r>
      <w:r w:rsidRPr="00857FF3">
        <w:rPr>
          <w:sz w:val="20"/>
          <w:szCs w:val="20"/>
          <w:lang w:val="fr-FR"/>
        </w:rPr>
        <w:t>es droits d’auteur</w:t>
      </w:r>
      <w:r w:rsidR="00F7204A" w:rsidRPr="00857FF3">
        <w:rPr>
          <w:sz w:val="20"/>
          <w:szCs w:val="20"/>
          <w:lang w:val="fr-FR"/>
        </w:rPr>
        <w:t>.</w:t>
      </w:r>
      <w:r w:rsidR="00E543A4">
        <w:rPr>
          <w:sz w:val="20"/>
          <w:szCs w:val="20"/>
          <w:lang w:val="fr-FR"/>
        </w:rPr>
        <w:t xml:space="preserve"> Cela signifie que la copie faite par l’artiste n’est pas une œuvre originale, sauf pour le titre).</w:t>
      </w:r>
    </w:p>
    <w:p w:rsidR="00620021" w:rsidRDefault="004A7C49" w:rsidP="00857FF3">
      <w:pPr>
        <w:spacing w:line="276" w:lineRule="auto"/>
        <w:ind w:left="567"/>
        <w:rPr>
          <w:sz w:val="20"/>
          <w:szCs w:val="20"/>
          <w:lang w:val="fr-FR"/>
        </w:rPr>
      </w:pPr>
      <w:r>
        <w:rPr>
          <w:sz w:val="20"/>
          <w:szCs w:val="20"/>
          <w:lang w:val="fr-FR"/>
        </w:rPr>
        <w:t>Lorsqu’un auteur meurt, ses héritiers en hériteront les droits d’auteurs pour le reste de leur durée. Les droits d’auteurs peuvent également être cédés à des tierces personnes, et/ou les droits conférés par ces droits d’auteurs seront concédés ou octroyés aux parties tierc</w:t>
      </w:r>
      <w:r w:rsidR="00232B94">
        <w:rPr>
          <w:sz w:val="20"/>
          <w:szCs w:val="20"/>
          <w:lang w:val="fr-FR"/>
        </w:rPr>
        <w:t xml:space="preserve">es par contrat. </w:t>
      </w:r>
      <w:r>
        <w:rPr>
          <w:sz w:val="20"/>
          <w:szCs w:val="20"/>
          <w:lang w:val="fr-FR"/>
        </w:rPr>
        <w:t>L’ensemble de la communauté bobi</w:t>
      </w:r>
      <w:r w:rsidR="008450A2">
        <w:rPr>
          <w:sz w:val="20"/>
          <w:szCs w:val="20"/>
          <w:lang w:val="fr-FR"/>
        </w:rPr>
        <w:t>ni</w:t>
      </w:r>
      <w:r>
        <w:rPr>
          <w:sz w:val="20"/>
          <w:szCs w:val="20"/>
          <w:lang w:val="fr-FR"/>
        </w:rPr>
        <w:t xml:space="preserve">enne ne se serait pas vu accorder de droits de propriété intellectuelle </w:t>
      </w:r>
      <w:r w:rsidR="00B856E5">
        <w:rPr>
          <w:sz w:val="20"/>
          <w:szCs w:val="20"/>
          <w:lang w:val="fr-FR"/>
        </w:rPr>
        <w:t>pour l’œuvre, sauf si les trois femmes avaient, par exemple, octroyé les droits d’auteur à une organisation communautaire, ce qui n’est pas mentionné dans les faits. Dans tous les cas, les droits d’auteurs de l’œuvre ont à présent expiré car les trois femmes sont décédées il y a plus de 50 ans.</w:t>
      </w:r>
    </w:p>
    <w:p w:rsidR="00B37B54" w:rsidRPr="00857FF3" w:rsidRDefault="00620021" w:rsidP="00857FF3">
      <w:pPr>
        <w:spacing w:line="276" w:lineRule="auto"/>
        <w:ind w:left="567"/>
        <w:rPr>
          <w:sz w:val="20"/>
          <w:szCs w:val="20"/>
          <w:lang w:val="fr-FR"/>
        </w:rPr>
      </w:pPr>
      <w:r>
        <w:rPr>
          <w:sz w:val="20"/>
          <w:szCs w:val="20"/>
          <w:lang w:val="fr-FR"/>
        </w:rPr>
        <w:t>L’œuvre fait donc partie, du point de vue des droits de propriété intellectuelle</w:t>
      </w:r>
      <w:r w:rsidR="00905088">
        <w:rPr>
          <w:sz w:val="20"/>
          <w:szCs w:val="20"/>
          <w:lang w:val="fr-FR"/>
        </w:rPr>
        <w:t xml:space="preserve"> et en vertu du droit bobinien</w:t>
      </w:r>
      <w:r>
        <w:rPr>
          <w:sz w:val="20"/>
          <w:szCs w:val="20"/>
          <w:lang w:val="fr-FR"/>
        </w:rPr>
        <w:t>, du domaine public, et peut</w:t>
      </w:r>
      <w:r w:rsidR="00905088">
        <w:rPr>
          <w:sz w:val="20"/>
          <w:szCs w:val="20"/>
          <w:lang w:val="fr-FR"/>
        </w:rPr>
        <w:t xml:space="preserve"> donc</w:t>
      </w:r>
      <w:r>
        <w:rPr>
          <w:sz w:val="20"/>
          <w:szCs w:val="20"/>
          <w:lang w:val="fr-FR"/>
        </w:rPr>
        <w:t xml:space="preserve"> être utilisée librement par tous</w:t>
      </w:r>
      <w:r w:rsidR="00673CD3">
        <w:rPr>
          <w:sz w:val="20"/>
          <w:szCs w:val="20"/>
          <w:lang w:val="fr-FR"/>
        </w:rPr>
        <w:t xml:space="preserve"> à condition que</w:t>
      </w:r>
      <w:r>
        <w:rPr>
          <w:sz w:val="20"/>
          <w:szCs w:val="20"/>
          <w:lang w:val="fr-FR"/>
        </w:rPr>
        <w:t xml:space="preserve"> l’accès leur a</w:t>
      </w:r>
      <w:r w:rsidR="00673CD3">
        <w:rPr>
          <w:sz w:val="20"/>
          <w:szCs w:val="20"/>
          <w:lang w:val="fr-FR"/>
        </w:rPr>
        <w:t>it</w:t>
      </w:r>
      <w:r>
        <w:rPr>
          <w:sz w:val="20"/>
          <w:szCs w:val="20"/>
          <w:lang w:val="fr-FR"/>
        </w:rPr>
        <w:t xml:space="preserve"> été conféré.</w:t>
      </w:r>
      <w:r w:rsidR="00B856E5">
        <w:rPr>
          <w:sz w:val="20"/>
          <w:szCs w:val="20"/>
          <w:lang w:val="fr-FR"/>
        </w:rPr>
        <w:t xml:space="preserve"> </w:t>
      </w:r>
      <w:r w:rsidR="00CD6C1F">
        <w:rPr>
          <w:sz w:val="20"/>
          <w:szCs w:val="20"/>
          <w:lang w:val="fr-FR"/>
        </w:rPr>
        <w:t>Les participants peuvent débattre pour savoir si les œuvres traditionnelles devraient entrer dans le domaine public</w:t>
      </w:r>
      <w:r w:rsidR="007F7BEA">
        <w:rPr>
          <w:sz w:val="20"/>
          <w:szCs w:val="20"/>
          <w:lang w:val="fr-FR"/>
        </w:rPr>
        <w:t xml:space="preserve"> de la sorte</w:t>
      </w:r>
      <w:r w:rsidR="00CD6C1F">
        <w:rPr>
          <w:sz w:val="20"/>
          <w:szCs w:val="20"/>
          <w:lang w:val="fr-FR"/>
        </w:rPr>
        <w:t>, ou si les communautés devraient obtenir certains droits afin de protéger ces œuvres.</w:t>
      </w:r>
      <w:r w:rsidR="00EF0F1B">
        <w:rPr>
          <w:sz w:val="20"/>
          <w:szCs w:val="20"/>
          <w:lang w:val="fr-FR"/>
        </w:rPr>
        <w:t xml:space="preserve"> Les facilitateurs peuvent utiliser les projets d’articles </w:t>
      </w:r>
      <w:r w:rsidR="00AF3156">
        <w:rPr>
          <w:sz w:val="20"/>
          <w:szCs w:val="20"/>
          <w:lang w:val="fr-FR"/>
        </w:rPr>
        <w:t>sur les expressions culturelles afin d’expliquer comment des régimes sui generis</w:t>
      </w:r>
      <w:r w:rsidR="00EF0F1B">
        <w:rPr>
          <w:sz w:val="20"/>
          <w:szCs w:val="20"/>
          <w:lang w:val="fr-FR"/>
        </w:rPr>
        <w:t xml:space="preserve"> </w:t>
      </w:r>
      <w:r w:rsidR="00AF3156">
        <w:rPr>
          <w:sz w:val="20"/>
          <w:szCs w:val="20"/>
          <w:lang w:val="fr-FR"/>
        </w:rPr>
        <w:t>pour la protection de la propriété intellectuelle pourrait réclamer efficacement certaines œuvres du domaine public.</w:t>
      </w:r>
    </w:p>
    <w:p w:rsidR="00B37B54" w:rsidRPr="00857FF3" w:rsidRDefault="00D01E42" w:rsidP="00857FF3">
      <w:pPr>
        <w:pStyle w:val="Heading3"/>
        <w:spacing w:line="276" w:lineRule="auto"/>
        <w:rPr>
          <w:sz w:val="20"/>
          <w:szCs w:val="20"/>
          <w:lang w:val="fr-FR"/>
        </w:rPr>
      </w:pPr>
      <w:r>
        <w:rPr>
          <w:sz w:val="20"/>
          <w:szCs w:val="20"/>
          <w:lang w:val="fr-FR"/>
        </w:rPr>
        <w:t xml:space="preserve">droit et </w:t>
      </w:r>
      <w:r>
        <w:rPr>
          <w:rFonts w:cs="Arial"/>
          <w:sz w:val="20"/>
          <w:szCs w:val="20"/>
          <w:lang w:val="fr-FR"/>
        </w:rPr>
        <w:t>É</w:t>
      </w:r>
      <w:r w:rsidR="00C020C9" w:rsidRPr="00857FF3">
        <w:rPr>
          <w:sz w:val="20"/>
          <w:szCs w:val="20"/>
          <w:lang w:val="fr-FR"/>
        </w:rPr>
        <w:t>thique</w:t>
      </w:r>
      <w:r w:rsidR="00B37B54" w:rsidRPr="00857FF3">
        <w:rPr>
          <w:sz w:val="20"/>
          <w:szCs w:val="20"/>
          <w:lang w:val="fr-FR"/>
        </w:rPr>
        <w:t>:</w:t>
      </w:r>
      <w:r w:rsidR="00C020C9" w:rsidRPr="00857FF3">
        <w:rPr>
          <w:sz w:val="20"/>
          <w:szCs w:val="20"/>
          <w:lang w:val="fr-FR"/>
        </w:rPr>
        <w:t xml:space="preserve"> </w:t>
      </w:r>
      <w:r w:rsidR="00232B94">
        <w:rPr>
          <w:sz w:val="20"/>
          <w:szCs w:val="20"/>
          <w:lang w:val="fr-FR"/>
        </w:rPr>
        <w:t xml:space="preserve">où </w:t>
      </w:r>
      <w:r w:rsidR="00C020C9">
        <w:rPr>
          <w:sz w:val="20"/>
          <w:szCs w:val="20"/>
          <w:lang w:val="fr-FR"/>
        </w:rPr>
        <w:t>les mus</w:t>
      </w:r>
      <w:r w:rsidR="00C020C9">
        <w:rPr>
          <w:rFonts w:cs="Arial"/>
          <w:sz w:val="20"/>
          <w:szCs w:val="20"/>
          <w:lang w:val="fr-FR"/>
        </w:rPr>
        <w:t>É</w:t>
      </w:r>
      <w:r w:rsidR="00232B94">
        <w:rPr>
          <w:sz w:val="20"/>
          <w:szCs w:val="20"/>
          <w:lang w:val="fr-FR"/>
        </w:rPr>
        <w:t>es ont-ils commis une erreur</w:t>
      </w:r>
      <w:r w:rsidR="00B37B54" w:rsidRPr="00857FF3">
        <w:rPr>
          <w:sz w:val="20"/>
          <w:szCs w:val="20"/>
          <w:lang w:val="fr-FR"/>
        </w:rPr>
        <w:t>?</w:t>
      </w:r>
    </w:p>
    <w:p w:rsidR="00C15076" w:rsidRDefault="00C15076" w:rsidP="00857FF3">
      <w:pPr>
        <w:spacing w:line="276" w:lineRule="auto"/>
        <w:ind w:left="567"/>
        <w:rPr>
          <w:sz w:val="20"/>
          <w:szCs w:val="20"/>
          <w:lang w:val="fr-FR"/>
        </w:rPr>
      </w:pPr>
      <w:r w:rsidRPr="00857FF3">
        <w:rPr>
          <w:sz w:val="20"/>
          <w:szCs w:val="20"/>
          <w:lang w:val="fr-FR"/>
        </w:rPr>
        <w:t>Le simple fait de disposer d’</w:t>
      </w:r>
      <w:r>
        <w:rPr>
          <w:sz w:val="20"/>
          <w:szCs w:val="20"/>
          <w:lang w:val="fr-FR"/>
        </w:rPr>
        <w:t>une œuvre ne confère aucunement le droit à une institution, si l’œuvre est toujours protégée par des droits</w:t>
      </w:r>
      <w:r w:rsidR="00D272D0">
        <w:rPr>
          <w:sz w:val="20"/>
          <w:szCs w:val="20"/>
          <w:lang w:val="fr-FR"/>
        </w:rPr>
        <w:t xml:space="preserve"> d’auteur</w:t>
      </w:r>
      <w:r>
        <w:rPr>
          <w:sz w:val="20"/>
          <w:szCs w:val="20"/>
          <w:lang w:val="fr-FR"/>
        </w:rPr>
        <w:t xml:space="preserve"> et que l’institution n’en détient pas les droits d’</w:t>
      </w:r>
      <w:r w:rsidR="00D272D0">
        <w:rPr>
          <w:sz w:val="20"/>
          <w:szCs w:val="20"/>
          <w:lang w:val="fr-FR"/>
        </w:rPr>
        <w:t xml:space="preserve">auteurs ou </w:t>
      </w:r>
      <w:r>
        <w:rPr>
          <w:sz w:val="20"/>
          <w:szCs w:val="20"/>
          <w:lang w:val="fr-FR"/>
        </w:rPr>
        <w:t xml:space="preserve"> l’accord de l’auteur,</w:t>
      </w:r>
      <w:r w:rsidR="00D272D0">
        <w:rPr>
          <w:sz w:val="20"/>
          <w:szCs w:val="20"/>
          <w:lang w:val="fr-FR"/>
        </w:rPr>
        <w:t xml:space="preserve"> de</w:t>
      </w:r>
      <w:r>
        <w:rPr>
          <w:sz w:val="20"/>
          <w:szCs w:val="20"/>
          <w:lang w:val="fr-FR"/>
        </w:rPr>
        <w:t xml:space="preserve"> la rendre publique.</w:t>
      </w:r>
      <w:r w:rsidR="00183ACE">
        <w:rPr>
          <w:sz w:val="20"/>
          <w:szCs w:val="20"/>
          <w:lang w:val="fr-FR"/>
        </w:rPr>
        <w:t xml:space="preserve"> Même si l’œuvre n’est plus protégée par le droit d’auteurs, d’autres facteurs sont à tenir en compte avant de la rendre publique. Un code déontologique peut aider les musées à trancher dans de telles situations.</w:t>
      </w:r>
    </w:p>
    <w:p w:rsidR="00C15076" w:rsidRPr="00857FF3" w:rsidRDefault="008146B6" w:rsidP="00857FF3">
      <w:pPr>
        <w:spacing w:line="276" w:lineRule="auto"/>
        <w:ind w:left="567"/>
        <w:rPr>
          <w:sz w:val="20"/>
          <w:szCs w:val="20"/>
          <w:lang w:val="fr-FR"/>
        </w:rPr>
      </w:pPr>
      <w:r>
        <w:rPr>
          <w:sz w:val="20"/>
          <w:szCs w:val="20"/>
          <w:lang w:val="fr-FR"/>
        </w:rPr>
        <w:lastRenderedPageBreak/>
        <w:t xml:space="preserve">Rendre publique la tapisserie pourrait avoir un impact négatif sur la pratique du PCI liée à la tapisserie, notamment le festival de printemps, et nuire </w:t>
      </w:r>
      <w:r w:rsidR="00CC25F9">
        <w:rPr>
          <w:sz w:val="20"/>
          <w:szCs w:val="20"/>
          <w:lang w:val="fr-FR"/>
        </w:rPr>
        <w:t xml:space="preserve">aux liens </w:t>
      </w:r>
      <w:r>
        <w:rPr>
          <w:sz w:val="20"/>
          <w:szCs w:val="20"/>
          <w:lang w:val="fr-FR"/>
        </w:rPr>
        <w:t>qu’entretiennent les Bobiniens avec</w:t>
      </w:r>
      <w:r w:rsidR="00F720BB">
        <w:rPr>
          <w:sz w:val="20"/>
          <w:szCs w:val="20"/>
          <w:lang w:val="fr-FR"/>
        </w:rPr>
        <w:t xml:space="preserve"> le musée</w:t>
      </w:r>
      <w:r>
        <w:rPr>
          <w:sz w:val="20"/>
          <w:szCs w:val="20"/>
          <w:lang w:val="fr-FR"/>
        </w:rPr>
        <w:t>.</w:t>
      </w:r>
      <w:r w:rsidR="00D05B16">
        <w:rPr>
          <w:sz w:val="20"/>
          <w:szCs w:val="20"/>
          <w:lang w:val="fr-FR"/>
        </w:rPr>
        <w:t xml:space="preserve"> Au fond</w:t>
      </w:r>
      <w:r w:rsidR="00716E93">
        <w:rPr>
          <w:sz w:val="20"/>
          <w:szCs w:val="20"/>
          <w:lang w:val="fr-FR"/>
        </w:rPr>
        <w:t>,</w:t>
      </w:r>
      <w:r w:rsidR="005A33A5">
        <w:rPr>
          <w:sz w:val="20"/>
          <w:szCs w:val="20"/>
          <w:lang w:val="fr-FR"/>
        </w:rPr>
        <w:t xml:space="preserve"> </w:t>
      </w:r>
      <w:r w:rsidR="002A3C82">
        <w:rPr>
          <w:sz w:val="20"/>
          <w:szCs w:val="20"/>
          <w:lang w:val="fr-FR"/>
        </w:rPr>
        <w:t xml:space="preserve">c’est </w:t>
      </w:r>
      <w:r w:rsidR="00D05B16">
        <w:rPr>
          <w:sz w:val="20"/>
          <w:szCs w:val="20"/>
          <w:lang w:val="fr-FR"/>
        </w:rPr>
        <w:t xml:space="preserve">avant tout </w:t>
      </w:r>
      <w:r w:rsidR="002A3C82">
        <w:rPr>
          <w:sz w:val="20"/>
          <w:szCs w:val="20"/>
          <w:lang w:val="fr-FR"/>
        </w:rPr>
        <w:t>grâce à la relation de confiance entre les Bobiniens et l’anthropologue du musée que la tapisserie</w:t>
      </w:r>
      <w:r w:rsidR="00D05B16">
        <w:rPr>
          <w:sz w:val="20"/>
          <w:szCs w:val="20"/>
          <w:lang w:val="fr-FR"/>
        </w:rPr>
        <w:t xml:space="preserve"> a pu  être exposée</w:t>
      </w:r>
      <w:r w:rsidR="002A3C82">
        <w:rPr>
          <w:sz w:val="20"/>
          <w:szCs w:val="20"/>
          <w:lang w:val="fr-FR"/>
        </w:rPr>
        <w:t>.</w:t>
      </w:r>
      <w:r>
        <w:rPr>
          <w:sz w:val="20"/>
          <w:szCs w:val="20"/>
          <w:lang w:val="fr-FR"/>
        </w:rPr>
        <w:t xml:space="preserve"> </w:t>
      </w:r>
      <w:r w:rsidR="00D05B16">
        <w:rPr>
          <w:sz w:val="20"/>
          <w:szCs w:val="20"/>
          <w:lang w:val="fr-FR"/>
        </w:rPr>
        <w:t>Même si la tapisserie fait désormais partie du domaine public, connaissant la signification que revêt la tapisserie aux yeux de la communauté, le musée aurait dû, d’un point de vue déontologique, consulter la communauté</w:t>
      </w:r>
      <w:r w:rsidR="003063CF">
        <w:rPr>
          <w:sz w:val="20"/>
          <w:szCs w:val="20"/>
          <w:lang w:val="fr-FR"/>
        </w:rPr>
        <w:t xml:space="preserve"> et prendre en c</w:t>
      </w:r>
      <w:r w:rsidR="005A5768">
        <w:rPr>
          <w:sz w:val="20"/>
          <w:szCs w:val="20"/>
          <w:lang w:val="fr-FR"/>
        </w:rPr>
        <w:t>ompte son avis</w:t>
      </w:r>
      <w:r w:rsidR="003063CF">
        <w:rPr>
          <w:sz w:val="20"/>
          <w:szCs w:val="20"/>
          <w:lang w:val="fr-FR"/>
        </w:rPr>
        <w:t xml:space="preserve"> avant de la rendre accessible en ligne. </w:t>
      </w:r>
      <w:r w:rsidR="00C96F76">
        <w:rPr>
          <w:sz w:val="20"/>
          <w:szCs w:val="20"/>
          <w:lang w:val="fr-FR"/>
        </w:rPr>
        <w:t>D’un point de vue juridique, le musée est également lié à la communauté bobinenne par contrat (c.-à-d. qu’il doit conserver l’œuvre ma</w:t>
      </w:r>
      <w:r w:rsidR="00924F13">
        <w:rPr>
          <w:sz w:val="20"/>
          <w:szCs w:val="20"/>
          <w:lang w:val="fr-FR"/>
        </w:rPr>
        <w:t>is ne peut la rendre publique).</w:t>
      </w:r>
    </w:p>
    <w:p w:rsidR="00B37B54" w:rsidRPr="00857FF3" w:rsidRDefault="00B37B54" w:rsidP="00857FF3">
      <w:pPr>
        <w:pStyle w:val="Heading3"/>
        <w:spacing w:line="276" w:lineRule="auto"/>
        <w:rPr>
          <w:sz w:val="20"/>
          <w:szCs w:val="20"/>
          <w:lang w:val="fr-FR"/>
        </w:rPr>
      </w:pPr>
      <w:r w:rsidRPr="00857FF3">
        <w:rPr>
          <w:sz w:val="20"/>
          <w:szCs w:val="20"/>
          <w:lang w:val="fr-FR"/>
        </w:rPr>
        <w:t>R</w:t>
      </w:r>
      <w:r w:rsidR="00F270EB" w:rsidRPr="00857FF3">
        <w:rPr>
          <w:sz w:val="20"/>
          <w:szCs w:val="20"/>
          <w:lang w:val="fr-FR"/>
        </w:rPr>
        <w:t>éutilisation d’une oeuvre dans le domaine public</w:t>
      </w:r>
      <w:r w:rsidRPr="00857FF3">
        <w:rPr>
          <w:sz w:val="20"/>
          <w:szCs w:val="20"/>
          <w:lang w:val="fr-FR"/>
        </w:rPr>
        <w:t xml:space="preserve">: </w:t>
      </w:r>
      <w:r w:rsidR="00C96F76">
        <w:rPr>
          <w:sz w:val="20"/>
          <w:szCs w:val="20"/>
          <w:lang w:val="fr-FR"/>
        </w:rPr>
        <w:t xml:space="preserve">où </w:t>
      </w:r>
      <w:r w:rsidR="002D724D">
        <w:rPr>
          <w:sz w:val="20"/>
          <w:szCs w:val="20"/>
          <w:lang w:val="fr-FR"/>
        </w:rPr>
        <w:t>L’</w:t>
      </w:r>
      <w:r w:rsidRPr="00857FF3">
        <w:rPr>
          <w:sz w:val="20"/>
          <w:szCs w:val="20"/>
          <w:lang w:val="fr-FR"/>
        </w:rPr>
        <w:t>artist</w:t>
      </w:r>
      <w:r w:rsidR="00BD5113">
        <w:rPr>
          <w:sz w:val="20"/>
          <w:szCs w:val="20"/>
          <w:lang w:val="fr-FR"/>
        </w:rPr>
        <w:t>e</w:t>
      </w:r>
      <w:r w:rsidRPr="00857FF3">
        <w:rPr>
          <w:sz w:val="20"/>
          <w:szCs w:val="20"/>
          <w:lang w:val="fr-FR"/>
        </w:rPr>
        <w:t xml:space="preserve"> </w:t>
      </w:r>
      <w:r w:rsidR="00C96F76">
        <w:rPr>
          <w:sz w:val="20"/>
          <w:szCs w:val="20"/>
          <w:lang w:val="fr-FR"/>
        </w:rPr>
        <w:t>a-t-til commis une erreur ?</w:t>
      </w:r>
    </w:p>
    <w:p w:rsidR="00B37B54" w:rsidRPr="00857FF3" w:rsidRDefault="00F270EB" w:rsidP="00857FF3">
      <w:pPr>
        <w:spacing w:line="276" w:lineRule="auto"/>
        <w:ind w:left="567"/>
        <w:rPr>
          <w:sz w:val="20"/>
          <w:szCs w:val="20"/>
          <w:lang w:val="fr-FR"/>
        </w:rPr>
      </w:pPr>
      <w:r w:rsidRPr="00F270EB">
        <w:rPr>
          <w:sz w:val="20"/>
          <w:szCs w:val="20"/>
          <w:lang w:val="fr-FR"/>
        </w:rPr>
        <w:t>L’</w:t>
      </w:r>
      <w:r w:rsidR="00B37B54" w:rsidRPr="00857FF3">
        <w:rPr>
          <w:sz w:val="20"/>
          <w:szCs w:val="20"/>
          <w:lang w:val="fr-FR"/>
        </w:rPr>
        <w:t>artist</w:t>
      </w:r>
      <w:r w:rsidRPr="00857FF3">
        <w:rPr>
          <w:sz w:val="20"/>
          <w:szCs w:val="20"/>
          <w:lang w:val="fr-FR"/>
        </w:rPr>
        <w:t xml:space="preserve">e a pris le </w:t>
      </w:r>
      <w:r w:rsidRPr="00F270EB">
        <w:rPr>
          <w:sz w:val="20"/>
          <w:szCs w:val="20"/>
          <w:lang w:val="fr-FR"/>
        </w:rPr>
        <w:t>matériel</w:t>
      </w:r>
      <w:r w:rsidR="00924F13">
        <w:rPr>
          <w:sz w:val="20"/>
          <w:szCs w:val="20"/>
          <w:lang w:val="fr-FR"/>
        </w:rPr>
        <w:t xml:space="preserve"> du</w:t>
      </w:r>
      <w:r w:rsidRPr="00857FF3">
        <w:rPr>
          <w:sz w:val="20"/>
          <w:szCs w:val="20"/>
          <w:lang w:val="fr-FR"/>
        </w:rPr>
        <w:t xml:space="preserve"> site </w:t>
      </w:r>
      <w:r>
        <w:rPr>
          <w:sz w:val="20"/>
          <w:szCs w:val="20"/>
          <w:lang w:val="fr-FR"/>
        </w:rPr>
        <w:t>web du musée, où il était définit</w:t>
      </w:r>
      <w:r w:rsidRPr="00857FF3">
        <w:rPr>
          <w:sz w:val="20"/>
          <w:szCs w:val="20"/>
          <w:lang w:val="fr-FR"/>
        </w:rPr>
        <w:t xml:space="preserve"> comme</w:t>
      </w:r>
      <w:r>
        <w:rPr>
          <w:sz w:val="20"/>
          <w:szCs w:val="20"/>
          <w:lang w:val="fr-FR"/>
        </w:rPr>
        <w:t xml:space="preserve"> é</w:t>
      </w:r>
      <w:r w:rsidR="006C4923">
        <w:rPr>
          <w:sz w:val="20"/>
          <w:szCs w:val="20"/>
          <w:lang w:val="fr-FR"/>
        </w:rPr>
        <w:t>tant en accès libre</w:t>
      </w:r>
      <w:r w:rsidR="00C96F76">
        <w:rPr>
          <w:sz w:val="20"/>
          <w:szCs w:val="20"/>
          <w:lang w:val="fr-FR"/>
        </w:rPr>
        <w:t>,</w:t>
      </w:r>
      <w:r w:rsidR="006C4923">
        <w:rPr>
          <w:sz w:val="20"/>
          <w:szCs w:val="20"/>
          <w:lang w:val="fr-FR"/>
        </w:rPr>
        <w:t xml:space="preserve"> et n’était </w:t>
      </w:r>
      <w:r w:rsidR="00C96F76">
        <w:rPr>
          <w:sz w:val="20"/>
          <w:szCs w:val="20"/>
          <w:lang w:val="fr-FR"/>
        </w:rPr>
        <w:t xml:space="preserve">donc </w:t>
      </w:r>
      <w:r w:rsidR="006C4923">
        <w:rPr>
          <w:sz w:val="20"/>
          <w:szCs w:val="20"/>
          <w:lang w:val="fr-FR"/>
        </w:rPr>
        <w:t xml:space="preserve">pas </w:t>
      </w:r>
      <w:r>
        <w:rPr>
          <w:sz w:val="20"/>
          <w:szCs w:val="20"/>
          <w:lang w:val="fr-FR"/>
        </w:rPr>
        <w:t>soumis au droit d’auteur.</w:t>
      </w:r>
      <w:r w:rsidRPr="00857FF3">
        <w:rPr>
          <w:sz w:val="20"/>
          <w:szCs w:val="20"/>
          <w:lang w:val="fr-FR"/>
        </w:rPr>
        <w:t xml:space="preserve"> </w:t>
      </w:r>
      <w:r>
        <w:rPr>
          <w:sz w:val="20"/>
          <w:szCs w:val="20"/>
          <w:lang w:val="fr-FR"/>
        </w:rPr>
        <w:t xml:space="preserve">L’artiste ne viole dès lors </w:t>
      </w:r>
      <w:r w:rsidR="006C4923">
        <w:rPr>
          <w:sz w:val="20"/>
          <w:szCs w:val="20"/>
          <w:lang w:val="fr-FR"/>
        </w:rPr>
        <w:t xml:space="preserve">pas </w:t>
      </w:r>
      <w:r>
        <w:rPr>
          <w:sz w:val="20"/>
          <w:szCs w:val="20"/>
          <w:lang w:val="fr-FR"/>
        </w:rPr>
        <w:t xml:space="preserve">le droit d’auteur de cette tapisserie. Cependant, </w:t>
      </w:r>
      <w:r w:rsidR="001F1935">
        <w:rPr>
          <w:sz w:val="20"/>
          <w:szCs w:val="20"/>
          <w:lang w:val="fr-FR"/>
        </w:rPr>
        <w:t>étant donné</w:t>
      </w:r>
      <w:r w:rsidR="00DF3441">
        <w:rPr>
          <w:sz w:val="20"/>
          <w:szCs w:val="20"/>
          <w:lang w:val="fr-FR"/>
        </w:rPr>
        <w:t xml:space="preserve"> qu’il a accès aux informations concernant l’utilisation et la signification de ces tapisseries pour la communauté, il est parfaitement conscient des conséquences</w:t>
      </w:r>
      <w:r w:rsidR="00011671">
        <w:rPr>
          <w:sz w:val="20"/>
          <w:szCs w:val="20"/>
          <w:lang w:val="fr-FR"/>
        </w:rPr>
        <w:t xml:space="preserve"> qu’il pourrait y avoir</w:t>
      </w:r>
      <w:r w:rsidR="00DF3441">
        <w:rPr>
          <w:sz w:val="20"/>
          <w:szCs w:val="20"/>
          <w:lang w:val="fr-FR"/>
        </w:rPr>
        <w:t xml:space="preserve"> s’il divulguait davantage ce type </w:t>
      </w:r>
      <w:r w:rsidR="001F1935">
        <w:rPr>
          <w:sz w:val="20"/>
          <w:szCs w:val="20"/>
          <w:lang w:val="fr-FR"/>
        </w:rPr>
        <w:t>d’œuvre</w:t>
      </w:r>
      <w:r w:rsidR="00B37B54" w:rsidRPr="00857FF3">
        <w:rPr>
          <w:sz w:val="20"/>
          <w:szCs w:val="20"/>
          <w:lang w:val="fr-FR"/>
        </w:rPr>
        <w:t xml:space="preserve">. </w:t>
      </w:r>
      <w:r w:rsidR="001F1935" w:rsidRPr="00592B1C">
        <w:rPr>
          <w:sz w:val="20"/>
          <w:szCs w:val="20"/>
          <w:lang w:val="fr-FR"/>
        </w:rPr>
        <w:t xml:space="preserve">De plus, en lui attribuant le nom de </w:t>
      </w:r>
      <w:r w:rsidR="001F1935" w:rsidRPr="00857FF3">
        <w:rPr>
          <w:sz w:val="20"/>
          <w:szCs w:val="20"/>
          <w:lang w:val="fr-FR"/>
        </w:rPr>
        <w:t>“mort du printemps”</w:t>
      </w:r>
      <w:r w:rsidR="00592B1C" w:rsidRPr="00857FF3">
        <w:rPr>
          <w:sz w:val="20"/>
          <w:szCs w:val="20"/>
          <w:lang w:val="fr-FR"/>
        </w:rPr>
        <w:t xml:space="preserve">, l’artiste </w:t>
      </w:r>
      <w:r w:rsidR="00592B1C">
        <w:rPr>
          <w:sz w:val="20"/>
          <w:szCs w:val="20"/>
          <w:lang w:val="fr-FR"/>
        </w:rPr>
        <w:t>l’a placée dans un contexte nouveau et désobligeant, en faisant allusion au fait que de cette manière, il détruisa</w:t>
      </w:r>
      <w:r w:rsidR="00B64137">
        <w:rPr>
          <w:sz w:val="20"/>
          <w:szCs w:val="20"/>
          <w:lang w:val="fr-FR"/>
        </w:rPr>
        <w:t>i</w:t>
      </w:r>
      <w:r w:rsidR="00592B1C">
        <w:rPr>
          <w:sz w:val="20"/>
          <w:szCs w:val="20"/>
          <w:lang w:val="fr-FR"/>
        </w:rPr>
        <w:t>t (symboliquement) les récoltes de la communauté.</w:t>
      </w:r>
    </w:p>
    <w:p w:rsidR="00CD59ED" w:rsidRDefault="00B64137" w:rsidP="00857FF3">
      <w:pPr>
        <w:spacing w:line="276" w:lineRule="auto"/>
        <w:ind w:left="567"/>
        <w:rPr>
          <w:sz w:val="20"/>
          <w:szCs w:val="20"/>
          <w:lang w:val="fr-FR"/>
        </w:rPr>
      </w:pPr>
      <w:r w:rsidRPr="00857FF3">
        <w:rPr>
          <w:sz w:val="20"/>
          <w:szCs w:val="20"/>
          <w:lang w:val="fr-FR"/>
        </w:rPr>
        <w:t>Les p</w:t>
      </w:r>
      <w:r w:rsidR="00B37B54" w:rsidRPr="00857FF3">
        <w:rPr>
          <w:sz w:val="20"/>
          <w:szCs w:val="20"/>
          <w:lang w:val="fr-FR"/>
        </w:rPr>
        <w:t xml:space="preserve">articipants </w:t>
      </w:r>
      <w:r w:rsidRPr="00857FF3">
        <w:rPr>
          <w:sz w:val="20"/>
          <w:szCs w:val="20"/>
          <w:lang w:val="fr-FR"/>
        </w:rPr>
        <w:t xml:space="preserve">devraient </w:t>
      </w:r>
      <w:r w:rsidR="003C59C8" w:rsidRPr="00857FF3">
        <w:rPr>
          <w:sz w:val="20"/>
          <w:szCs w:val="20"/>
          <w:lang w:val="fr-FR"/>
        </w:rPr>
        <w:t xml:space="preserve">tenter de </w:t>
      </w:r>
      <w:r w:rsidRPr="00857FF3">
        <w:rPr>
          <w:sz w:val="20"/>
          <w:szCs w:val="20"/>
          <w:lang w:val="fr-FR"/>
        </w:rPr>
        <w:t xml:space="preserve">savoir si l’acte de l’artiste est justifié ou non, tout en </w:t>
      </w:r>
      <w:r w:rsidRPr="003C59C8">
        <w:rPr>
          <w:sz w:val="20"/>
          <w:szCs w:val="20"/>
          <w:lang w:val="fr-FR"/>
        </w:rPr>
        <w:t>prenant</w:t>
      </w:r>
      <w:r w:rsidRPr="00857FF3">
        <w:rPr>
          <w:sz w:val="20"/>
          <w:szCs w:val="20"/>
          <w:lang w:val="fr-FR"/>
        </w:rPr>
        <w:t xml:space="preserve"> en compte le fait</w:t>
      </w:r>
      <w:r w:rsidRPr="003C59C8">
        <w:rPr>
          <w:sz w:val="20"/>
          <w:szCs w:val="20"/>
          <w:lang w:val="fr-FR"/>
        </w:rPr>
        <w:t xml:space="preserve"> que cet artiste a pour but spécifique de soulever des questions sensibles de la société</w:t>
      </w:r>
      <w:r w:rsidR="00B37B54" w:rsidRPr="00857FF3">
        <w:rPr>
          <w:sz w:val="20"/>
          <w:szCs w:val="20"/>
          <w:lang w:val="fr-FR"/>
        </w:rPr>
        <w:t xml:space="preserve">. </w:t>
      </w:r>
      <w:r w:rsidRPr="00857FF3">
        <w:rPr>
          <w:sz w:val="20"/>
          <w:szCs w:val="20"/>
          <w:lang w:val="fr-FR"/>
        </w:rPr>
        <w:t>Incontestablement, les héritiers et/ou la communauté pourrai</w:t>
      </w:r>
      <w:r w:rsidR="003C59C8">
        <w:rPr>
          <w:sz w:val="20"/>
          <w:szCs w:val="20"/>
          <w:lang w:val="fr-FR"/>
        </w:rPr>
        <w:t>en</w:t>
      </w:r>
      <w:r w:rsidRPr="00857FF3">
        <w:rPr>
          <w:sz w:val="20"/>
          <w:szCs w:val="20"/>
          <w:lang w:val="fr-FR"/>
        </w:rPr>
        <w:t>t introduire une action en justice à l’encontre de l’artiste</w:t>
      </w:r>
      <w:r w:rsidR="000A5414" w:rsidRPr="00857FF3">
        <w:rPr>
          <w:sz w:val="20"/>
          <w:szCs w:val="20"/>
          <w:lang w:val="fr-FR"/>
        </w:rPr>
        <w:t xml:space="preserve"> pour </w:t>
      </w:r>
      <w:r w:rsidR="000A5414">
        <w:rPr>
          <w:sz w:val="20"/>
          <w:szCs w:val="20"/>
          <w:lang w:val="fr-FR"/>
        </w:rPr>
        <w:t>« </w:t>
      </w:r>
      <w:r w:rsidR="000A5414" w:rsidRPr="00857FF3">
        <w:rPr>
          <w:sz w:val="20"/>
          <w:szCs w:val="20"/>
          <w:lang w:val="fr-FR"/>
        </w:rPr>
        <w:t>discours haine</w:t>
      </w:r>
      <w:r w:rsidR="003C59C8">
        <w:rPr>
          <w:sz w:val="20"/>
          <w:szCs w:val="20"/>
          <w:lang w:val="fr-FR"/>
        </w:rPr>
        <w:t>ux</w:t>
      </w:r>
      <w:r w:rsidR="000A5414">
        <w:rPr>
          <w:sz w:val="20"/>
          <w:szCs w:val="20"/>
          <w:lang w:val="fr-FR"/>
        </w:rPr>
        <w:t> »</w:t>
      </w:r>
      <w:r w:rsidR="000A5414" w:rsidRPr="00857FF3">
        <w:rPr>
          <w:sz w:val="20"/>
          <w:szCs w:val="20"/>
          <w:lang w:val="fr-FR"/>
        </w:rPr>
        <w:t xml:space="preserve"> ou </w:t>
      </w:r>
      <w:r w:rsidR="000A5414">
        <w:rPr>
          <w:sz w:val="20"/>
          <w:szCs w:val="20"/>
          <w:lang w:val="fr-FR"/>
        </w:rPr>
        <w:t>«</w:t>
      </w:r>
      <w:r w:rsidR="00F874E4">
        <w:rPr>
          <w:sz w:val="20"/>
          <w:szCs w:val="20"/>
          <w:lang w:val="fr-FR"/>
        </w:rPr>
        <w:t>non-r</w:t>
      </w:r>
      <w:r w:rsidR="00F874E4" w:rsidRPr="000A5414">
        <w:rPr>
          <w:sz w:val="20"/>
          <w:szCs w:val="20"/>
          <w:lang w:val="fr-FR"/>
        </w:rPr>
        <w:t>espect</w:t>
      </w:r>
      <w:r w:rsidR="000A5414" w:rsidRPr="00857FF3">
        <w:rPr>
          <w:sz w:val="20"/>
          <w:szCs w:val="20"/>
          <w:lang w:val="fr-FR"/>
        </w:rPr>
        <w:t xml:space="preserve"> </w:t>
      </w:r>
      <w:r w:rsidR="003C59C8" w:rsidRPr="000A5414">
        <w:rPr>
          <w:sz w:val="20"/>
          <w:szCs w:val="20"/>
          <w:lang w:val="fr-FR"/>
        </w:rPr>
        <w:t>mutuel</w:t>
      </w:r>
      <w:r w:rsidR="000A5414">
        <w:rPr>
          <w:sz w:val="20"/>
          <w:szCs w:val="20"/>
          <w:lang w:val="fr-FR"/>
        </w:rPr>
        <w:t> »</w:t>
      </w:r>
      <w:r w:rsidR="000A5414" w:rsidRPr="00857FF3">
        <w:rPr>
          <w:sz w:val="20"/>
          <w:szCs w:val="20"/>
          <w:lang w:val="fr-FR"/>
        </w:rPr>
        <w:t xml:space="preserve"> </w:t>
      </w:r>
      <w:r w:rsidR="003C59C8">
        <w:rPr>
          <w:sz w:val="20"/>
          <w:szCs w:val="20"/>
          <w:lang w:val="fr-FR"/>
        </w:rPr>
        <w:t>conformément aux dispositions de la loi des droits de l’homme, si existante dans le pays. En effet, l’œuvre a été conçue en connaissance de cause de ses effets potentiellement négatifs sur les traditions et le bien-être culturel de la communauté.</w:t>
      </w:r>
      <w:r w:rsidR="007679F7">
        <w:rPr>
          <w:sz w:val="20"/>
          <w:szCs w:val="20"/>
          <w:lang w:val="fr-FR"/>
        </w:rPr>
        <w:t xml:space="preserve"> Ainsi, en Australie par exemple, la notion de «préjudice culturel » existe</w:t>
      </w:r>
      <w:r w:rsidR="005959D0">
        <w:rPr>
          <w:sz w:val="20"/>
          <w:szCs w:val="20"/>
          <w:lang w:val="fr-FR"/>
        </w:rPr>
        <w:t xml:space="preserve">, mais dans la majorité des pays, les héritiers </w:t>
      </w:r>
      <w:r w:rsidR="00A25F20">
        <w:rPr>
          <w:sz w:val="20"/>
          <w:szCs w:val="20"/>
          <w:lang w:val="fr-FR"/>
        </w:rPr>
        <w:t xml:space="preserve">des trois femmes à l’origine de cette tapisserie ainsi que la communauté </w:t>
      </w:r>
      <w:r w:rsidR="002D724D">
        <w:rPr>
          <w:sz w:val="20"/>
          <w:szCs w:val="20"/>
          <w:lang w:val="fr-FR"/>
        </w:rPr>
        <w:t>devront compter sur les limites à la liberté d’expression.</w:t>
      </w:r>
      <w:r w:rsidR="007679F7">
        <w:rPr>
          <w:sz w:val="20"/>
          <w:szCs w:val="20"/>
          <w:lang w:val="fr-FR"/>
        </w:rPr>
        <w:t> </w:t>
      </w:r>
    </w:p>
    <w:p w:rsidR="00B37B54" w:rsidRPr="00857FF3" w:rsidRDefault="00CD59ED" w:rsidP="00857FF3">
      <w:pPr>
        <w:spacing w:line="276" w:lineRule="auto"/>
        <w:rPr>
          <w:sz w:val="20"/>
          <w:szCs w:val="20"/>
          <w:lang w:val="fr-FR"/>
        </w:rPr>
      </w:pPr>
      <w:r>
        <w:rPr>
          <w:sz w:val="20"/>
          <w:szCs w:val="20"/>
          <w:lang w:val="fr-FR"/>
        </w:rPr>
        <w:t>Dans le pays A, il existe des dispositions – sans limite dans le temps - en matière de protection des droits moraux pour l’œuvre</w:t>
      </w:r>
      <w:r w:rsidR="00982A5E">
        <w:rPr>
          <w:sz w:val="20"/>
          <w:szCs w:val="20"/>
          <w:lang w:val="fr-FR"/>
        </w:rPr>
        <w:t>, et ces dispositions font également écho aux dispositions en matière d’instruments sui generis. Les descendants des trois femmes (pas la communauté) pourraient, conformément aux dispositions en matière de droits moraux, poursuivre l’artiste en justice pour (a) ne pas avoir mentionné le fait que les trois femmes en étaient l’auteur, et (b) pour avoir re</w:t>
      </w:r>
      <w:r w:rsidR="00D65F18">
        <w:rPr>
          <w:sz w:val="20"/>
          <w:szCs w:val="20"/>
          <w:lang w:val="fr-FR"/>
        </w:rPr>
        <w:t>n</w:t>
      </w:r>
      <w:r w:rsidR="00982A5E">
        <w:rPr>
          <w:sz w:val="20"/>
          <w:szCs w:val="20"/>
          <w:lang w:val="fr-FR"/>
        </w:rPr>
        <w:t xml:space="preserve">ommé l’œuvre </w:t>
      </w:r>
      <w:r w:rsidR="00D65F18">
        <w:rPr>
          <w:sz w:val="20"/>
          <w:szCs w:val="20"/>
          <w:lang w:val="fr-FR"/>
        </w:rPr>
        <w:t>«  mort du printemps », c’est-à-dire pour avoir changé le contexte de l’œuvre, de sorte à ce que sa nouvelle appellation affecte de manière négative la signification de cet art.</w:t>
      </w:r>
    </w:p>
    <w:p w:rsidR="00B37B54" w:rsidRPr="00857FF3" w:rsidRDefault="00D654D2" w:rsidP="00857FF3">
      <w:pPr>
        <w:pStyle w:val="Heading3"/>
        <w:spacing w:line="276" w:lineRule="auto"/>
        <w:rPr>
          <w:sz w:val="20"/>
          <w:szCs w:val="20"/>
          <w:lang w:val="fr-FR"/>
        </w:rPr>
      </w:pPr>
      <w:r w:rsidRPr="00857FF3">
        <w:rPr>
          <w:sz w:val="20"/>
          <w:szCs w:val="20"/>
          <w:lang w:val="fr-FR"/>
        </w:rPr>
        <w:t xml:space="preserve">mesures </w:t>
      </w:r>
      <w:r w:rsidR="00B37B54" w:rsidRPr="00857FF3">
        <w:rPr>
          <w:sz w:val="20"/>
          <w:szCs w:val="20"/>
          <w:lang w:val="fr-FR"/>
        </w:rPr>
        <w:t>Possible</w:t>
      </w:r>
      <w:r w:rsidRPr="00857FF3">
        <w:rPr>
          <w:sz w:val="20"/>
          <w:szCs w:val="20"/>
          <w:lang w:val="fr-FR"/>
        </w:rPr>
        <w:t>s</w:t>
      </w:r>
      <w:r w:rsidR="00B37B54" w:rsidRPr="00857FF3">
        <w:rPr>
          <w:sz w:val="20"/>
          <w:szCs w:val="20"/>
          <w:lang w:val="fr-FR"/>
        </w:rPr>
        <w:t xml:space="preserve"> </w:t>
      </w:r>
    </w:p>
    <w:p w:rsidR="004C384E" w:rsidRDefault="0016572D" w:rsidP="00857FF3">
      <w:pPr>
        <w:spacing w:line="276" w:lineRule="auto"/>
        <w:ind w:left="567"/>
        <w:rPr>
          <w:sz w:val="20"/>
          <w:szCs w:val="20"/>
          <w:lang w:val="fr-FR"/>
        </w:rPr>
      </w:pPr>
      <w:r>
        <w:rPr>
          <w:sz w:val="20"/>
          <w:szCs w:val="20"/>
          <w:lang w:val="fr-FR"/>
        </w:rPr>
        <w:t xml:space="preserve">En matière de </w:t>
      </w:r>
      <w:r w:rsidRPr="00857FF3">
        <w:rPr>
          <w:sz w:val="20"/>
          <w:szCs w:val="20"/>
          <w:lang w:val="fr-FR"/>
        </w:rPr>
        <w:t>sauvegarde, la</w:t>
      </w:r>
      <w:r w:rsidR="00B37B54" w:rsidRPr="00857FF3">
        <w:rPr>
          <w:sz w:val="20"/>
          <w:szCs w:val="20"/>
          <w:lang w:val="fr-FR"/>
        </w:rPr>
        <w:t xml:space="preserve"> commun</w:t>
      </w:r>
      <w:r w:rsidRPr="00857FF3">
        <w:rPr>
          <w:sz w:val="20"/>
          <w:szCs w:val="20"/>
          <w:lang w:val="fr-FR"/>
        </w:rPr>
        <w:t>auté</w:t>
      </w:r>
      <w:r w:rsidR="00B37B54" w:rsidRPr="00857FF3">
        <w:rPr>
          <w:sz w:val="20"/>
          <w:szCs w:val="20"/>
          <w:lang w:val="fr-FR"/>
        </w:rPr>
        <w:t xml:space="preserve"> </w:t>
      </w:r>
      <w:r w:rsidRPr="00857FF3">
        <w:rPr>
          <w:sz w:val="20"/>
          <w:szCs w:val="20"/>
          <w:lang w:val="fr-FR"/>
        </w:rPr>
        <w:t>devr</w:t>
      </w:r>
      <w:r>
        <w:rPr>
          <w:sz w:val="20"/>
          <w:szCs w:val="20"/>
          <w:lang w:val="fr-FR"/>
        </w:rPr>
        <w:t>a évaluer les effets des actes à la fois</w:t>
      </w:r>
      <w:r w:rsidRPr="00857FF3">
        <w:rPr>
          <w:sz w:val="20"/>
          <w:szCs w:val="20"/>
          <w:lang w:val="fr-FR"/>
        </w:rPr>
        <w:t xml:space="preserve"> du musée et de l’artiste sur la viabilité du PCI, et plus particulièrement sur l’utilisation de leur </w:t>
      </w:r>
      <w:r w:rsidR="00011671">
        <w:rPr>
          <w:sz w:val="20"/>
          <w:szCs w:val="20"/>
          <w:lang w:val="fr-FR"/>
        </w:rPr>
        <w:t>tapisserie durant le festival de</w:t>
      </w:r>
      <w:r w:rsidRPr="00857FF3">
        <w:rPr>
          <w:sz w:val="20"/>
          <w:szCs w:val="20"/>
          <w:lang w:val="fr-FR"/>
        </w:rPr>
        <w:t xml:space="preserve"> printemps.</w:t>
      </w:r>
      <w:r>
        <w:rPr>
          <w:sz w:val="20"/>
          <w:szCs w:val="20"/>
          <w:lang w:val="fr-FR"/>
        </w:rPr>
        <w:t xml:space="preserve"> </w:t>
      </w:r>
      <w:r w:rsidR="00BB2D5A" w:rsidRPr="00857FF3">
        <w:rPr>
          <w:sz w:val="20"/>
          <w:szCs w:val="20"/>
          <w:lang w:val="fr-FR"/>
        </w:rPr>
        <w:t xml:space="preserve">Ses membres peuvent mettre au point des </w:t>
      </w:r>
      <w:r w:rsidR="00A21BF3" w:rsidRPr="004C384E">
        <w:rPr>
          <w:sz w:val="20"/>
          <w:szCs w:val="20"/>
          <w:lang w:val="fr-FR"/>
        </w:rPr>
        <w:t>stratégies</w:t>
      </w:r>
      <w:r w:rsidR="00BB2D5A" w:rsidRPr="00857FF3">
        <w:rPr>
          <w:sz w:val="20"/>
          <w:szCs w:val="20"/>
          <w:lang w:val="fr-FR"/>
        </w:rPr>
        <w:t xml:space="preserve"> limitant la diffusion de la tapisserie, en </w:t>
      </w:r>
      <w:r w:rsidR="004C384E" w:rsidRPr="00857FF3">
        <w:rPr>
          <w:sz w:val="20"/>
          <w:szCs w:val="20"/>
          <w:lang w:val="fr-FR"/>
        </w:rPr>
        <w:t xml:space="preserve">modifiant le rituel (modifier la cérémonie du festival de printemps cette année ou organiser d’autres cérémonies) </w:t>
      </w:r>
      <w:r w:rsidR="00B37B54" w:rsidRPr="00857FF3">
        <w:rPr>
          <w:sz w:val="20"/>
          <w:szCs w:val="20"/>
          <w:lang w:val="fr-FR"/>
        </w:rPr>
        <w:t>o</w:t>
      </w:r>
      <w:r w:rsidR="004C384E">
        <w:rPr>
          <w:sz w:val="20"/>
          <w:szCs w:val="20"/>
          <w:lang w:val="fr-FR"/>
        </w:rPr>
        <w:t>u ils peuvent simplement détruire cette tapisserie et en recrée</w:t>
      </w:r>
      <w:r w:rsidR="00A21BF3">
        <w:rPr>
          <w:sz w:val="20"/>
          <w:szCs w:val="20"/>
          <w:lang w:val="fr-FR"/>
        </w:rPr>
        <w:t>r</w:t>
      </w:r>
      <w:r w:rsidR="004C384E">
        <w:rPr>
          <w:sz w:val="20"/>
          <w:szCs w:val="20"/>
          <w:lang w:val="fr-FR"/>
        </w:rPr>
        <w:t xml:space="preserve"> une autre.</w:t>
      </w:r>
    </w:p>
    <w:p w:rsidR="00B8070C" w:rsidRDefault="00D732DE" w:rsidP="00857FF3">
      <w:pPr>
        <w:spacing w:line="276" w:lineRule="auto"/>
        <w:ind w:left="567"/>
        <w:rPr>
          <w:sz w:val="20"/>
          <w:szCs w:val="20"/>
          <w:lang w:val="fr-FR"/>
        </w:rPr>
      </w:pPr>
      <w:r w:rsidRPr="00011671">
        <w:rPr>
          <w:sz w:val="20"/>
          <w:szCs w:val="20"/>
          <w:lang w:val="fr-FR"/>
        </w:rPr>
        <w:t xml:space="preserve">Les </w:t>
      </w:r>
      <w:r w:rsidRPr="00D969C4">
        <w:rPr>
          <w:sz w:val="20"/>
          <w:szCs w:val="20"/>
          <w:lang w:val="fr-FR"/>
        </w:rPr>
        <w:t>membres</w:t>
      </w:r>
      <w:r w:rsidRPr="00857FF3">
        <w:rPr>
          <w:sz w:val="20"/>
          <w:szCs w:val="20"/>
          <w:lang w:val="fr-FR"/>
        </w:rPr>
        <w:t xml:space="preserve"> de la c</w:t>
      </w:r>
      <w:r w:rsidR="00B37B54" w:rsidRPr="00857FF3">
        <w:rPr>
          <w:sz w:val="20"/>
          <w:szCs w:val="20"/>
          <w:lang w:val="fr-FR"/>
        </w:rPr>
        <w:t>omm</w:t>
      </w:r>
      <w:r w:rsidRPr="00857FF3">
        <w:rPr>
          <w:sz w:val="20"/>
          <w:szCs w:val="20"/>
          <w:lang w:val="fr-FR"/>
        </w:rPr>
        <w:t>unauté</w:t>
      </w:r>
      <w:r w:rsidR="00B37B54" w:rsidRPr="00857FF3">
        <w:rPr>
          <w:sz w:val="20"/>
          <w:szCs w:val="20"/>
          <w:lang w:val="fr-FR"/>
        </w:rPr>
        <w:t xml:space="preserve"> </w:t>
      </w:r>
      <w:r w:rsidRPr="00857FF3">
        <w:rPr>
          <w:sz w:val="20"/>
          <w:szCs w:val="20"/>
          <w:lang w:val="fr-FR"/>
        </w:rPr>
        <w:t xml:space="preserve">peuvent désirer (ou non) rencontrer les responsables du musée et/ou l’artiste afin de leur exprimer leur mécontentement </w:t>
      </w:r>
      <w:r w:rsidR="00D969C4" w:rsidRPr="00857FF3">
        <w:rPr>
          <w:sz w:val="20"/>
          <w:szCs w:val="20"/>
          <w:lang w:val="fr-FR"/>
        </w:rPr>
        <w:t>à la suite d</w:t>
      </w:r>
      <w:r w:rsidR="00D969C4">
        <w:rPr>
          <w:sz w:val="20"/>
          <w:szCs w:val="20"/>
          <w:lang w:val="fr-FR"/>
        </w:rPr>
        <w:t>u</w:t>
      </w:r>
      <w:r w:rsidR="00D969C4" w:rsidRPr="00857FF3">
        <w:rPr>
          <w:sz w:val="20"/>
          <w:szCs w:val="20"/>
          <w:lang w:val="fr-FR"/>
        </w:rPr>
        <w:t xml:space="preserve"> mauvais usage</w:t>
      </w:r>
      <w:r w:rsidR="00D969C4">
        <w:rPr>
          <w:sz w:val="20"/>
          <w:szCs w:val="20"/>
          <w:lang w:val="fr-FR"/>
        </w:rPr>
        <w:t xml:space="preserve"> de leur tapisserie, et peuvent également </w:t>
      </w:r>
      <w:r w:rsidR="00011671">
        <w:rPr>
          <w:sz w:val="20"/>
          <w:szCs w:val="20"/>
          <w:lang w:val="fr-FR"/>
        </w:rPr>
        <w:t xml:space="preserve">exiger </w:t>
      </w:r>
      <w:r w:rsidR="00D969C4">
        <w:rPr>
          <w:sz w:val="20"/>
          <w:szCs w:val="20"/>
          <w:lang w:val="fr-FR"/>
        </w:rPr>
        <w:t xml:space="preserve">des excuses et discuter des mesures qui peuvent être prises. Ils peuvent décider de poursuivre leur accord avec le musée, à de nouvelles </w:t>
      </w:r>
      <w:r w:rsidR="00D969C4">
        <w:rPr>
          <w:sz w:val="20"/>
          <w:szCs w:val="20"/>
          <w:lang w:val="fr-FR"/>
        </w:rPr>
        <w:lastRenderedPageBreak/>
        <w:t>conditions, pour une tapisserie nouvelle ou existante</w:t>
      </w:r>
      <w:r w:rsidR="00E20A9A">
        <w:rPr>
          <w:sz w:val="20"/>
          <w:szCs w:val="20"/>
          <w:lang w:val="fr-FR"/>
        </w:rPr>
        <w:t xml:space="preserve">, ou au contraire </w:t>
      </w:r>
      <w:r w:rsidR="009F567A">
        <w:rPr>
          <w:sz w:val="20"/>
          <w:szCs w:val="20"/>
          <w:lang w:val="fr-FR"/>
        </w:rPr>
        <w:t>d’</w:t>
      </w:r>
      <w:r w:rsidR="00E20A9A">
        <w:rPr>
          <w:sz w:val="20"/>
          <w:szCs w:val="20"/>
          <w:lang w:val="fr-FR"/>
        </w:rPr>
        <w:t xml:space="preserve">y mettre un terme </w:t>
      </w:r>
      <w:r w:rsidR="000C4368">
        <w:rPr>
          <w:sz w:val="20"/>
          <w:szCs w:val="20"/>
          <w:lang w:val="fr-FR"/>
        </w:rPr>
        <w:t>et d’entreprendre leur propre conservation de l’œuvre ou de toute autre nouvelle œuvre. Les membres de la communauté peuvent également exiger la destruction de la copie de l’œuvre par l’artiste ou son retrait de la vue du public (ou d’intenter un procès à l’artiste).</w:t>
      </w:r>
      <w:r w:rsidR="00E63E3A">
        <w:rPr>
          <w:sz w:val="20"/>
          <w:szCs w:val="20"/>
          <w:lang w:val="fr-FR"/>
        </w:rPr>
        <w:t xml:space="preserve"> Ils pourraient également, en créant une nouvelle tapisserie, effacer l’effet négatif de l’œuvre de l’artiste et en faire un exemple de comportement irrespectueux dans les médias.</w:t>
      </w:r>
    </w:p>
    <w:p w:rsidR="00642306" w:rsidRDefault="00642306" w:rsidP="00857FF3">
      <w:pPr>
        <w:spacing w:line="276" w:lineRule="auto"/>
        <w:ind w:left="567"/>
        <w:rPr>
          <w:sz w:val="20"/>
          <w:szCs w:val="20"/>
          <w:lang w:val="fr-FR"/>
        </w:rPr>
      </w:pPr>
      <w:r>
        <w:rPr>
          <w:sz w:val="20"/>
          <w:szCs w:val="20"/>
          <w:lang w:val="fr-FR"/>
        </w:rPr>
        <w:t>D’u</w:t>
      </w:r>
      <w:r w:rsidR="009F567A">
        <w:rPr>
          <w:sz w:val="20"/>
          <w:szCs w:val="20"/>
          <w:lang w:val="fr-FR"/>
        </w:rPr>
        <w:t>n point de vue éthique et juridique</w:t>
      </w:r>
      <w:r>
        <w:rPr>
          <w:sz w:val="20"/>
          <w:szCs w:val="20"/>
          <w:lang w:val="fr-FR"/>
        </w:rPr>
        <w:t>, étant donné que la tapisserie a été rendue publique à la suite d’une violation du contrat, le musée devra avant tout s’excuser immédiatement envers la communauté (dont les héritiers des trois femmes à l’origine de l’œuvre)</w:t>
      </w:r>
      <w:r w:rsidR="00924F13">
        <w:rPr>
          <w:sz w:val="20"/>
          <w:szCs w:val="20"/>
          <w:lang w:val="fr-FR"/>
        </w:rPr>
        <w:t>, et la retirer du site web.</w:t>
      </w:r>
      <w:r>
        <w:rPr>
          <w:sz w:val="20"/>
          <w:szCs w:val="20"/>
          <w:lang w:val="fr-FR"/>
        </w:rPr>
        <w:t xml:space="preserve"> Le musée devrait également informer l’artiste que la tapisserie a été rendue publique par erreur</w:t>
      </w:r>
      <w:r w:rsidR="00125063">
        <w:rPr>
          <w:sz w:val="20"/>
          <w:szCs w:val="20"/>
          <w:lang w:val="fr-FR"/>
        </w:rPr>
        <w:t>, et lui demander que l’œuvre ne soit plus accessible au public</w:t>
      </w:r>
      <w:r>
        <w:rPr>
          <w:sz w:val="20"/>
          <w:szCs w:val="20"/>
          <w:lang w:val="fr-FR"/>
        </w:rPr>
        <w:t xml:space="preserve">. </w:t>
      </w:r>
      <w:r w:rsidR="00507217">
        <w:rPr>
          <w:sz w:val="20"/>
          <w:szCs w:val="20"/>
          <w:lang w:val="fr-FR"/>
        </w:rPr>
        <w:t>Le musée devrait ensuite tenter de comprendre ce qu’il s’est passé en in</w:t>
      </w:r>
      <w:r w:rsidR="00F57709">
        <w:rPr>
          <w:sz w:val="20"/>
          <w:szCs w:val="20"/>
          <w:lang w:val="fr-FR"/>
        </w:rPr>
        <w:t xml:space="preserve">terne pour qu’un tel problème </w:t>
      </w:r>
      <w:r w:rsidR="00507217">
        <w:rPr>
          <w:sz w:val="20"/>
          <w:szCs w:val="20"/>
          <w:lang w:val="fr-FR"/>
        </w:rPr>
        <w:t xml:space="preserve"> survienne.</w:t>
      </w:r>
    </w:p>
    <w:p w:rsidR="00B37B54" w:rsidRPr="00857FF3" w:rsidRDefault="00507217" w:rsidP="00857FF3">
      <w:pPr>
        <w:spacing w:line="276" w:lineRule="auto"/>
        <w:ind w:left="567"/>
        <w:rPr>
          <w:sz w:val="20"/>
          <w:szCs w:val="20"/>
          <w:lang w:val="fr-FR"/>
        </w:rPr>
      </w:pPr>
      <w:r>
        <w:rPr>
          <w:sz w:val="20"/>
          <w:szCs w:val="20"/>
          <w:lang w:val="fr-FR"/>
        </w:rPr>
        <w:t>Afin d’éviter qu’un tel problème ne survienne à nouveau, le musée devra renforcer son contrôle quant à l’</w:t>
      </w:r>
      <w:r w:rsidR="008967B7">
        <w:rPr>
          <w:sz w:val="20"/>
          <w:szCs w:val="20"/>
          <w:lang w:val="fr-FR"/>
        </w:rPr>
        <w:t>accès numérique aux matériels sensibles d’un point de vue culturel. La communauté peut faire le choix de changer, à l’avenir, la manière dont est régie sa relation avec le musée,</w:t>
      </w:r>
      <w:r w:rsidR="00F57709">
        <w:rPr>
          <w:sz w:val="20"/>
          <w:szCs w:val="20"/>
          <w:lang w:val="fr-FR"/>
        </w:rPr>
        <w:t xml:space="preserve"> en insistant par exemple sur un</w:t>
      </w:r>
      <w:r w:rsidR="008967B7">
        <w:rPr>
          <w:sz w:val="20"/>
          <w:szCs w:val="20"/>
          <w:lang w:val="fr-FR"/>
        </w:rPr>
        <w:t xml:space="preserve"> contrôle plus strict</w:t>
      </w:r>
      <w:r w:rsidR="00C21AE5">
        <w:rPr>
          <w:sz w:val="20"/>
          <w:szCs w:val="20"/>
          <w:lang w:val="fr-FR"/>
        </w:rPr>
        <w:t xml:space="preserve"> de l’utilisation de la tapisserie à travers une communi</w:t>
      </w:r>
      <w:r w:rsidR="000378E6">
        <w:rPr>
          <w:sz w:val="20"/>
          <w:szCs w:val="20"/>
          <w:lang w:val="fr-FR"/>
        </w:rPr>
        <w:t>cation et une surveillance</w:t>
      </w:r>
      <w:r w:rsidR="00C21AE5">
        <w:rPr>
          <w:sz w:val="20"/>
          <w:szCs w:val="20"/>
          <w:lang w:val="fr-FR"/>
        </w:rPr>
        <w:t xml:space="preserve"> régulières.</w:t>
      </w:r>
      <w:r w:rsidR="005752A6">
        <w:rPr>
          <w:sz w:val="20"/>
          <w:szCs w:val="20"/>
          <w:lang w:val="fr-FR"/>
        </w:rPr>
        <w:t xml:space="preserve"> L’artiste s’est fait un nom en agissant de manière volontairement provocatrice, et avait clairement l’intention d’offenser en appelant son œuvre de la sorte. </w:t>
      </w:r>
      <w:r w:rsidR="00850908">
        <w:rPr>
          <w:sz w:val="20"/>
          <w:szCs w:val="20"/>
          <w:lang w:val="fr-FR"/>
        </w:rPr>
        <w:t>Il est difficile de prévoir comment ce dernier réagira</w:t>
      </w:r>
      <w:r w:rsidR="007E5B60">
        <w:rPr>
          <w:sz w:val="20"/>
          <w:szCs w:val="20"/>
          <w:lang w:val="fr-FR"/>
        </w:rPr>
        <w:t xml:space="preserve"> face aux réclamations de la communauté ou du musée, à une mauvaise couverture médiatique ou à une action en justice. Il est possible qu’il soit, à l’avenir, plus attentif et sensible.</w:t>
      </w:r>
    </w:p>
    <w:p w:rsidR="00B37B54" w:rsidRPr="00857FF3" w:rsidRDefault="00507217" w:rsidP="00857FF3">
      <w:pPr>
        <w:pStyle w:val="Heading4"/>
        <w:tabs>
          <w:tab w:val="clear" w:pos="567"/>
        </w:tabs>
        <w:snapToGrid/>
        <w:spacing w:before="360" w:after="120" w:line="300" w:lineRule="exact"/>
        <w:jc w:val="left"/>
        <w:rPr>
          <w:rFonts w:eastAsia="SimSun" w:cs="Times New Roman"/>
          <w:b/>
          <w:snapToGrid/>
          <w:sz w:val="20"/>
          <w:lang w:val="it-IT" w:eastAsia="en-US"/>
        </w:rPr>
      </w:pPr>
      <w:r w:rsidRPr="00857FF3">
        <w:rPr>
          <w:rFonts w:ascii="Arial" w:eastAsia="SimSun" w:hAnsi="Arial" w:cs="Times New Roman"/>
          <w:b/>
          <w:bCs/>
          <w:snapToGrid/>
          <w:sz w:val="20"/>
          <w:lang w:val="it-IT" w:eastAsia="en-US"/>
        </w:rPr>
        <w:t>Plus d’</w:t>
      </w:r>
      <w:r w:rsidR="00B37B54" w:rsidRPr="00857FF3">
        <w:rPr>
          <w:rFonts w:ascii="Arial" w:eastAsia="SimSun" w:hAnsi="Arial" w:cs="Times New Roman"/>
          <w:b/>
          <w:bCs/>
          <w:snapToGrid/>
          <w:sz w:val="20"/>
          <w:lang w:val="it-IT" w:eastAsia="en-US"/>
        </w:rPr>
        <w:t>information</w:t>
      </w:r>
      <w:r w:rsidRPr="00857FF3">
        <w:rPr>
          <w:rFonts w:ascii="Arial" w:eastAsia="SimSun" w:hAnsi="Arial" w:cs="Times New Roman"/>
          <w:b/>
          <w:bCs/>
          <w:snapToGrid/>
          <w:sz w:val="20"/>
          <w:lang w:val="it-IT" w:eastAsia="en-US"/>
        </w:rPr>
        <w:t>s</w:t>
      </w:r>
      <w:r w:rsidR="00B37B54" w:rsidRPr="00857FF3">
        <w:rPr>
          <w:rFonts w:ascii="Arial" w:eastAsia="SimSun" w:hAnsi="Arial" w:cs="Times New Roman"/>
          <w:b/>
          <w:bCs/>
          <w:snapToGrid/>
          <w:sz w:val="20"/>
          <w:lang w:val="it-IT" w:eastAsia="en-US"/>
        </w:rPr>
        <w:t>:</w:t>
      </w:r>
    </w:p>
    <w:p w:rsidR="00B37B54" w:rsidRPr="00857FF3" w:rsidRDefault="007E5B60" w:rsidP="00857FF3">
      <w:pPr>
        <w:spacing w:line="276" w:lineRule="auto"/>
        <w:ind w:left="567"/>
        <w:rPr>
          <w:sz w:val="20"/>
          <w:szCs w:val="20"/>
          <w:lang w:val="fr-FR"/>
        </w:rPr>
      </w:pPr>
      <w:r w:rsidRPr="00857FF3">
        <w:rPr>
          <w:sz w:val="20"/>
          <w:szCs w:val="20"/>
          <w:lang w:val="fr-FR"/>
        </w:rPr>
        <w:t>E</w:t>
      </w:r>
      <w:r w:rsidR="00B37B54" w:rsidRPr="00857FF3">
        <w:rPr>
          <w:sz w:val="20"/>
          <w:szCs w:val="20"/>
          <w:lang w:val="fr-FR"/>
        </w:rPr>
        <w:t xml:space="preserve">n </w:t>
      </w:r>
      <w:r w:rsidRPr="00857FF3">
        <w:rPr>
          <w:sz w:val="20"/>
          <w:szCs w:val="20"/>
          <w:lang w:val="fr-FR"/>
        </w:rPr>
        <w:t xml:space="preserve">guise de </w:t>
      </w:r>
      <w:r w:rsidR="00B37B54" w:rsidRPr="00857FF3">
        <w:rPr>
          <w:sz w:val="20"/>
          <w:szCs w:val="20"/>
          <w:lang w:val="fr-FR"/>
        </w:rPr>
        <w:t>pr</w:t>
      </w:r>
      <w:r w:rsidRPr="00857FF3">
        <w:rPr>
          <w:sz w:val="20"/>
          <w:szCs w:val="20"/>
          <w:lang w:val="fr-FR"/>
        </w:rPr>
        <w:t>é</w:t>
      </w:r>
      <w:r w:rsidR="00B37B54" w:rsidRPr="00857FF3">
        <w:rPr>
          <w:sz w:val="20"/>
          <w:szCs w:val="20"/>
          <w:lang w:val="fr-FR"/>
        </w:rPr>
        <w:t xml:space="preserve">paration </w:t>
      </w:r>
      <w:r w:rsidRPr="00857FF3">
        <w:rPr>
          <w:sz w:val="20"/>
          <w:szCs w:val="20"/>
          <w:lang w:val="fr-FR"/>
        </w:rPr>
        <w:t>à cette étude de</w:t>
      </w:r>
      <w:r w:rsidR="00B37B54" w:rsidRPr="00857FF3">
        <w:rPr>
          <w:sz w:val="20"/>
          <w:szCs w:val="20"/>
          <w:lang w:val="fr-FR"/>
        </w:rPr>
        <w:t xml:space="preserve"> cas</w:t>
      </w:r>
      <w:r w:rsidRPr="00857FF3">
        <w:rPr>
          <w:sz w:val="20"/>
          <w:szCs w:val="20"/>
          <w:lang w:val="fr-FR"/>
        </w:rPr>
        <w:t>, les</w:t>
      </w:r>
      <w:r w:rsidR="00B37B54" w:rsidRPr="00857FF3">
        <w:rPr>
          <w:sz w:val="20"/>
          <w:szCs w:val="20"/>
          <w:lang w:val="fr-FR"/>
        </w:rPr>
        <w:t xml:space="preserve"> participants</w:t>
      </w:r>
      <w:r w:rsidR="00B8443F" w:rsidRPr="00857FF3">
        <w:rPr>
          <w:sz w:val="20"/>
          <w:szCs w:val="20"/>
          <w:lang w:val="fr-FR"/>
        </w:rPr>
        <w:t xml:space="preserve"> pourraient être </w:t>
      </w:r>
      <w:r w:rsidR="00B37B54" w:rsidRPr="00857FF3">
        <w:rPr>
          <w:sz w:val="20"/>
          <w:szCs w:val="20"/>
          <w:lang w:val="fr-FR"/>
        </w:rPr>
        <w:t>encourag</w:t>
      </w:r>
      <w:r w:rsidR="00B8443F" w:rsidRPr="00857FF3">
        <w:rPr>
          <w:sz w:val="20"/>
          <w:szCs w:val="20"/>
          <w:lang w:val="fr-FR"/>
        </w:rPr>
        <w:t>és à lire ce bref aperçu</w:t>
      </w:r>
      <w:r w:rsidR="00B37B54" w:rsidRPr="00857FF3">
        <w:rPr>
          <w:sz w:val="20"/>
          <w:szCs w:val="20"/>
          <w:lang w:val="fr-FR"/>
        </w:rPr>
        <w:t>:</w:t>
      </w:r>
    </w:p>
    <w:p w:rsidR="00B37B54" w:rsidRPr="00857FF3" w:rsidRDefault="00B37B54" w:rsidP="00857FF3">
      <w:pPr>
        <w:pStyle w:val="citationunit"/>
        <w:numPr>
          <w:ilvl w:val="0"/>
          <w:numId w:val="7"/>
        </w:numPr>
        <w:jc w:val="left"/>
        <w:rPr>
          <w:lang w:eastAsia="en-US"/>
        </w:rPr>
      </w:pPr>
      <w:r w:rsidRPr="00857FF3">
        <w:rPr>
          <w:lang w:eastAsia="en-US"/>
        </w:rPr>
        <w:t xml:space="preserve">WIPO, </w:t>
      </w:r>
      <w:r w:rsidR="00B8443F" w:rsidRPr="00857FF3">
        <w:rPr>
          <w:lang w:eastAsia="en-US"/>
        </w:rPr>
        <w:t>Savoir traditionnel et propriété intellectuelle</w:t>
      </w:r>
      <w:r w:rsidRPr="00857FF3">
        <w:rPr>
          <w:lang w:eastAsia="en-US"/>
        </w:rPr>
        <w:t xml:space="preserve"> (</w:t>
      </w:r>
      <w:r w:rsidR="00B8443F" w:rsidRPr="00857FF3">
        <w:rPr>
          <w:lang w:eastAsia="en-US"/>
        </w:rPr>
        <w:t>également disponible en arabe,</w:t>
      </w:r>
      <w:r w:rsidR="00DA7624" w:rsidRPr="00857FF3">
        <w:rPr>
          <w:lang w:eastAsia="en-US"/>
        </w:rPr>
        <w:t xml:space="preserve"> anglais</w:t>
      </w:r>
      <w:r w:rsidR="00B8443F" w:rsidRPr="00857FF3">
        <w:rPr>
          <w:lang w:eastAsia="en-US"/>
        </w:rPr>
        <w:t xml:space="preserve"> chinois, russe et espagnol</w:t>
      </w:r>
      <w:r w:rsidRPr="00857FF3">
        <w:rPr>
          <w:lang w:eastAsia="en-US"/>
        </w:rPr>
        <w:t xml:space="preserve">): </w:t>
      </w:r>
      <w:hyperlink r:id="rId11" w:history="1">
        <w:r w:rsidRPr="00857FF3">
          <w:rPr>
            <w:lang w:eastAsia="en-US"/>
          </w:rPr>
          <w:t>http://www.wipo.int/export/sites/www/tk/en/resources/pdf/tk_brief1.pdf</w:t>
        </w:r>
      </w:hyperlink>
    </w:p>
    <w:p w:rsidR="00B37B54" w:rsidRPr="00857FF3" w:rsidRDefault="00B8443F" w:rsidP="00857FF3">
      <w:pPr>
        <w:pStyle w:val="citationunit"/>
        <w:numPr>
          <w:ilvl w:val="0"/>
          <w:numId w:val="7"/>
        </w:numPr>
        <w:jc w:val="left"/>
        <w:rPr>
          <w:lang w:eastAsia="en-US"/>
        </w:rPr>
      </w:pPr>
      <w:r w:rsidRPr="00857FF3">
        <w:rPr>
          <w:lang w:eastAsia="en-US"/>
        </w:rPr>
        <w:t>Les f</w:t>
      </w:r>
      <w:r w:rsidR="00B37B54" w:rsidRPr="00857FF3">
        <w:rPr>
          <w:lang w:eastAsia="en-US"/>
        </w:rPr>
        <w:t>acilitat</w:t>
      </w:r>
      <w:r w:rsidRPr="00857FF3">
        <w:rPr>
          <w:lang w:eastAsia="en-US"/>
        </w:rPr>
        <w:t>eu</w:t>
      </w:r>
      <w:r w:rsidR="00B37B54" w:rsidRPr="00857FF3">
        <w:rPr>
          <w:lang w:eastAsia="en-US"/>
        </w:rPr>
        <w:t xml:space="preserve">rs </w:t>
      </w:r>
      <w:r w:rsidRPr="00857FF3">
        <w:rPr>
          <w:lang w:eastAsia="en-US"/>
        </w:rPr>
        <w:t>peuvent trouver cette analyse plus détaillée intéressante</w:t>
      </w:r>
      <w:r w:rsidR="00B37B54" w:rsidRPr="00857FF3">
        <w:rPr>
          <w:lang w:eastAsia="en-US"/>
        </w:rPr>
        <w:t>: WIPO, Prop</w:t>
      </w:r>
      <w:r w:rsidR="00697EF4" w:rsidRPr="00857FF3">
        <w:rPr>
          <w:lang w:eastAsia="en-US"/>
        </w:rPr>
        <w:t>riété</w:t>
      </w:r>
      <w:r w:rsidR="00B37B54" w:rsidRPr="00857FF3">
        <w:rPr>
          <w:lang w:eastAsia="en-US"/>
        </w:rPr>
        <w:t xml:space="preserve"> </w:t>
      </w:r>
      <w:r w:rsidR="00697EF4" w:rsidRPr="00857FF3">
        <w:rPr>
          <w:lang w:eastAsia="en-US"/>
        </w:rPr>
        <w:t>intellectuelle et</w:t>
      </w:r>
      <w:r w:rsidR="00B37B54" w:rsidRPr="00857FF3">
        <w:rPr>
          <w:lang w:eastAsia="en-US"/>
        </w:rPr>
        <w:t xml:space="preserve"> </w:t>
      </w:r>
      <w:r w:rsidR="00697EF4" w:rsidRPr="00857FF3">
        <w:rPr>
          <w:lang w:eastAsia="en-US"/>
        </w:rPr>
        <w:t>r</w:t>
      </w:r>
      <w:r w:rsidR="00B37B54" w:rsidRPr="00857FF3">
        <w:rPr>
          <w:lang w:eastAsia="en-US"/>
        </w:rPr>
        <w:t>es</w:t>
      </w:r>
      <w:r w:rsidR="00697EF4" w:rsidRPr="00857FF3">
        <w:rPr>
          <w:lang w:eastAsia="en-US"/>
        </w:rPr>
        <w:t>s</w:t>
      </w:r>
      <w:r w:rsidR="00B37B54" w:rsidRPr="00857FF3">
        <w:rPr>
          <w:lang w:eastAsia="en-US"/>
        </w:rPr>
        <w:t>ources</w:t>
      </w:r>
      <w:r w:rsidR="00697EF4" w:rsidRPr="00857FF3">
        <w:rPr>
          <w:lang w:eastAsia="en-US"/>
        </w:rPr>
        <w:t xml:space="preserve"> génétiques</w:t>
      </w:r>
      <w:r w:rsidR="00B37B54" w:rsidRPr="00857FF3">
        <w:rPr>
          <w:lang w:eastAsia="en-US"/>
        </w:rPr>
        <w:t xml:space="preserve">, </w:t>
      </w:r>
      <w:r w:rsidR="00697EF4" w:rsidRPr="00857FF3">
        <w:rPr>
          <w:lang w:eastAsia="en-US"/>
        </w:rPr>
        <w:t xml:space="preserve">savoir traditionnel </w:t>
      </w:r>
      <w:r w:rsidR="00B37B54" w:rsidRPr="00857FF3">
        <w:rPr>
          <w:lang w:eastAsia="en-US"/>
        </w:rPr>
        <w:t xml:space="preserve">and </w:t>
      </w:r>
      <w:r w:rsidR="00697EF4" w:rsidRPr="00857FF3">
        <w:rPr>
          <w:lang w:eastAsia="en-US"/>
        </w:rPr>
        <w:t>e</w:t>
      </w:r>
      <w:r w:rsidR="00B37B54" w:rsidRPr="00857FF3">
        <w:rPr>
          <w:lang w:eastAsia="en-US"/>
        </w:rPr>
        <w:t xml:space="preserve">xpressions </w:t>
      </w:r>
      <w:r w:rsidR="00697EF4" w:rsidRPr="00857FF3">
        <w:rPr>
          <w:lang w:eastAsia="en-US"/>
        </w:rPr>
        <w:t xml:space="preserve">culturelles traditionnelles </w:t>
      </w:r>
      <w:r w:rsidR="00B37B54" w:rsidRPr="00857FF3">
        <w:rPr>
          <w:lang w:eastAsia="en-US"/>
        </w:rPr>
        <w:t>(</w:t>
      </w:r>
      <w:r w:rsidR="00697EF4" w:rsidRPr="00857FF3">
        <w:rPr>
          <w:lang w:eastAsia="en-US"/>
        </w:rPr>
        <w:t>également disponible en arabe, chinois, anglais, russe et espagnol</w:t>
      </w:r>
      <w:r w:rsidR="00B37B54" w:rsidRPr="00857FF3">
        <w:rPr>
          <w:lang w:eastAsia="en-US"/>
        </w:rPr>
        <w:t xml:space="preserve">): </w:t>
      </w:r>
      <w:hyperlink r:id="rId12" w:history="1">
        <w:r w:rsidR="00697EF4" w:rsidRPr="00857FF3">
          <w:rPr>
            <w:lang w:eastAsia="en-US"/>
          </w:rPr>
          <w:t>http://www.wipo.int/edocs/pubdocs/fr/tk/933/wipo_pub_933.pdf</w:t>
        </w:r>
      </w:hyperlink>
      <w:r w:rsidR="00697EF4" w:rsidRPr="00857FF3">
        <w:rPr>
          <w:lang w:eastAsia="en-US"/>
        </w:rPr>
        <w:t xml:space="preserve"> </w:t>
      </w:r>
    </w:p>
    <w:p w:rsidR="00B37B54" w:rsidRPr="00857FF3" w:rsidRDefault="00697EF4" w:rsidP="00857FF3">
      <w:pPr>
        <w:pStyle w:val="citationunit"/>
        <w:numPr>
          <w:ilvl w:val="0"/>
          <w:numId w:val="7"/>
        </w:numPr>
        <w:jc w:val="left"/>
        <w:rPr>
          <w:lang w:eastAsia="en-US"/>
        </w:rPr>
      </w:pPr>
      <w:r w:rsidRPr="00857FF3">
        <w:rPr>
          <w:lang w:eastAsia="en-US"/>
        </w:rPr>
        <w:t>P</w:t>
      </w:r>
      <w:r w:rsidR="00DA7624" w:rsidRPr="00857FF3">
        <w:rPr>
          <w:lang w:eastAsia="en-US"/>
        </w:rPr>
        <w:t>our p</w:t>
      </w:r>
      <w:r w:rsidRPr="00857FF3">
        <w:rPr>
          <w:lang w:eastAsia="en-US"/>
        </w:rPr>
        <w:t xml:space="preserve">lus de </w:t>
      </w:r>
      <w:r w:rsidR="00DA7624" w:rsidRPr="00857FF3">
        <w:rPr>
          <w:lang w:eastAsia="en-US"/>
        </w:rPr>
        <w:t>dé</w:t>
      </w:r>
      <w:r w:rsidRPr="00857FF3">
        <w:rPr>
          <w:lang w:eastAsia="en-US"/>
        </w:rPr>
        <w:t>tails  en matière de propriété intellectuelle</w:t>
      </w:r>
      <w:r w:rsidR="00B37B54" w:rsidRPr="00857FF3">
        <w:rPr>
          <w:lang w:eastAsia="en-US"/>
        </w:rPr>
        <w:t>: WIPO</w:t>
      </w:r>
      <w:r w:rsidR="00DA7624" w:rsidRPr="00857FF3">
        <w:rPr>
          <w:lang w:eastAsia="en-US"/>
        </w:rPr>
        <w:t>, Guide de la propriété i</w:t>
      </w:r>
      <w:r w:rsidR="00B37B54" w:rsidRPr="00857FF3">
        <w:rPr>
          <w:lang w:eastAsia="en-US"/>
        </w:rPr>
        <w:t>ntellectu</w:t>
      </w:r>
      <w:r w:rsidR="00DA7624" w:rsidRPr="00857FF3">
        <w:rPr>
          <w:lang w:eastAsia="en-US"/>
        </w:rPr>
        <w:t>e</w:t>
      </w:r>
      <w:r w:rsidR="00B37B54" w:rsidRPr="00857FF3">
        <w:rPr>
          <w:lang w:eastAsia="en-US"/>
        </w:rPr>
        <w:t>l</w:t>
      </w:r>
      <w:r w:rsidR="00DA7624" w:rsidRPr="00857FF3">
        <w:rPr>
          <w:lang w:eastAsia="en-US"/>
        </w:rPr>
        <w:t>le</w:t>
      </w:r>
      <w:r w:rsidR="00B37B54" w:rsidRPr="00857FF3">
        <w:rPr>
          <w:lang w:eastAsia="en-US"/>
        </w:rPr>
        <w:t xml:space="preserve">, p.40ff </w:t>
      </w:r>
      <w:hyperlink r:id="rId13" w:history="1">
        <w:r w:rsidR="00B37B54" w:rsidRPr="00857FF3">
          <w:rPr>
            <w:lang w:eastAsia="en-US"/>
          </w:rPr>
          <w:t>http://www.wipo.int/edocs/pubdocs/en/intproperty/489/wipo_pub_489.pdf</w:t>
        </w:r>
      </w:hyperlink>
      <w:r w:rsidR="008B6CFA">
        <w:rPr>
          <w:lang w:eastAsia="en-US"/>
        </w:rPr>
        <w:t>.</w:t>
      </w:r>
    </w:p>
    <w:p w:rsidR="00B37B54" w:rsidRPr="00857FF3" w:rsidRDefault="00DA7624" w:rsidP="00857FF3">
      <w:pPr>
        <w:pStyle w:val="citationunit"/>
        <w:numPr>
          <w:ilvl w:val="0"/>
          <w:numId w:val="7"/>
        </w:numPr>
        <w:jc w:val="left"/>
        <w:rPr>
          <w:lang w:eastAsia="en-US"/>
        </w:rPr>
      </w:pPr>
      <w:r w:rsidRPr="00857FF3">
        <w:rPr>
          <w:lang w:eastAsia="en-US"/>
        </w:rPr>
        <w:t xml:space="preserve">Pour une </w:t>
      </w:r>
      <w:r w:rsidR="00B37B54" w:rsidRPr="00857FF3">
        <w:rPr>
          <w:lang w:eastAsia="en-US"/>
        </w:rPr>
        <w:t xml:space="preserve">discussion </w:t>
      </w:r>
      <w:r w:rsidRPr="00857FF3">
        <w:rPr>
          <w:lang w:eastAsia="en-US"/>
        </w:rPr>
        <w:t>sur le domaine publique, cf.</w:t>
      </w:r>
      <w:r w:rsidR="00B37B54" w:rsidRPr="00857FF3">
        <w:rPr>
          <w:lang w:eastAsia="en-US"/>
        </w:rPr>
        <w:t xml:space="preserve"> WIPO, 2010. ‘Note </w:t>
      </w:r>
      <w:r w:rsidRPr="00857FF3">
        <w:rPr>
          <w:lang w:eastAsia="en-US"/>
        </w:rPr>
        <w:t>sur les significations du t</w:t>
      </w:r>
      <w:r w:rsidR="00B37B54" w:rsidRPr="00857FF3">
        <w:rPr>
          <w:lang w:eastAsia="en-US"/>
        </w:rPr>
        <w:t>erm</w:t>
      </w:r>
      <w:r w:rsidRPr="00857FF3">
        <w:rPr>
          <w:lang w:eastAsia="en-US"/>
        </w:rPr>
        <w:t>e</w:t>
      </w:r>
      <w:r w:rsidR="00B37B54" w:rsidRPr="00857FF3">
        <w:rPr>
          <w:lang w:eastAsia="en-US"/>
        </w:rPr>
        <w:t xml:space="preserve">  </w:t>
      </w:r>
      <w:r w:rsidRPr="00857FF3">
        <w:rPr>
          <w:lang w:eastAsia="en-US"/>
        </w:rPr>
        <w:t>« d</w:t>
      </w:r>
      <w:r w:rsidR="00B37B54" w:rsidRPr="00857FF3">
        <w:rPr>
          <w:lang w:eastAsia="en-US"/>
        </w:rPr>
        <w:t>omain</w:t>
      </w:r>
      <w:r w:rsidRPr="00857FF3">
        <w:rPr>
          <w:lang w:eastAsia="en-US"/>
        </w:rPr>
        <w:t xml:space="preserve">e public » </w:t>
      </w:r>
      <w:hyperlink r:id="rId14" w:history="1">
        <w:r w:rsidRPr="00857FF3">
          <w:rPr>
            <w:lang w:eastAsia="en-US"/>
          </w:rPr>
          <w:t>http://www.wipo.int/edocs/mdocs/tk/fr/wipo_grtkf_ic_17/wipo_grtkf_ic_17_inf_8.pdf</w:t>
        </w:r>
      </w:hyperlink>
      <w:r w:rsidRPr="00857FF3">
        <w:rPr>
          <w:lang w:eastAsia="en-US"/>
        </w:rPr>
        <w:t xml:space="preserve"> </w:t>
      </w:r>
    </w:p>
    <w:p w:rsidR="00B37B54" w:rsidRPr="00857FF3" w:rsidRDefault="00DA7624" w:rsidP="00857FF3">
      <w:pPr>
        <w:pStyle w:val="citationunit"/>
        <w:numPr>
          <w:ilvl w:val="0"/>
          <w:numId w:val="7"/>
        </w:numPr>
        <w:jc w:val="left"/>
        <w:rPr>
          <w:lang w:eastAsia="en-US"/>
        </w:rPr>
      </w:pPr>
      <w:r w:rsidRPr="00857FF3">
        <w:rPr>
          <w:lang w:eastAsia="en-US"/>
        </w:rPr>
        <w:t>Pour davantage d’</w:t>
      </w:r>
      <w:r w:rsidR="00B37B54" w:rsidRPr="00857FF3">
        <w:rPr>
          <w:lang w:eastAsia="en-US"/>
        </w:rPr>
        <w:t>information</w:t>
      </w:r>
      <w:r w:rsidRPr="00857FF3">
        <w:rPr>
          <w:lang w:eastAsia="en-US"/>
        </w:rPr>
        <w:t>s</w:t>
      </w:r>
      <w:r w:rsidR="00B37B54" w:rsidRPr="00857FF3">
        <w:rPr>
          <w:lang w:eastAsia="en-US"/>
        </w:rPr>
        <w:t xml:space="preserve"> </w:t>
      </w:r>
      <w:r w:rsidRPr="00857FF3">
        <w:rPr>
          <w:lang w:eastAsia="en-US"/>
        </w:rPr>
        <w:t xml:space="preserve">sur la gestion des droits de la propriété intellectuelle dans les musées, </w:t>
      </w:r>
      <w:r w:rsidR="00B37B54" w:rsidRPr="00857FF3">
        <w:rPr>
          <w:lang w:eastAsia="en-US"/>
        </w:rPr>
        <w:t>se</w:t>
      </w:r>
      <w:r w:rsidRPr="00857FF3">
        <w:rPr>
          <w:lang w:eastAsia="en-US"/>
        </w:rPr>
        <w:t xml:space="preserve"> référer à</w:t>
      </w:r>
      <w:r w:rsidR="00B37B54" w:rsidRPr="00857FF3">
        <w:rPr>
          <w:lang w:eastAsia="en-US"/>
        </w:rPr>
        <w:t xml:space="preserve"> WIPO, </w:t>
      </w:r>
      <w:r w:rsidR="009B4CC6" w:rsidRPr="00857FF3">
        <w:rPr>
          <w:lang w:eastAsia="en-US"/>
        </w:rPr>
        <w:t>Question d’ordre éthique et options concrètes pour les musées, bibliothèques et les</w:t>
      </w:r>
      <w:r w:rsidR="00B37B54" w:rsidRPr="00857FF3">
        <w:rPr>
          <w:lang w:eastAsia="en-US"/>
        </w:rPr>
        <w:t xml:space="preserve"> </w:t>
      </w:r>
      <w:r w:rsidRPr="00857FF3">
        <w:rPr>
          <w:lang w:eastAsia="en-US"/>
        </w:rPr>
        <w:t>a</w:t>
      </w:r>
      <w:r w:rsidR="00B37B54" w:rsidRPr="00857FF3">
        <w:rPr>
          <w:lang w:eastAsia="en-US"/>
        </w:rPr>
        <w:t>rchives (</w:t>
      </w:r>
      <w:r w:rsidRPr="00857FF3">
        <w:rPr>
          <w:lang w:eastAsia="en-US"/>
        </w:rPr>
        <w:t>traduit en anglais, français et espagnol</w:t>
      </w:r>
      <w:r w:rsidR="00B37B54" w:rsidRPr="00857FF3">
        <w:rPr>
          <w:lang w:eastAsia="en-US"/>
        </w:rPr>
        <w:t xml:space="preserve">): </w:t>
      </w:r>
      <w:hyperlink r:id="rId15" w:history="1">
        <w:r w:rsidR="009B4CC6" w:rsidRPr="00857FF3">
          <w:rPr>
            <w:lang w:eastAsia="en-US"/>
          </w:rPr>
          <w:t>http://www.wipo.int/edocs/pubdocs/fr/tk/1023/wipo_pub_1023.pdf</w:t>
        </w:r>
      </w:hyperlink>
      <w:r w:rsidR="009B4CC6" w:rsidRPr="00857FF3">
        <w:rPr>
          <w:lang w:eastAsia="en-US"/>
        </w:rPr>
        <w:t xml:space="preserve"> </w:t>
      </w:r>
    </w:p>
    <w:p w:rsidR="00FF69DB" w:rsidRPr="00857FF3" w:rsidRDefault="009B4CC6" w:rsidP="00857FF3">
      <w:pPr>
        <w:pStyle w:val="citationunit"/>
        <w:numPr>
          <w:ilvl w:val="0"/>
          <w:numId w:val="7"/>
        </w:numPr>
        <w:jc w:val="left"/>
        <w:rPr>
          <w:lang w:eastAsia="en-US"/>
        </w:rPr>
      </w:pPr>
      <w:r w:rsidRPr="00857FF3">
        <w:rPr>
          <w:lang w:eastAsia="en-US"/>
        </w:rPr>
        <w:lastRenderedPageBreak/>
        <w:t xml:space="preserve">Pour une </w:t>
      </w:r>
      <w:r w:rsidR="00B37B54" w:rsidRPr="00857FF3">
        <w:rPr>
          <w:lang w:eastAsia="en-US"/>
        </w:rPr>
        <w:t xml:space="preserve">discussion </w:t>
      </w:r>
      <w:r w:rsidRPr="00857FF3">
        <w:rPr>
          <w:lang w:eastAsia="en-US"/>
        </w:rPr>
        <w:t xml:space="preserve">autour des directives d’éthique relatives à la sauvegarde du PCI, </w:t>
      </w:r>
      <w:r w:rsidR="00B37B54" w:rsidRPr="00857FF3">
        <w:rPr>
          <w:lang w:eastAsia="en-US"/>
        </w:rPr>
        <w:t xml:space="preserve"> se</w:t>
      </w:r>
      <w:r w:rsidRPr="00857FF3">
        <w:rPr>
          <w:lang w:eastAsia="en-US"/>
        </w:rPr>
        <w:t xml:space="preserve"> référer au document :</w:t>
      </w:r>
      <w:r w:rsidR="00B37B54" w:rsidRPr="00857FF3">
        <w:rPr>
          <w:lang w:eastAsia="en-US"/>
        </w:rPr>
        <w:t xml:space="preserve"> </w:t>
      </w:r>
      <w:r w:rsidRPr="00857FF3">
        <w:rPr>
          <w:lang w:eastAsia="en-US"/>
        </w:rPr>
        <w:t>« </w:t>
      </w:r>
      <w:r w:rsidR="00B37B54" w:rsidRPr="00857FF3">
        <w:rPr>
          <w:lang w:eastAsia="en-US"/>
        </w:rPr>
        <w:t>codes</w:t>
      </w:r>
      <w:r w:rsidRPr="00857FF3">
        <w:rPr>
          <w:lang w:eastAsia="en-US"/>
        </w:rPr>
        <w:t xml:space="preserve"> d’éthique pour le patrimoine culturel immatériel » </w:t>
      </w:r>
      <w:r w:rsidR="00B37B54" w:rsidRPr="00857FF3">
        <w:rPr>
          <w:lang w:eastAsia="en-US"/>
        </w:rPr>
        <w:t xml:space="preserve"> (</w:t>
      </w:r>
      <w:r w:rsidRPr="00857FF3">
        <w:rPr>
          <w:lang w:eastAsia="en-US"/>
        </w:rPr>
        <w:t xml:space="preserve"> </w:t>
      </w:r>
      <w:hyperlink r:id="rId16" w:history="1">
        <w:r w:rsidRPr="00857FF3">
          <w:rPr>
            <w:lang w:eastAsia="en-US"/>
          </w:rPr>
          <w:t>http://www.unesco.org/culture/ich/fr/evenements</w:t>
        </w:r>
      </w:hyperlink>
      <w:r w:rsidR="00B37B54" w:rsidRPr="00857FF3">
        <w:rPr>
          <w:lang w:eastAsia="en-US"/>
        </w:rPr>
        <w:t>)</w:t>
      </w:r>
    </w:p>
    <w:sectPr w:rsidR="00FF69DB" w:rsidRPr="00857FF3" w:rsidSect="00857FF3">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0BF" w:rsidRDefault="00C410BF" w:rsidP="00924F13">
      <w:pPr>
        <w:spacing w:before="0" w:after="0"/>
      </w:pPr>
      <w:r>
        <w:separator/>
      </w:r>
    </w:p>
  </w:endnote>
  <w:endnote w:type="continuationSeparator" w:id="0">
    <w:p w:rsidR="00C410BF" w:rsidRDefault="00C410BF" w:rsidP="00924F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F13" w:rsidRPr="00857FF3" w:rsidRDefault="00F315A3" w:rsidP="00857FF3">
    <w:pPr>
      <w:tabs>
        <w:tab w:val="clear" w:pos="567"/>
        <w:tab w:val="center" w:pos="4500"/>
        <w:tab w:val="right" w:pos="9000"/>
      </w:tabs>
      <w:snapToGrid/>
      <w:spacing w:before="0" w:after="0" w:line="240" w:lineRule="exact"/>
      <w:jc w:val="left"/>
      <w:rPr>
        <w:rFonts w:eastAsia="Calibri" w:cs="Times New Roman"/>
        <w:snapToGrid/>
        <w:sz w:val="16"/>
        <w:szCs w:val="22"/>
        <w:lang w:val="it-IT" w:eastAsia="en-US"/>
      </w:rPr>
    </w:pPr>
    <w:r>
      <w:rPr>
        <w:noProof/>
        <w:lang w:val="fr-FR" w:eastAsia="ja-JP"/>
      </w:rPr>
      <w:drawing>
        <wp:anchor distT="0" distB="0" distL="114300" distR="114300" simplePos="0" relativeHeight="251686912" behindDoc="0" locked="0" layoutInCell="1" allowOverlap="1" wp14:anchorId="2AFDB58A" wp14:editId="622A4633">
          <wp:simplePos x="0" y="0"/>
          <wp:positionH relativeFrom="column">
            <wp:posOffset>2371725</wp:posOffset>
          </wp:positionH>
          <wp:positionV relativeFrom="paragraph">
            <wp:posOffset>-12065</wp:posOffset>
          </wp:positionV>
          <wp:extent cx="542290" cy="189230"/>
          <wp:effectExtent l="0" t="0" r="0" b="127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857FF3">
      <w:rPr>
        <w:rFonts w:eastAsia="Calibri" w:cs="Times New Roman"/>
        <w:noProof/>
        <w:snapToGrid/>
        <w:sz w:val="16"/>
        <w:szCs w:val="22"/>
        <w:lang w:val="fr-FR" w:eastAsia="ja-JP"/>
      </w:rPr>
      <w:drawing>
        <wp:anchor distT="0" distB="0" distL="114300" distR="114300" simplePos="0" relativeHeight="251674624" behindDoc="0" locked="0" layoutInCell="1" allowOverlap="1" wp14:anchorId="371824DA" wp14:editId="344A8C86">
          <wp:simplePos x="0" y="0"/>
          <wp:positionH relativeFrom="column">
            <wp:posOffset>-117343</wp:posOffset>
          </wp:positionH>
          <wp:positionV relativeFrom="paragraph">
            <wp:posOffset>-247279</wp:posOffset>
          </wp:positionV>
          <wp:extent cx="942975" cy="70675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2975" cy="706755"/>
                  </a:xfrm>
                  <a:prstGeom prst="rect">
                    <a:avLst/>
                  </a:prstGeom>
                </pic:spPr>
              </pic:pic>
            </a:graphicData>
          </a:graphic>
          <wp14:sizeRelH relativeFrom="page">
            <wp14:pctWidth>0</wp14:pctWidth>
          </wp14:sizeRelH>
          <wp14:sizeRelV relativeFrom="page">
            <wp14:pctHeight>0</wp14:pctHeight>
          </wp14:sizeRelV>
        </wp:anchor>
      </w:drawing>
    </w:r>
    <w:r w:rsidR="00437411">
      <w:rPr>
        <w:noProof/>
        <w:sz w:val="16"/>
        <w:szCs w:val="16"/>
        <w:lang w:val="fr-FR" w:eastAsia="fr-FR"/>
      </w:rPr>
      <w:t>11</w:t>
    </w:r>
    <w:r w:rsidR="00AF3F6A" w:rsidRPr="00D52D0F">
      <w:rPr>
        <w:rFonts w:eastAsia="Calibri" w:cs="Times New Roman"/>
        <w:snapToGrid/>
        <w:sz w:val="16"/>
        <w:szCs w:val="22"/>
        <w:lang w:val="it-IT" w:eastAsia="en-US"/>
      </w:rPr>
      <w:tab/>
    </w:r>
    <w:r w:rsidR="00AF3F6A">
      <w:rPr>
        <w:rFonts w:eastAsia="Calibri" w:cs="Times New Roman"/>
        <w:snapToGrid/>
        <w:sz w:val="16"/>
        <w:szCs w:val="22"/>
        <w:lang w:val="it-IT" w:eastAsia="en-US"/>
      </w:rPr>
      <w:tab/>
      <w:t>U055-v1.0-FN4-FR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F13" w:rsidRPr="00857FF3" w:rsidRDefault="00F315A3" w:rsidP="00857FF3">
    <w:pPr>
      <w:tabs>
        <w:tab w:val="clear" w:pos="567"/>
        <w:tab w:val="center" w:pos="4423"/>
        <w:tab w:val="right" w:pos="8845"/>
      </w:tabs>
      <w:snapToGrid/>
      <w:spacing w:before="0" w:after="0" w:line="240" w:lineRule="exact"/>
      <w:jc w:val="left"/>
      <w:rPr>
        <w:rFonts w:eastAsia="Calibri" w:cs="Times New Roman"/>
        <w:snapToGrid/>
        <w:sz w:val="16"/>
        <w:szCs w:val="22"/>
        <w:lang w:val="it-IT" w:eastAsia="en-US"/>
      </w:rPr>
    </w:pPr>
    <w:r>
      <w:rPr>
        <w:noProof/>
        <w:lang w:val="fr-FR" w:eastAsia="ja-JP"/>
      </w:rPr>
      <w:drawing>
        <wp:anchor distT="0" distB="0" distL="114300" distR="114300" simplePos="0" relativeHeight="251688960" behindDoc="0" locked="0" layoutInCell="1" allowOverlap="1" wp14:anchorId="1A215072" wp14:editId="0B17E9AD">
          <wp:simplePos x="0" y="0"/>
          <wp:positionH relativeFrom="column">
            <wp:posOffset>2609850</wp:posOffset>
          </wp:positionH>
          <wp:positionV relativeFrom="paragraph">
            <wp:posOffset>-2540</wp:posOffset>
          </wp:positionV>
          <wp:extent cx="542290" cy="189230"/>
          <wp:effectExtent l="0" t="0" r="0" b="127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857FF3">
      <w:rPr>
        <w:rFonts w:eastAsia="Calibri" w:cs="Times New Roman"/>
        <w:noProof/>
        <w:snapToGrid/>
        <w:sz w:val="16"/>
        <w:szCs w:val="22"/>
        <w:lang w:val="fr-FR" w:eastAsia="ja-JP"/>
      </w:rPr>
      <w:drawing>
        <wp:anchor distT="0" distB="0" distL="114300" distR="114300" simplePos="0" relativeHeight="251676672" behindDoc="0" locked="0" layoutInCell="1" allowOverlap="1" wp14:anchorId="3BAE8995" wp14:editId="31E0DA3E">
          <wp:simplePos x="0" y="0"/>
          <wp:positionH relativeFrom="column">
            <wp:posOffset>4801403</wp:posOffset>
          </wp:positionH>
          <wp:positionV relativeFrom="paragraph">
            <wp:posOffset>-256540</wp:posOffset>
          </wp:positionV>
          <wp:extent cx="942975" cy="70675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2975" cy="706755"/>
                  </a:xfrm>
                  <a:prstGeom prst="rect">
                    <a:avLst/>
                  </a:prstGeom>
                </pic:spPr>
              </pic:pic>
            </a:graphicData>
          </a:graphic>
          <wp14:sizeRelH relativeFrom="page">
            <wp14:pctWidth>0</wp14:pctWidth>
          </wp14:sizeRelH>
          <wp14:sizeRelV relativeFrom="page">
            <wp14:pctHeight>0</wp14:pctHeight>
          </wp14:sizeRelV>
        </wp:anchor>
      </w:drawing>
    </w:r>
    <w:r w:rsidR="00AF3F6A" w:rsidRPr="00EE08FB">
      <w:rPr>
        <w:rFonts w:eastAsia="Calibri" w:cs="Times New Roman"/>
        <w:snapToGrid/>
        <w:sz w:val="16"/>
        <w:szCs w:val="22"/>
        <w:lang w:val="it-IT" w:eastAsia="en-US"/>
      </w:rPr>
      <w:t>U055-v1.0-FN</w:t>
    </w:r>
    <w:r w:rsidR="00AF3F6A">
      <w:rPr>
        <w:rFonts w:eastAsia="Calibri" w:cs="Times New Roman"/>
        <w:snapToGrid/>
        <w:sz w:val="16"/>
        <w:szCs w:val="22"/>
        <w:lang w:val="it-IT" w:eastAsia="en-US"/>
      </w:rPr>
      <w:t>4-FR</w:t>
    </w:r>
    <w:r w:rsidR="00AF3F6A" w:rsidRPr="00EE08FB">
      <w:rPr>
        <w:rFonts w:eastAsia="Calibri" w:cs="Times New Roman"/>
        <w:snapToGrid/>
        <w:sz w:val="16"/>
        <w:szCs w:val="22"/>
        <w:lang w:val="it-IT" w:eastAsia="en-US"/>
      </w:rPr>
      <w:tab/>
    </w:r>
    <w:r w:rsidR="00AF3F6A" w:rsidRPr="00EE08FB">
      <w:rPr>
        <w:rFonts w:eastAsia="Calibri" w:cs="Times New Roman"/>
        <w:snapToGrid/>
        <w:sz w:val="16"/>
        <w:szCs w:val="22"/>
        <w:lang w:val="it-IT"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9FA" w:rsidRPr="00857FF3" w:rsidRDefault="00F315A3" w:rsidP="00857FF3">
    <w:pPr>
      <w:tabs>
        <w:tab w:val="clear" w:pos="567"/>
        <w:tab w:val="center" w:pos="4423"/>
        <w:tab w:val="right" w:pos="8845"/>
      </w:tabs>
      <w:snapToGrid/>
      <w:spacing w:before="0" w:after="0" w:line="240" w:lineRule="exact"/>
      <w:jc w:val="left"/>
      <w:rPr>
        <w:rFonts w:eastAsia="Calibri" w:cs="Times New Roman"/>
        <w:snapToGrid/>
        <w:sz w:val="16"/>
        <w:szCs w:val="22"/>
        <w:lang w:val="it-IT" w:eastAsia="en-US"/>
      </w:rPr>
    </w:pPr>
    <w:r>
      <w:rPr>
        <w:noProof/>
        <w:lang w:val="fr-FR" w:eastAsia="ja-JP"/>
      </w:rPr>
      <w:drawing>
        <wp:anchor distT="0" distB="0" distL="114300" distR="114300" simplePos="0" relativeHeight="251684864" behindDoc="0" locked="0" layoutInCell="1" allowOverlap="1" wp14:anchorId="7F7010E6" wp14:editId="094554CC">
          <wp:simplePos x="0" y="0"/>
          <wp:positionH relativeFrom="column">
            <wp:posOffset>2695575</wp:posOffset>
          </wp:positionH>
          <wp:positionV relativeFrom="paragraph">
            <wp:posOffset>16510</wp:posOffset>
          </wp:positionV>
          <wp:extent cx="542290" cy="189230"/>
          <wp:effectExtent l="0" t="0" r="0" b="127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857FF3">
      <w:rPr>
        <w:rFonts w:eastAsia="Calibri" w:cs="Times New Roman"/>
        <w:noProof/>
        <w:snapToGrid/>
        <w:sz w:val="16"/>
        <w:szCs w:val="22"/>
        <w:lang w:val="fr-FR" w:eastAsia="ja-JP"/>
      </w:rPr>
      <w:drawing>
        <wp:anchor distT="0" distB="0" distL="114300" distR="114300" simplePos="0" relativeHeight="251672576" behindDoc="0" locked="0" layoutInCell="1" allowOverlap="1" wp14:anchorId="18F9C6AA" wp14:editId="4147384E">
          <wp:simplePos x="0" y="0"/>
          <wp:positionH relativeFrom="column">
            <wp:posOffset>4799965</wp:posOffset>
          </wp:positionH>
          <wp:positionV relativeFrom="paragraph">
            <wp:posOffset>-258193</wp:posOffset>
          </wp:positionV>
          <wp:extent cx="942975" cy="70675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2975" cy="706755"/>
                  </a:xfrm>
                  <a:prstGeom prst="rect">
                    <a:avLst/>
                  </a:prstGeom>
                </pic:spPr>
              </pic:pic>
            </a:graphicData>
          </a:graphic>
          <wp14:sizeRelH relativeFrom="page">
            <wp14:pctWidth>0</wp14:pctWidth>
          </wp14:sizeRelH>
          <wp14:sizeRelV relativeFrom="page">
            <wp14:pctHeight>0</wp14:pctHeight>
          </wp14:sizeRelV>
        </wp:anchor>
      </w:drawing>
    </w:r>
    <w:r w:rsidR="007F79FA" w:rsidRPr="00EE08FB">
      <w:rPr>
        <w:rFonts w:eastAsia="Calibri" w:cs="Times New Roman"/>
        <w:snapToGrid/>
        <w:sz w:val="16"/>
        <w:szCs w:val="22"/>
        <w:lang w:val="it-IT" w:eastAsia="en-US"/>
      </w:rPr>
      <w:t>U055-v1.0-FN</w:t>
    </w:r>
    <w:r w:rsidR="007F79FA">
      <w:rPr>
        <w:rFonts w:eastAsia="Calibri" w:cs="Times New Roman"/>
        <w:snapToGrid/>
        <w:sz w:val="16"/>
        <w:szCs w:val="22"/>
        <w:lang w:val="it-IT" w:eastAsia="en-US"/>
      </w:rPr>
      <w:t>4-FR</w:t>
    </w:r>
    <w:r w:rsidR="007F79FA" w:rsidRPr="00EE08FB">
      <w:rPr>
        <w:rFonts w:eastAsia="Calibri" w:cs="Times New Roman"/>
        <w:snapToGrid/>
        <w:sz w:val="16"/>
        <w:szCs w:val="22"/>
        <w:lang w:val="it-IT" w:eastAsia="en-US"/>
      </w:rPr>
      <w:tab/>
    </w:r>
    <w:r w:rsidR="007F79FA" w:rsidRPr="00EE08FB">
      <w:rPr>
        <w:rFonts w:eastAsia="Calibri" w:cs="Times New Roman"/>
        <w:snapToGrid/>
        <w:sz w:val="16"/>
        <w:szCs w:val="22"/>
        <w:lang w:val="it-IT"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0BF" w:rsidRDefault="00C410BF" w:rsidP="00924F13">
      <w:pPr>
        <w:spacing w:before="0" w:after="0"/>
      </w:pPr>
      <w:r>
        <w:separator/>
      </w:r>
    </w:p>
  </w:footnote>
  <w:footnote w:type="continuationSeparator" w:id="0">
    <w:p w:rsidR="00C410BF" w:rsidRDefault="00C410BF" w:rsidP="00924F1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F13" w:rsidRPr="00857FF3" w:rsidRDefault="004D3C52" w:rsidP="00857FF3">
    <w:pPr>
      <w:tabs>
        <w:tab w:val="clear" w:pos="567"/>
        <w:tab w:val="center" w:pos="4070"/>
        <w:tab w:val="right" w:pos="9000"/>
      </w:tabs>
      <w:snapToGrid/>
      <w:spacing w:before="0" w:after="200" w:line="276" w:lineRule="auto"/>
      <w:jc w:val="left"/>
      <w:rPr>
        <w:rFonts w:eastAsia="Calibri" w:cs="Times New Roman"/>
        <w:snapToGrid/>
        <w:sz w:val="16"/>
        <w:szCs w:val="22"/>
        <w:lang w:val="it-IT" w:eastAsia="en-US"/>
      </w:rPr>
    </w:pPr>
    <w:r w:rsidRPr="004D3C52">
      <w:rPr>
        <w:rFonts w:eastAsia="Calibri" w:cs="Times New Roman"/>
        <w:snapToGrid/>
        <w:sz w:val="16"/>
        <w:szCs w:val="22"/>
        <w:lang w:val="it-IT" w:eastAsia="en-US"/>
      </w:rPr>
      <w:fldChar w:fldCharType="begin"/>
    </w:r>
    <w:r w:rsidRPr="004D3C52">
      <w:rPr>
        <w:rFonts w:eastAsia="Calibri" w:cs="Times New Roman"/>
        <w:snapToGrid/>
        <w:sz w:val="16"/>
        <w:szCs w:val="22"/>
        <w:lang w:val="it-IT" w:eastAsia="en-US"/>
      </w:rPr>
      <w:instrText xml:space="preserve">PAGE  </w:instrText>
    </w:r>
    <w:r w:rsidRPr="004D3C52">
      <w:rPr>
        <w:rFonts w:eastAsia="Calibri" w:cs="Times New Roman"/>
        <w:snapToGrid/>
        <w:sz w:val="16"/>
        <w:szCs w:val="22"/>
        <w:lang w:val="it-IT" w:eastAsia="en-US"/>
      </w:rPr>
      <w:fldChar w:fldCharType="separate"/>
    </w:r>
    <w:r w:rsidR="00EB49FB">
      <w:rPr>
        <w:rFonts w:eastAsia="Calibri" w:cs="Times New Roman"/>
        <w:noProof/>
        <w:snapToGrid/>
        <w:sz w:val="16"/>
        <w:szCs w:val="22"/>
        <w:lang w:val="it-IT" w:eastAsia="en-US"/>
      </w:rPr>
      <w:t>2</w:t>
    </w:r>
    <w:r w:rsidRPr="004D3C52">
      <w:rPr>
        <w:rFonts w:eastAsia="Calibri" w:cs="Times New Roman"/>
        <w:snapToGrid/>
        <w:sz w:val="16"/>
        <w:szCs w:val="22"/>
        <w:lang w:val="it-IT" w:eastAsia="en-US"/>
      </w:rPr>
      <w:fldChar w:fldCharType="end"/>
    </w:r>
    <w:r w:rsidRPr="004D3C52">
      <w:rPr>
        <w:rFonts w:eastAsia="Calibri" w:cs="Times New Roman"/>
        <w:snapToGrid/>
        <w:sz w:val="16"/>
        <w:szCs w:val="22"/>
        <w:lang w:val="it-IT" w:eastAsia="en-US"/>
      </w:rPr>
      <w:tab/>
      <w:t>Unit</w:t>
    </w:r>
    <w:r w:rsidR="00AF3F6A">
      <w:rPr>
        <w:rFonts w:eastAsia="Calibri" w:cs="Times New Roman"/>
        <w:snapToGrid/>
        <w:sz w:val="16"/>
        <w:szCs w:val="22"/>
        <w:lang w:val="it-IT" w:eastAsia="en-US"/>
      </w:rPr>
      <w:t>é</w:t>
    </w:r>
    <w:r w:rsidRPr="004D3C52">
      <w:rPr>
        <w:rFonts w:eastAsia="Calibri" w:cs="Times New Roman"/>
        <w:snapToGrid/>
        <w:sz w:val="16"/>
        <w:szCs w:val="22"/>
        <w:lang w:val="it-IT" w:eastAsia="en-US"/>
      </w:rPr>
      <w:t xml:space="preserve"> 55: </w:t>
    </w:r>
    <w:r w:rsidR="00AF3F6A">
      <w:rPr>
        <w:rFonts w:eastAsia="Calibri" w:cs="Times New Roman"/>
        <w:snapToGrid/>
        <w:sz w:val="16"/>
        <w:szCs w:val="22"/>
        <w:lang w:val="it-IT" w:eastAsia="en-US"/>
      </w:rPr>
      <w:t>Atelier sur l’élaboration de politiques pour la sauvegarde du PCI</w:t>
    </w:r>
    <w:r w:rsidRPr="004D3C52">
      <w:rPr>
        <w:rFonts w:eastAsia="Calibri" w:cs="Times New Roman"/>
        <w:snapToGrid/>
        <w:sz w:val="16"/>
        <w:szCs w:val="22"/>
        <w:lang w:val="it-IT" w:eastAsia="en-US"/>
      </w:rPr>
      <w:tab/>
    </w:r>
    <w:r w:rsidR="00AF3F6A">
      <w:rPr>
        <w:rFonts w:eastAsia="Calibri" w:cs="Times New Roman"/>
        <w:snapToGrid/>
        <w:sz w:val="16"/>
        <w:szCs w:val="22"/>
        <w:lang w:val="it-IT" w:eastAsia="en-US"/>
      </w:rPr>
      <w:t>Notes du facilitateur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9FA" w:rsidRPr="00857FF3" w:rsidRDefault="00AF3F6A" w:rsidP="00857FF3">
    <w:pPr>
      <w:tabs>
        <w:tab w:val="clear" w:pos="567"/>
        <w:tab w:val="center" w:pos="4423"/>
        <w:tab w:val="right" w:pos="9000"/>
      </w:tabs>
      <w:snapToGrid/>
      <w:spacing w:before="0" w:after="200" w:line="276" w:lineRule="auto"/>
      <w:jc w:val="left"/>
      <w:rPr>
        <w:rFonts w:eastAsia="Calibri" w:cs="Times New Roman"/>
        <w:snapToGrid/>
        <w:sz w:val="16"/>
        <w:szCs w:val="22"/>
        <w:lang w:val="it-IT" w:eastAsia="en-US"/>
      </w:rPr>
    </w:pPr>
    <w:r>
      <w:rPr>
        <w:rFonts w:eastAsia="Calibri" w:cs="Times New Roman"/>
        <w:snapToGrid/>
        <w:sz w:val="16"/>
        <w:szCs w:val="22"/>
        <w:lang w:val="it-IT" w:eastAsia="en-US"/>
      </w:rPr>
      <w:t>N</w:t>
    </w:r>
    <w:r w:rsidR="004D3C52" w:rsidRPr="004D3C52">
      <w:rPr>
        <w:rFonts w:eastAsia="Calibri" w:cs="Times New Roman"/>
        <w:snapToGrid/>
        <w:sz w:val="16"/>
        <w:szCs w:val="22"/>
        <w:lang w:val="it-IT" w:eastAsia="en-US"/>
      </w:rPr>
      <w:t>otes</w:t>
    </w:r>
    <w:r w:rsidR="00857FF3">
      <w:rPr>
        <w:rFonts w:eastAsia="Calibri" w:cs="Times New Roman"/>
        <w:snapToGrid/>
        <w:sz w:val="16"/>
        <w:szCs w:val="22"/>
        <w:lang w:val="it-IT" w:eastAsia="en-US"/>
      </w:rPr>
      <w:t xml:space="preserve"> du facilitateur</w:t>
    </w:r>
    <w:r w:rsidR="004D3C52" w:rsidRPr="004D3C52">
      <w:rPr>
        <w:rFonts w:eastAsia="Calibri" w:cs="Times New Roman"/>
        <w:snapToGrid/>
        <w:sz w:val="16"/>
        <w:szCs w:val="22"/>
        <w:lang w:val="it-IT" w:eastAsia="en-US"/>
      </w:rPr>
      <w:tab/>
    </w:r>
    <w:r w:rsidRPr="004D3C52">
      <w:rPr>
        <w:rFonts w:eastAsia="Calibri" w:cs="Times New Roman"/>
        <w:snapToGrid/>
        <w:sz w:val="16"/>
        <w:szCs w:val="22"/>
        <w:lang w:val="it-IT" w:eastAsia="en-US"/>
      </w:rPr>
      <w:t>Unit</w:t>
    </w:r>
    <w:r>
      <w:rPr>
        <w:rFonts w:eastAsia="Calibri" w:cs="Times New Roman"/>
        <w:snapToGrid/>
        <w:sz w:val="16"/>
        <w:szCs w:val="22"/>
        <w:lang w:val="it-IT" w:eastAsia="en-US"/>
      </w:rPr>
      <w:t>é</w:t>
    </w:r>
    <w:r w:rsidRPr="004D3C52">
      <w:rPr>
        <w:rFonts w:eastAsia="Calibri" w:cs="Times New Roman"/>
        <w:snapToGrid/>
        <w:sz w:val="16"/>
        <w:szCs w:val="22"/>
        <w:lang w:val="it-IT" w:eastAsia="en-US"/>
      </w:rPr>
      <w:t xml:space="preserve"> 55: </w:t>
    </w:r>
    <w:r>
      <w:rPr>
        <w:rFonts w:eastAsia="Calibri" w:cs="Times New Roman"/>
        <w:snapToGrid/>
        <w:sz w:val="16"/>
        <w:szCs w:val="22"/>
        <w:lang w:val="it-IT" w:eastAsia="en-US"/>
      </w:rPr>
      <w:t>Atelier sur l’élaboration de politiques pour la sauvegarde du PCI</w:t>
    </w:r>
    <w:r w:rsidR="004D3C52" w:rsidRPr="004D3C52">
      <w:rPr>
        <w:rFonts w:eastAsia="Calibri" w:cs="Times New Roman"/>
        <w:snapToGrid/>
        <w:sz w:val="16"/>
        <w:szCs w:val="22"/>
        <w:lang w:val="it-IT" w:eastAsia="en-US"/>
      </w:rPr>
      <w:tab/>
    </w:r>
    <w:r w:rsidR="004D3C52" w:rsidRPr="004D3C52">
      <w:rPr>
        <w:rFonts w:eastAsia="Calibri" w:cs="Times New Roman"/>
        <w:snapToGrid/>
        <w:sz w:val="16"/>
        <w:szCs w:val="22"/>
        <w:lang w:val="it-IT" w:eastAsia="en-US"/>
      </w:rPr>
      <w:fldChar w:fldCharType="begin"/>
    </w:r>
    <w:r w:rsidR="004D3C52" w:rsidRPr="004D3C52">
      <w:rPr>
        <w:rFonts w:eastAsia="Calibri" w:cs="Times New Roman"/>
        <w:snapToGrid/>
        <w:sz w:val="16"/>
        <w:szCs w:val="22"/>
        <w:lang w:val="it-IT" w:eastAsia="en-US"/>
      </w:rPr>
      <w:instrText xml:space="preserve"> PAGE </w:instrText>
    </w:r>
    <w:r w:rsidR="004D3C52" w:rsidRPr="004D3C52">
      <w:rPr>
        <w:rFonts w:eastAsia="Calibri" w:cs="Times New Roman"/>
        <w:snapToGrid/>
        <w:sz w:val="16"/>
        <w:szCs w:val="22"/>
        <w:lang w:val="it-IT" w:eastAsia="en-US"/>
      </w:rPr>
      <w:fldChar w:fldCharType="separate"/>
    </w:r>
    <w:r w:rsidR="00EB49FB">
      <w:rPr>
        <w:rFonts w:eastAsia="Calibri" w:cs="Times New Roman"/>
        <w:noProof/>
        <w:snapToGrid/>
        <w:sz w:val="16"/>
        <w:szCs w:val="22"/>
        <w:lang w:val="it-IT" w:eastAsia="en-US"/>
      </w:rPr>
      <w:t>5</w:t>
    </w:r>
    <w:r w:rsidR="004D3C52" w:rsidRPr="004D3C52">
      <w:rPr>
        <w:rFonts w:eastAsia="Calibri" w:cs="Times New Roman"/>
        <w:snapToGrid/>
        <w:sz w:val="16"/>
        <w:szCs w:val="22"/>
        <w:lang w:val="it-IT" w:eastAsia="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F13" w:rsidRPr="00857FF3" w:rsidRDefault="00924F13" w:rsidP="00857FF3">
    <w:pPr>
      <w:pStyle w:val="Header"/>
      <w:jc w:val="center"/>
      <w:rPr>
        <w:sz w:val="16"/>
        <w:szCs w:val="16"/>
        <w:lang w:val="fr-FR"/>
      </w:rPr>
    </w:pPr>
    <w:r w:rsidRPr="00857FF3">
      <w:rPr>
        <w:sz w:val="16"/>
        <w:szCs w:val="16"/>
        <w:lang w:val="fr-FR"/>
      </w:rPr>
      <w:t>Notes du facilitateur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E0AAE"/>
    <w:multiLevelType w:val="hybridMultilevel"/>
    <w:tmpl w:val="A912B070"/>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 w15:restartNumberingAfterBreak="0">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2" w15:restartNumberingAfterBreak="0">
    <w:nsid w:val="4DD93B4B"/>
    <w:multiLevelType w:val="hybridMultilevel"/>
    <w:tmpl w:val="472E3736"/>
    <w:lvl w:ilvl="0" w:tplc="BB0436A8">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 w15:restartNumberingAfterBreak="0">
    <w:nsid w:val="5DC778C2"/>
    <w:multiLevelType w:val="hybridMultilevel"/>
    <w:tmpl w:val="6A525CD2"/>
    <w:lvl w:ilvl="0" w:tplc="24D0823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B450ECC"/>
    <w:multiLevelType w:val="hybridMultilevel"/>
    <w:tmpl w:val="180E1D1E"/>
    <w:lvl w:ilvl="0" w:tplc="0D62A3EC">
      <w:start w:val="1"/>
      <w:numFmt w:val="lowerLetter"/>
      <w:pStyle w:val="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B54"/>
    <w:rsid w:val="00011671"/>
    <w:rsid w:val="000378E6"/>
    <w:rsid w:val="00041C2C"/>
    <w:rsid w:val="000A5414"/>
    <w:rsid w:val="000C4368"/>
    <w:rsid w:val="00125063"/>
    <w:rsid w:val="0016572D"/>
    <w:rsid w:val="00183ACE"/>
    <w:rsid w:val="001E3A2C"/>
    <w:rsid w:val="001E7F31"/>
    <w:rsid w:val="001F1935"/>
    <w:rsid w:val="00232B94"/>
    <w:rsid w:val="002A3C82"/>
    <w:rsid w:val="002D724D"/>
    <w:rsid w:val="002F24A4"/>
    <w:rsid w:val="003063CF"/>
    <w:rsid w:val="003749AE"/>
    <w:rsid w:val="003906DC"/>
    <w:rsid w:val="003C59C8"/>
    <w:rsid w:val="003F4485"/>
    <w:rsid w:val="00437411"/>
    <w:rsid w:val="004A7C49"/>
    <w:rsid w:val="004C384E"/>
    <w:rsid w:val="004D3C52"/>
    <w:rsid w:val="00507217"/>
    <w:rsid w:val="005752A6"/>
    <w:rsid w:val="00592B1C"/>
    <w:rsid w:val="005959D0"/>
    <w:rsid w:val="005A33A5"/>
    <w:rsid w:val="005A5768"/>
    <w:rsid w:val="005F30C4"/>
    <w:rsid w:val="00614EAC"/>
    <w:rsid w:val="00620021"/>
    <w:rsid w:val="00624A20"/>
    <w:rsid w:val="00642306"/>
    <w:rsid w:val="00673CD3"/>
    <w:rsid w:val="00697EF4"/>
    <w:rsid w:val="006C4923"/>
    <w:rsid w:val="00716E93"/>
    <w:rsid w:val="007679F7"/>
    <w:rsid w:val="007E5B60"/>
    <w:rsid w:val="007F79FA"/>
    <w:rsid w:val="007F7BEA"/>
    <w:rsid w:val="008146B6"/>
    <w:rsid w:val="008450A2"/>
    <w:rsid w:val="00850908"/>
    <w:rsid w:val="00857FF3"/>
    <w:rsid w:val="008967B7"/>
    <w:rsid w:val="008B6CFA"/>
    <w:rsid w:val="00905088"/>
    <w:rsid w:val="00924F13"/>
    <w:rsid w:val="009443E8"/>
    <w:rsid w:val="00982A5E"/>
    <w:rsid w:val="0099233C"/>
    <w:rsid w:val="009A29B6"/>
    <w:rsid w:val="009B082E"/>
    <w:rsid w:val="009B4CC6"/>
    <w:rsid w:val="009E1E7F"/>
    <w:rsid w:val="009F567A"/>
    <w:rsid w:val="00A031FB"/>
    <w:rsid w:val="00A21BF3"/>
    <w:rsid w:val="00A25F20"/>
    <w:rsid w:val="00A77936"/>
    <w:rsid w:val="00AF3156"/>
    <w:rsid w:val="00AF3F6A"/>
    <w:rsid w:val="00AF4F85"/>
    <w:rsid w:val="00B37B54"/>
    <w:rsid w:val="00B64137"/>
    <w:rsid w:val="00B8070C"/>
    <w:rsid w:val="00B8443F"/>
    <w:rsid w:val="00B856E5"/>
    <w:rsid w:val="00BB2D5A"/>
    <w:rsid w:val="00BD5113"/>
    <w:rsid w:val="00BE63B3"/>
    <w:rsid w:val="00C020C9"/>
    <w:rsid w:val="00C15076"/>
    <w:rsid w:val="00C21AE5"/>
    <w:rsid w:val="00C2284B"/>
    <w:rsid w:val="00C410BF"/>
    <w:rsid w:val="00C55EFA"/>
    <w:rsid w:val="00C96F76"/>
    <w:rsid w:val="00CC25F9"/>
    <w:rsid w:val="00CD59ED"/>
    <w:rsid w:val="00CD6C1F"/>
    <w:rsid w:val="00D01E42"/>
    <w:rsid w:val="00D05B16"/>
    <w:rsid w:val="00D272D0"/>
    <w:rsid w:val="00D654D2"/>
    <w:rsid w:val="00D65F18"/>
    <w:rsid w:val="00D732DE"/>
    <w:rsid w:val="00D969C4"/>
    <w:rsid w:val="00DA7624"/>
    <w:rsid w:val="00DF3441"/>
    <w:rsid w:val="00E20A9A"/>
    <w:rsid w:val="00E41CA8"/>
    <w:rsid w:val="00E543A4"/>
    <w:rsid w:val="00E63E3A"/>
    <w:rsid w:val="00EB49FB"/>
    <w:rsid w:val="00EC1AD4"/>
    <w:rsid w:val="00EC293C"/>
    <w:rsid w:val="00ED7F12"/>
    <w:rsid w:val="00EF0F1B"/>
    <w:rsid w:val="00EF1FF6"/>
    <w:rsid w:val="00F270EB"/>
    <w:rsid w:val="00F315A3"/>
    <w:rsid w:val="00F57709"/>
    <w:rsid w:val="00F7204A"/>
    <w:rsid w:val="00F720BB"/>
    <w:rsid w:val="00F874E4"/>
    <w:rsid w:val="00F978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D740B6B-30BC-4536-9267-B2C095A3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B54"/>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B37B54"/>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B37B54"/>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B37B54"/>
    <w:pPr>
      <w:tabs>
        <w:tab w:val="clear" w:pos="567"/>
      </w:tabs>
      <w:snapToGrid/>
      <w:spacing w:before="360" w:after="120" w:line="300" w:lineRule="exact"/>
      <w:jc w:val="left"/>
      <w:outlineLvl w:val="2"/>
    </w:pPr>
    <w:rPr>
      <w:rFonts w:ascii="Arial" w:eastAsia="SimSun" w:hAnsi="Arial"/>
      <w:b/>
      <w:bCs/>
      <w:snapToGrid/>
      <w:sz w:val="24"/>
      <w:lang w:val="it-IT" w:eastAsia="en-US"/>
    </w:rPr>
  </w:style>
  <w:style w:type="paragraph" w:styleId="Heading4">
    <w:name w:val="heading 4"/>
    <w:basedOn w:val="Normal"/>
    <w:next w:val="Normal"/>
    <w:link w:val="Heading4Char"/>
    <w:unhideWhenUsed/>
    <w:rsid w:val="00614EAC"/>
    <w:pPr>
      <w:keepNext/>
      <w:keepLines/>
      <w:spacing w:after="0"/>
      <w:outlineLvl w:val="3"/>
    </w:pPr>
    <w:rPr>
      <w:rFonts w:asciiTheme="majorHAnsi" w:eastAsiaTheme="majorEastAsia" w:hAnsiTheme="majorHAnsi" w:cstheme="majorBidi"/>
      <w:caps/>
    </w:rPr>
  </w:style>
  <w:style w:type="paragraph" w:styleId="Heading5">
    <w:name w:val="heading 5"/>
    <w:basedOn w:val="Heading4"/>
    <w:next w:val="Normal"/>
    <w:link w:val="Heading5Char"/>
    <w:uiPriority w:val="9"/>
    <w:semiHidden/>
    <w:unhideWhenUsed/>
    <w:qFormat/>
    <w:rsid w:val="00B37B54"/>
    <w:pPr>
      <w:tabs>
        <w:tab w:val="clear" w:pos="567"/>
      </w:tabs>
      <w:snapToGrid/>
      <w:spacing w:before="360" w:after="120" w:line="300" w:lineRule="exact"/>
      <w:jc w:val="left"/>
      <w:outlineLvl w:val="4"/>
    </w:pPr>
    <w:rPr>
      <w:rFonts w:ascii="Arial" w:eastAsia="SimSun" w:hAnsi="Arial"/>
      <w:b/>
      <w:bCs/>
      <w:snapToGrid/>
      <w:sz w:val="20"/>
      <w:lang w:val="it-IT" w:eastAsia="en-US"/>
    </w:rPr>
  </w:style>
  <w:style w:type="paragraph" w:styleId="Heading6">
    <w:name w:val="heading 6"/>
    <w:basedOn w:val="Normal"/>
    <w:next w:val="Normal"/>
    <w:link w:val="Heading6Char"/>
    <w:uiPriority w:val="9"/>
    <w:semiHidden/>
    <w:unhideWhenUsed/>
    <w:qFormat/>
    <w:rsid w:val="00614E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4E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4E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4E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37B54"/>
    <w:rPr>
      <w:rFonts w:ascii="Arial" w:eastAsiaTheme="majorEastAsia" w:hAnsi="Arial" w:cs="Arial"/>
      <w:b/>
      <w:bCs/>
      <w:caps/>
      <w:noProof/>
      <w:snapToGrid w:val="0"/>
      <w:color w:val="3366FF"/>
      <w:kern w:val="28"/>
      <w:sz w:val="32"/>
      <w:szCs w:val="32"/>
      <w:lang w:val="en-US" w:eastAsia="zh-CN"/>
    </w:rPr>
  </w:style>
  <w:style w:type="character" w:customStyle="1" w:styleId="Heading2Char">
    <w:name w:val="Heading 2 Char"/>
    <w:basedOn w:val="DefaultParagraphFont"/>
    <w:link w:val="Heading2"/>
    <w:uiPriority w:val="9"/>
    <w:rsid w:val="00B37B54"/>
    <w:rPr>
      <w:rFonts w:ascii="Arial" w:eastAsiaTheme="majorEastAsia"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B37B54"/>
    <w:rPr>
      <w:rFonts w:ascii="Arial" w:eastAsia="SimSun" w:hAnsi="Arial" w:cstheme="majorBidi"/>
      <w:b/>
      <w:bCs/>
      <w:caps/>
      <w:sz w:val="24"/>
      <w:szCs w:val="24"/>
      <w:lang w:val="it-IT"/>
    </w:rPr>
  </w:style>
  <w:style w:type="character" w:customStyle="1" w:styleId="Heading4Char">
    <w:name w:val="Heading 4 Char"/>
    <w:basedOn w:val="DefaultParagraphFont"/>
    <w:link w:val="Heading4"/>
    <w:rsid w:val="00614EA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B37B54"/>
    <w:rPr>
      <w:rFonts w:ascii="Arial" w:eastAsia="SimSun" w:hAnsi="Arial" w:cstheme="majorBidi"/>
      <w:b/>
      <w:bCs/>
      <w:caps/>
      <w:sz w:val="20"/>
      <w:szCs w:val="24"/>
      <w:lang w:val="it-IT"/>
    </w:rPr>
  </w:style>
  <w:style w:type="character" w:customStyle="1" w:styleId="Heading6Char">
    <w:name w:val="Heading 6 Char"/>
    <w:basedOn w:val="DefaultParagraphFont"/>
    <w:link w:val="Heading6"/>
    <w:uiPriority w:val="9"/>
    <w:semiHidden/>
    <w:rsid w:val="00614EAC"/>
    <w:rPr>
      <w:rFonts w:asciiTheme="majorHAnsi" w:eastAsiaTheme="majorEastAsia" w:hAnsiTheme="majorHAnsi" w:cstheme="majorBidi"/>
      <w:snapToGrid w:val="0"/>
      <w:color w:val="243F60" w:themeColor="accent1" w:themeShade="7F"/>
      <w:szCs w:val="24"/>
      <w:lang w:val="en-US" w:eastAsia="zh-CN"/>
    </w:rPr>
  </w:style>
  <w:style w:type="character" w:customStyle="1" w:styleId="Heading7Char">
    <w:name w:val="Heading 7 Char"/>
    <w:basedOn w:val="DefaultParagraphFont"/>
    <w:link w:val="Heading7"/>
    <w:uiPriority w:val="9"/>
    <w:semiHidden/>
    <w:rsid w:val="00614EAC"/>
    <w:rPr>
      <w:rFonts w:asciiTheme="majorHAnsi" w:eastAsiaTheme="majorEastAsia" w:hAnsiTheme="majorHAnsi" w:cstheme="majorBidi"/>
      <w:i/>
      <w:iCs/>
      <w:snapToGrid w:val="0"/>
      <w:color w:val="243F60" w:themeColor="accent1" w:themeShade="7F"/>
      <w:szCs w:val="24"/>
      <w:lang w:val="en-US" w:eastAsia="zh-CN"/>
    </w:rPr>
  </w:style>
  <w:style w:type="character" w:customStyle="1" w:styleId="Heading8Char">
    <w:name w:val="Heading 8 Char"/>
    <w:basedOn w:val="DefaultParagraphFont"/>
    <w:link w:val="Heading8"/>
    <w:uiPriority w:val="9"/>
    <w:semiHidden/>
    <w:rsid w:val="00614EAC"/>
    <w:rPr>
      <w:rFonts w:asciiTheme="majorHAnsi" w:eastAsiaTheme="majorEastAsia" w:hAnsiTheme="majorHAnsi" w:cstheme="majorBidi"/>
      <w:snapToGrid w:val="0"/>
      <w:color w:val="272727" w:themeColor="text1" w:themeTint="D8"/>
      <w:sz w:val="21"/>
      <w:szCs w:val="21"/>
      <w:lang w:val="en-US" w:eastAsia="zh-CN"/>
    </w:rPr>
  </w:style>
  <w:style w:type="character" w:customStyle="1" w:styleId="Heading9Char">
    <w:name w:val="Heading 9 Char"/>
    <w:basedOn w:val="DefaultParagraphFont"/>
    <w:link w:val="Heading9"/>
    <w:uiPriority w:val="9"/>
    <w:semiHidden/>
    <w:rsid w:val="00614EAC"/>
    <w:rPr>
      <w:rFonts w:asciiTheme="majorHAnsi" w:eastAsiaTheme="majorEastAsia" w:hAnsiTheme="majorHAnsi" w:cstheme="majorBidi"/>
      <w:i/>
      <w:iCs/>
      <w:snapToGrid w:val="0"/>
      <w:color w:val="272727" w:themeColor="text1" w:themeTint="D8"/>
      <w:sz w:val="21"/>
      <w:szCs w:val="21"/>
      <w:lang w:val="en-US" w:eastAsia="zh-CN"/>
    </w:rPr>
  </w:style>
  <w:style w:type="paragraph" w:styleId="Caption">
    <w:name w:val="caption"/>
    <w:basedOn w:val="Normal"/>
    <w:next w:val="Normal"/>
    <w:uiPriority w:val="35"/>
    <w:semiHidden/>
    <w:unhideWhenUsed/>
    <w:qFormat/>
    <w:rsid w:val="00614EAC"/>
    <w:pPr>
      <w:spacing w:before="0" w:after="200"/>
    </w:pPr>
    <w:rPr>
      <w:i/>
      <w:iCs/>
      <w:color w:val="1F497D" w:themeColor="text2"/>
      <w:sz w:val="18"/>
      <w:szCs w:val="18"/>
    </w:rPr>
  </w:style>
  <w:style w:type="paragraph" w:styleId="Title">
    <w:name w:val="Title"/>
    <w:basedOn w:val="Normal"/>
    <w:next w:val="Normal"/>
    <w:link w:val="TitleChar"/>
    <w:uiPriority w:val="10"/>
    <w:qFormat/>
    <w:rsid w:val="00B37B54"/>
    <w:pPr>
      <w:keepNext/>
      <w:keepLines/>
      <w:spacing w:before="480" w:after="0" w:line="480" w:lineRule="exact"/>
      <w:jc w:val="left"/>
      <w:outlineLvl w:val="0"/>
    </w:pPr>
    <w:rPr>
      <w:rFonts w:eastAsiaTheme="majorEastAsia"/>
      <w:b/>
      <w:bCs/>
      <w:caps/>
      <w:noProof/>
      <w:color w:val="3366FF"/>
      <w:kern w:val="28"/>
      <w:sz w:val="48"/>
      <w:szCs w:val="48"/>
      <w:lang w:val="en-GB"/>
    </w:rPr>
  </w:style>
  <w:style w:type="character" w:customStyle="1" w:styleId="TitleChar">
    <w:name w:val="Title Char"/>
    <w:basedOn w:val="DefaultParagraphFont"/>
    <w:link w:val="Title"/>
    <w:uiPriority w:val="10"/>
    <w:rsid w:val="00B37B54"/>
    <w:rPr>
      <w:rFonts w:ascii="Arial" w:eastAsiaTheme="majorEastAsia" w:hAnsi="Arial" w:cs="Arial"/>
      <w:b/>
      <w:bCs/>
      <w:caps/>
      <w:noProof/>
      <w:snapToGrid w:val="0"/>
      <w:color w:val="3366FF"/>
      <w:kern w:val="28"/>
      <w:sz w:val="48"/>
      <w:szCs w:val="48"/>
      <w:lang w:eastAsia="zh-CN"/>
    </w:rPr>
  </w:style>
  <w:style w:type="paragraph" w:styleId="Subtitle">
    <w:name w:val="Subtitle"/>
    <w:basedOn w:val="Normal"/>
    <w:next w:val="Normal"/>
    <w:link w:val="SubtitleChar"/>
    <w:uiPriority w:val="11"/>
    <w:qFormat/>
    <w:rsid w:val="00614EA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14EAC"/>
    <w:rPr>
      <w:rFonts w:eastAsiaTheme="minorEastAsia"/>
      <w:snapToGrid w:val="0"/>
      <w:color w:val="5A5A5A" w:themeColor="text1" w:themeTint="A5"/>
      <w:spacing w:val="15"/>
      <w:lang w:val="en-US" w:eastAsia="zh-CN"/>
    </w:rPr>
  </w:style>
  <w:style w:type="character" w:styleId="Strong">
    <w:name w:val="Strong"/>
    <w:basedOn w:val="DefaultParagraphFont"/>
    <w:uiPriority w:val="22"/>
    <w:qFormat/>
    <w:rsid w:val="00B37B54"/>
    <w:rPr>
      <w:b/>
      <w:bCs/>
    </w:rPr>
  </w:style>
  <w:style w:type="character" w:styleId="Emphasis">
    <w:name w:val="Emphasis"/>
    <w:basedOn w:val="DefaultParagraphFont"/>
    <w:uiPriority w:val="20"/>
    <w:qFormat/>
    <w:rsid w:val="00B37B54"/>
    <w:rPr>
      <w:i/>
      <w:iCs/>
    </w:rPr>
  </w:style>
  <w:style w:type="paragraph" w:styleId="NoSpacing">
    <w:name w:val="No Spacing"/>
    <w:aliases w:val="Title Ed"/>
    <w:basedOn w:val="FootnoteText"/>
    <w:link w:val="NoSpacingChar"/>
    <w:uiPriority w:val="1"/>
    <w:qFormat/>
    <w:rsid w:val="00B37B54"/>
    <w:pPr>
      <w:tabs>
        <w:tab w:val="clear" w:pos="567"/>
        <w:tab w:val="left" w:pos="369"/>
      </w:tabs>
      <w:spacing w:after="60" w:line="180" w:lineRule="exact"/>
      <w:ind w:left="284" w:hanging="284"/>
      <w:jc w:val="left"/>
    </w:pPr>
    <w:rPr>
      <w:rFonts w:ascii="Calibri" w:eastAsiaTheme="minorHAnsi" w:hAnsi="Calibri"/>
      <w:snapToGrid/>
      <w:lang w:val="en-GB" w:eastAsia="en-US"/>
    </w:rPr>
  </w:style>
  <w:style w:type="character" w:customStyle="1" w:styleId="NoSpacingChar">
    <w:name w:val="No Spacing Char"/>
    <w:aliases w:val="Title Ed Char"/>
    <w:basedOn w:val="DefaultParagraphFont"/>
    <w:link w:val="NoSpacing"/>
    <w:uiPriority w:val="1"/>
    <w:locked/>
    <w:rsid w:val="00B37B54"/>
    <w:rPr>
      <w:rFonts w:ascii="Calibri" w:hAnsi="Calibri" w:cs="Arial"/>
      <w:sz w:val="20"/>
      <w:szCs w:val="20"/>
    </w:rPr>
  </w:style>
  <w:style w:type="paragraph" w:styleId="ListParagraph">
    <w:name w:val="List Paragraph"/>
    <w:basedOn w:val="Normal"/>
    <w:uiPriority w:val="34"/>
    <w:qFormat/>
    <w:rsid w:val="00B37B54"/>
    <w:pPr>
      <w:tabs>
        <w:tab w:val="clear" w:pos="567"/>
        <w:tab w:val="left" w:pos="360"/>
      </w:tabs>
      <w:ind w:left="720" w:hanging="360"/>
    </w:pPr>
  </w:style>
  <w:style w:type="paragraph" w:styleId="Quote">
    <w:name w:val="Quote"/>
    <w:basedOn w:val="Normal"/>
    <w:next w:val="Normal"/>
    <w:link w:val="QuoteChar"/>
    <w:uiPriority w:val="29"/>
    <w:qFormat/>
    <w:rsid w:val="00B37B54"/>
    <w:pPr>
      <w:spacing w:before="200" w:after="160"/>
      <w:ind w:left="864" w:right="864"/>
    </w:pPr>
    <w:rPr>
      <w:i/>
      <w:iCs/>
      <w:color w:val="404040" w:themeColor="text1" w:themeTint="BF"/>
      <w:lang w:val="en-GB" w:eastAsia="en-US"/>
    </w:rPr>
  </w:style>
  <w:style w:type="character" w:customStyle="1" w:styleId="QuoteChar">
    <w:name w:val="Quote Char"/>
    <w:basedOn w:val="DefaultParagraphFont"/>
    <w:link w:val="Quote"/>
    <w:uiPriority w:val="29"/>
    <w:rsid w:val="00B37B54"/>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B37B54"/>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B37B54"/>
    <w:rPr>
      <w:rFonts w:eastAsiaTheme="minorEastAsia" w:cs="Arial"/>
      <w:i/>
      <w:iCs/>
      <w:color w:val="4F81BD"/>
      <w:sz w:val="20"/>
      <w:szCs w:val="20"/>
      <w:lang w:val="en-US"/>
    </w:rPr>
  </w:style>
  <w:style w:type="character" w:styleId="SubtleEmphasis">
    <w:name w:val="Subtle Emphasis"/>
    <w:basedOn w:val="DefaultParagraphFont"/>
    <w:uiPriority w:val="19"/>
    <w:qFormat/>
    <w:rsid w:val="00614EAC"/>
    <w:rPr>
      <w:i/>
      <w:iCs/>
      <w:color w:val="404040" w:themeColor="text1" w:themeTint="BF"/>
    </w:rPr>
  </w:style>
  <w:style w:type="character" w:styleId="IntenseEmphasis">
    <w:name w:val="Intense Emphasis"/>
    <w:basedOn w:val="DefaultParagraphFont"/>
    <w:uiPriority w:val="21"/>
    <w:qFormat/>
    <w:rsid w:val="00614EAC"/>
    <w:rPr>
      <w:i/>
      <w:iCs/>
      <w:color w:val="4F81BD" w:themeColor="accent1"/>
    </w:rPr>
  </w:style>
  <w:style w:type="character" w:styleId="SubtleReference">
    <w:name w:val="Subtle Reference"/>
    <w:basedOn w:val="DefaultParagraphFont"/>
    <w:uiPriority w:val="31"/>
    <w:qFormat/>
    <w:rsid w:val="00614EAC"/>
    <w:rPr>
      <w:smallCaps/>
      <w:color w:val="5A5A5A" w:themeColor="text1" w:themeTint="A5"/>
    </w:rPr>
  </w:style>
  <w:style w:type="character" w:styleId="IntenseReference">
    <w:name w:val="Intense Reference"/>
    <w:basedOn w:val="DefaultParagraphFont"/>
    <w:uiPriority w:val="32"/>
    <w:qFormat/>
    <w:rsid w:val="00614EAC"/>
    <w:rPr>
      <w:b/>
      <w:bCs/>
      <w:smallCaps/>
      <w:color w:val="4F81BD" w:themeColor="accent1"/>
      <w:spacing w:val="5"/>
    </w:rPr>
  </w:style>
  <w:style w:type="character" w:styleId="BookTitle">
    <w:name w:val="Book Title"/>
    <w:basedOn w:val="DefaultParagraphFont"/>
    <w:uiPriority w:val="33"/>
    <w:qFormat/>
    <w:rsid w:val="00614EAC"/>
    <w:rPr>
      <w:b/>
      <w:bCs/>
      <w:i/>
      <w:iCs/>
      <w:spacing w:val="5"/>
    </w:rPr>
  </w:style>
  <w:style w:type="paragraph" w:styleId="TOCHeading">
    <w:name w:val="TOC Heading"/>
    <w:basedOn w:val="Heading1"/>
    <w:next w:val="Normal"/>
    <w:uiPriority w:val="39"/>
    <w:semiHidden/>
    <w:unhideWhenUsed/>
    <w:qFormat/>
    <w:rsid w:val="00B37B54"/>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character" w:styleId="Hyperlink">
    <w:name w:val="Hyperlink"/>
    <w:basedOn w:val="DefaultParagraphFont"/>
    <w:uiPriority w:val="99"/>
    <w:unhideWhenUsed/>
    <w:rsid w:val="00B37B54"/>
    <w:rPr>
      <w:color w:val="0000FF" w:themeColor="hyperlink"/>
      <w:u w:val="single"/>
    </w:rPr>
  </w:style>
  <w:style w:type="paragraph" w:customStyle="1" w:styleId="1">
    <w:name w:val="1."/>
    <w:basedOn w:val="Normal"/>
    <w:link w:val="1Char"/>
    <w:qFormat/>
    <w:rsid w:val="00B37B54"/>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B37B54"/>
    <w:rPr>
      <w:rFonts w:ascii="Arial" w:eastAsia="SimSun" w:hAnsi="Arial" w:cs="Arial"/>
      <w:w w:val="96"/>
      <w:lang w:val="en-US" w:eastAsia="fr-FR"/>
    </w:rPr>
  </w:style>
  <w:style w:type="paragraph" w:customStyle="1" w:styleId="U1">
    <w:name w:val="U.1"/>
    <w:basedOn w:val="Normal"/>
    <w:qFormat/>
    <w:rsid w:val="00B37B54"/>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B37B54"/>
    <w:pPr>
      <w:numPr>
        <w:numId w:val="1"/>
      </w:numPr>
      <w:tabs>
        <w:tab w:val="clear" w:pos="567"/>
      </w:tabs>
      <w:snapToGrid/>
      <w:spacing w:before="240" w:after="0"/>
      <w:ind w:left="360"/>
    </w:pPr>
    <w:rPr>
      <w:snapToGrid/>
      <w:szCs w:val="22"/>
      <w:lang w:eastAsia="fr-FR"/>
    </w:rPr>
  </w:style>
  <w:style w:type="character" w:customStyle="1" w:styleId="ParagraphChar">
    <w:name w:val="Paragraph Char"/>
    <w:link w:val="Paragraph"/>
    <w:rsid w:val="00B37B54"/>
    <w:rPr>
      <w:rFonts w:ascii="Arial" w:eastAsia="SimSun" w:hAnsi="Arial" w:cs="Arial"/>
      <w:lang w:val="en-US" w:eastAsia="fr-FR"/>
    </w:rPr>
  </w:style>
  <w:style w:type="paragraph" w:customStyle="1" w:styleId="Slideheading">
    <w:name w:val="Slide heading"/>
    <w:basedOn w:val="Heading2"/>
    <w:link w:val="SlideheadingChar"/>
    <w:qFormat/>
    <w:rsid w:val="00B37B54"/>
    <w:pPr>
      <w:spacing w:before="200"/>
    </w:pPr>
    <w:rPr>
      <w:rFonts w:eastAsia="Times New Roman" w:cs="Times New Roman"/>
      <w:b/>
      <w:noProof w:val="0"/>
      <w:color w:val="000000"/>
      <w:kern w:val="0"/>
      <w:sz w:val="24"/>
      <w:szCs w:val="26"/>
      <w:lang w:val="en-GB"/>
    </w:rPr>
  </w:style>
  <w:style w:type="character" w:customStyle="1" w:styleId="SlideheadingChar">
    <w:name w:val="Slide heading Char"/>
    <w:link w:val="Slideheading"/>
    <w:rsid w:val="00B37B54"/>
    <w:rPr>
      <w:rFonts w:ascii="Arial" w:eastAsia="Times New Roman" w:hAnsi="Arial" w:cs="Times New Roman"/>
      <w:b/>
      <w:bCs/>
      <w:snapToGrid w:val="0"/>
      <w:color w:val="000000"/>
      <w:sz w:val="24"/>
      <w:szCs w:val="26"/>
      <w:lang w:eastAsia="zh-CN"/>
    </w:rPr>
  </w:style>
  <w:style w:type="paragraph" w:customStyle="1" w:styleId="Txtsecondbullet">
    <w:name w:val="Txt second bullet"/>
    <w:basedOn w:val="Normal"/>
    <w:qFormat/>
    <w:rsid w:val="00B37B54"/>
    <w:pPr>
      <w:numPr>
        <w:ilvl w:val="1"/>
        <w:numId w:val="5"/>
      </w:numPr>
      <w:spacing w:before="0" w:after="60" w:line="280" w:lineRule="exact"/>
    </w:pPr>
    <w:rPr>
      <w:snapToGrid/>
      <w:sz w:val="20"/>
      <w:lang w:val="fr-FR"/>
    </w:rPr>
  </w:style>
  <w:style w:type="paragraph" w:customStyle="1" w:styleId="citationunit">
    <w:name w:val="citation unit"/>
    <w:basedOn w:val="Normal"/>
    <w:qFormat/>
    <w:rsid w:val="00B37B54"/>
    <w:pPr>
      <w:spacing w:before="0" w:after="60" w:line="280" w:lineRule="exact"/>
      <w:ind w:left="1134" w:right="284"/>
    </w:pPr>
    <w:rPr>
      <w:snapToGrid/>
      <w:sz w:val="20"/>
      <w:lang w:val="fr-FR"/>
    </w:rPr>
  </w:style>
  <w:style w:type="paragraph" w:styleId="FootnoteText">
    <w:name w:val="footnote text"/>
    <w:basedOn w:val="Normal"/>
    <w:link w:val="FootnoteTextChar"/>
    <w:uiPriority w:val="99"/>
    <w:semiHidden/>
    <w:unhideWhenUsed/>
    <w:rsid w:val="00B37B54"/>
    <w:pPr>
      <w:spacing w:before="0" w:after="0"/>
    </w:pPr>
    <w:rPr>
      <w:sz w:val="20"/>
      <w:szCs w:val="20"/>
    </w:rPr>
  </w:style>
  <w:style w:type="character" w:customStyle="1" w:styleId="FootnoteTextChar">
    <w:name w:val="Footnote Text Char"/>
    <w:basedOn w:val="DefaultParagraphFont"/>
    <w:link w:val="FootnoteText"/>
    <w:uiPriority w:val="99"/>
    <w:semiHidden/>
    <w:rsid w:val="00B37B54"/>
    <w:rPr>
      <w:rFonts w:ascii="Arial" w:eastAsia="SimSun" w:hAnsi="Arial" w:cs="Arial"/>
      <w:snapToGrid w:val="0"/>
      <w:sz w:val="20"/>
      <w:szCs w:val="20"/>
      <w:lang w:val="en-US" w:eastAsia="zh-CN"/>
    </w:rPr>
  </w:style>
  <w:style w:type="paragraph" w:customStyle="1" w:styleId="Chapitre">
    <w:name w:val="Chapitre"/>
    <w:basedOn w:val="Heading1"/>
    <w:link w:val="ChapitreCar"/>
    <w:rsid w:val="0099233C"/>
    <w:pPr>
      <w:pBdr>
        <w:bottom w:val="single" w:sz="4" w:space="14" w:color="3366FF"/>
      </w:pBdr>
      <w:spacing w:before="240" w:line="840" w:lineRule="exact"/>
    </w:pPr>
    <w:rPr>
      <w:rFonts w:eastAsia="Times New Roman"/>
      <w:sz w:val="70"/>
      <w:szCs w:val="70"/>
      <w:lang w:val="en-GB"/>
    </w:rPr>
  </w:style>
  <w:style w:type="character" w:customStyle="1" w:styleId="ChapitreCar">
    <w:name w:val="Chapitre Car"/>
    <w:link w:val="Chapitre"/>
    <w:rsid w:val="0099233C"/>
    <w:rPr>
      <w:rFonts w:ascii="Arial" w:eastAsia="Times New Roman" w:hAnsi="Arial" w:cs="Arial"/>
      <w:b/>
      <w:bCs/>
      <w:caps/>
      <w:noProof/>
      <w:snapToGrid w:val="0"/>
      <w:color w:val="3366FF"/>
      <w:kern w:val="28"/>
      <w:sz w:val="70"/>
      <w:szCs w:val="70"/>
      <w:lang w:eastAsia="zh-CN"/>
    </w:rPr>
  </w:style>
  <w:style w:type="paragraph" w:customStyle="1" w:styleId="Titcoul">
    <w:name w:val="Titcoul"/>
    <w:basedOn w:val="Heading1"/>
    <w:link w:val="TitcoulCar"/>
    <w:rsid w:val="0099233C"/>
    <w:rPr>
      <w:rFonts w:eastAsia="Times New Roman"/>
      <w:lang w:val="en-GB"/>
    </w:rPr>
  </w:style>
  <w:style w:type="character" w:customStyle="1" w:styleId="TitcoulCar">
    <w:name w:val="Titcoul Car"/>
    <w:link w:val="Titcoul"/>
    <w:rsid w:val="0099233C"/>
    <w:rPr>
      <w:rFonts w:ascii="Arial" w:eastAsia="Times New Roman" w:hAnsi="Arial" w:cs="Arial"/>
      <w:b/>
      <w:bCs/>
      <w:caps/>
      <w:noProof/>
      <w:snapToGrid w:val="0"/>
      <w:color w:val="3366FF"/>
      <w:kern w:val="28"/>
      <w:sz w:val="32"/>
      <w:szCs w:val="32"/>
      <w:lang w:eastAsia="zh-CN"/>
    </w:rPr>
  </w:style>
  <w:style w:type="paragraph" w:customStyle="1" w:styleId="UPlan">
    <w:name w:val="UPlan"/>
    <w:basedOn w:val="Normal"/>
    <w:link w:val="UPlanCar"/>
    <w:rsid w:val="0099233C"/>
    <w:pPr>
      <w:keepNext/>
      <w:keepLines/>
      <w:spacing w:before="480" w:after="0" w:line="480" w:lineRule="exact"/>
      <w:jc w:val="left"/>
      <w:outlineLvl w:val="0"/>
    </w:pPr>
    <w:rPr>
      <w:rFonts w:eastAsia="Times New Roman"/>
      <w:b/>
      <w:bCs/>
      <w:caps/>
      <w:noProof/>
      <w:color w:val="3366FF"/>
      <w:kern w:val="28"/>
      <w:sz w:val="48"/>
      <w:szCs w:val="48"/>
      <w:lang w:val="en-GB"/>
    </w:rPr>
  </w:style>
  <w:style w:type="character" w:customStyle="1" w:styleId="UPlanCar">
    <w:name w:val="UPlan Car"/>
    <w:basedOn w:val="DefaultParagraphFont"/>
    <w:link w:val="UPlan"/>
    <w:rsid w:val="0099233C"/>
    <w:rPr>
      <w:rFonts w:ascii="Arial" w:eastAsia="Times New Roman" w:hAnsi="Arial" w:cs="Arial"/>
      <w:b/>
      <w:bCs/>
      <w:caps/>
      <w:noProof/>
      <w:snapToGrid w:val="0"/>
      <w:color w:val="3366FF"/>
      <w:kern w:val="28"/>
      <w:sz w:val="48"/>
      <w:szCs w:val="48"/>
      <w:lang w:eastAsia="zh-CN"/>
    </w:rPr>
  </w:style>
  <w:style w:type="paragraph" w:styleId="BalloonText">
    <w:name w:val="Balloon Text"/>
    <w:basedOn w:val="Normal"/>
    <w:link w:val="BalloonTextChar"/>
    <w:uiPriority w:val="99"/>
    <w:semiHidden/>
    <w:unhideWhenUsed/>
    <w:rsid w:val="0099233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33C"/>
    <w:rPr>
      <w:rFonts w:ascii="Tahoma" w:eastAsia="SimSun" w:hAnsi="Tahoma" w:cs="Tahoma"/>
      <w:snapToGrid w:val="0"/>
      <w:sz w:val="16"/>
      <w:szCs w:val="16"/>
      <w:lang w:val="en-US" w:eastAsia="zh-CN"/>
    </w:rPr>
  </w:style>
  <w:style w:type="paragraph" w:customStyle="1" w:styleId="Texte1">
    <w:name w:val="Texte1"/>
    <w:basedOn w:val="Normal"/>
    <w:link w:val="Texte1Car"/>
    <w:rsid w:val="009A29B6"/>
    <w:pPr>
      <w:spacing w:before="0" w:after="60" w:line="280" w:lineRule="exact"/>
      <w:ind w:left="851"/>
    </w:pPr>
    <w:rPr>
      <w:snapToGrid/>
      <w:sz w:val="20"/>
      <w:lang w:val="fr-FR"/>
    </w:rPr>
  </w:style>
  <w:style w:type="character" w:customStyle="1" w:styleId="Texte1Car">
    <w:name w:val="Texte1 Car"/>
    <w:link w:val="Texte1"/>
    <w:rsid w:val="009A29B6"/>
    <w:rPr>
      <w:rFonts w:ascii="Arial" w:eastAsia="SimSun" w:hAnsi="Arial" w:cs="Arial"/>
      <w:sz w:val="20"/>
      <w:szCs w:val="24"/>
      <w:lang w:val="fr-FR" w:eastAsia="zh-CN"/>
    </w:rPr>
  </w:style>
  <w:style w:type="character" w:styleId="FollowedHyperlink">
    <w:name w:val="FollowedHyperlink"/>
    <w:basedOn w:val="DefaultParagraphFont"/>
    <w:uiPriority w:val="99"/>
    <w:semiHidden/>
    <w:unhideWhenUsed/>
    <w:rsid w:val="00B8443F"/>
    <w:rPr>
      <w:color w:val="800080" w:themeColor="followedHyperlink"/>
      <w:u w:val="single"/>
    </w:rPr>
  </w:style>
  <w:style w:type="paragraph" w:styleId="Header">
    <w:name w:val="header"/>
    <w:basedOn w:val="Normal"/>
    <w:link w:val="HeaderChar"/>
    <w:uiPriority w:val="99"/>
    <w:unhideWhenUsed/>
    <w:rsid w:val="00924F13"/>
    <w:pPr>
      <w:tabs>
        <w:tab w:val="clear" w:pos="567"/>
        <w:tab w:val="center" w:pos="4536"/>
        <w:tab w:val="right" w:pos="9072"/>
      </w:tabs>
      <w:spacing w:before="0" w:after="0"/>
    </w:pPr>
  </w:style>
  <w:style w:type="character" w:customStyle="1" w:styleId="HeaderChar">
    <w:name w:val="Header Char"/>
    <w:basedOn w:val="DefaultParagraphFont"/>
    <w:link w:val="Header"/>
    <w:uiPriority w:val="99"/>
    <w:rsid w:val="00924F13"/>
    <w:rPr>
      <w:rFonts w:ascii="Arial" w:eastAsia="SimSun" w:hAnsi="Arial" w:cs="Arial"/>
      <w:snapToGrid w:val="0"/>
      <w:szCs w:val="24"/>
      <w:lang w:val="en-US" w:eastAsia="zh-CN"/>
    </w:rPr>
  </w:style>
  <w:style w:type="paragraph" w:styleId="Footer">
    <w:name w:val="footer"/>
    <w:basedOn w:val="Normal"/>
    <w:link w:val="FooterChar"/>
    <w:uiPriority w:val="99"/>
    <w:unhideWhenUsed/>
    <w:rsid w:val="00924F13"/>
    <w:pPr>
      <w:tabs>
        <w:tab w:val="clear" w:pos="567"/>
        <w:tab w:val="center" w:pos="4536"/>
        <w:tab w:val="right" w:pos="9072"/>
      </w:tabs>
      <w:spacing w:before="0" w:after="0"/>
    </w:pPr>
  </w:style>
  <w:style w:type="character" w:customStyle="1" w:styleId="FooterChar">
    <w:name w:val="Footer Char"/>
    <w:basedOn w:val="DefaultParagraphFont"/>
    <w:link w:val="Footer"/>
    <w:uiPriority w:val="99"/>
    <w:rsid w:val="00924F13"/>
    <w:rPr>
      <w:rFonts w:ascii="Arial" w:eastAsia="SimSun" w:hAnsi="Arial" w:cs="Arial"/>
      <w:snapToGrid w:val="0"/>
      <w:szCs w:val="24"/>
      <w:lang w:val="en-US" w:eastAsia="zh-CN"/>
    </w:rPr>
  </w:style>
  <w:style w:type="paragraph" w:styleId="BodyText">
    <w:name w:val="Body Text"/>
    <w:basedOn w:val="Normal"/>
    <w:link w:val="BodyTextChar"/>
    <w:rsid w:val="00F315A3"/>
    <w:pPr>
      <w:tabs>
        <w:tab w:val="clear" w:pos="567"/>
      </w:tabs>
      <w:snapToGrid/>
      <w:spacing w:before="0" w:after="0"/>
    </w:pPr>
    <w:rPr>
      <w:rFonts w:ascii="Times New Roman" w:eastAsia="Times New Roman" w:hAnsi="Times New Roman" w:cs="Times New Roman"/>
      <w:snapToGrid/>
      <w:sz w:val="24"/>
      <w:szCs w:val="20"/>
      <w:lang w:val="pt-BR" w:eastAsia="pt-BR"/>
    </w:rPr>
  </w:style>
  <w:style w:type="character" w:customStyle="1" w:styleId="BodyTextChar">
    <w:name w:val="Body Text Char"/>
    <w:basedOn w:val="DefaultParagraphFont"/>
    <w:link w:val="BodyText"/>
    <w:rsid w:val="00F315A3"/>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9088">
      <w:bodyDiv w:val="1"/>
      <w:marLeft w:val="0"/>
      <w:marRight w:val="0"/>
      <w:marTop w:val="0"/>
      <w:marBottom w:val="0"/>
      <w:divBdr>
        <w:top w:val="none" w:sz="0" w:space="0" w:color="auto"/>
        <w:left w:val="none" w:sz="0" w:space="0" w:color="auto"/>
        <w:bottom w:val="none" w:sz="0" w:space="0" w:color="auto"/>
        <w:right w:val="none" w:sz="0" w:space="0" w:color="auto"/>
      </w:divBdr>
    </w:div>
    <w:div w:id="143466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ipo.int/edocs/pubdocs/en/intproperty/489/wipo_pub_489.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wipo.int/edocs/pubdocs/fr/tk/933/wipo_pub_933.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nesco.org/culture/ich/fr/eveneme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export/sites/www/tk/en/resources/pdf/tk_brief1.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ipo.int/edocs/pubdocs/fr/tk/1023/wipo_pub_1023.pdf" TargetMode="External"/><Relationship Id="rId23" Type="http://schemas.openxmlformats.org/officeDocument/2006/relationships/fontTable" Target="fontTable.xml"/><Relationship Id="rId10" Type="http://schemas.openxmlformats.org/officeDocument/2006/relationships/hyperlink" Target="http://www.unesco.org/open-access/terms-use-ccbysa-f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reativecommons.org/licenses/by-sa/3.0/igo/" TargetMode="External"/><Relationship Id="rId14" Type="http://schemas.openxmlformats.org/officeDocument/2006/relationships/hyperlink" Target="http://www.wipo.int/edocs/mdocs/tk/fr/wipo_grtkf_ic_17/wipo_grtkf_ic_17_inf_8.pdf"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3F224-4D65-49A6-8FE1-46659AD43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1984</Words>
  <Characters>10915</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Deacon</dc:creator>
  <cp:lastModifiedBy>Kim, Dain</cp:lastModifiedBy>
  <cp:revision>10</cp:revision>
  <cp:lastPrinted>2016-03-24T14:29:00Z</cp:lastPrinted>
  <dcterms:created xsi:type="dcterms:W3CDTF">2016-04-01T08:35:00Z</dcterms:created>
  <dcterms:modified xsi:type="dcterms:W3CDTF">2018-04-23T12:57:00Z</dcterms:modified>
</cp:coreProperties>
</file>