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F7" w:rsidRPr="00302BA2" w:rsidRDefault="00A77CF7" w:rsidP="00A77CF7">
      <w:pPr>
        <w:pStyle w:val="Chapitre"/>
        <w:rPr>
          <w:lang w:val="fr-FR"/>
        </w:rPr>
      </w:pPr>
      <w:r w:rsidRPr="00302BA2">
        <w:rPr>
          <w:lang w:val="fr-FR"/>
        </w:rPr>
        <w:t>UnitÉ 55</w:t>
      </w:r>
    </w:p>
    <w:p w:rsidR="002A707D" w:rsidRDefault="00A77CF7" w:rsidP="00A77CF7">
      <w:pPr>
        <w:pStyle w:val="UPlan"/>
        <w:rPr>
          <w:lang w:val="fr-FR"/>
        </w:rPr>
      </w:pPr>
      <w:r w:rsidRPr="00302BA2">
        <w:rPr>
          <w:lang w:val="fr-FR"/>
        </w:rPr>
        <w:t>ATELIER SUR L’</w:t>
      </w:r>
      <w:r>
        <w:rPr>
          <w:lang w:val="fr-FR"/>
        </w:rPr>
        <w:t>É</w:t>
      </w:r>
      <w:r w:rsidRPr="00302BA2">
        <w:rPr>
          <w:lang w:val="fr-FR"/>
        </w:rPr>
        <w:t xml:space="preserve">laboration de politiques </w:t>
      </w:r>
      <w:r w:rsidR="00705958">
        <w:rPr>
          <w:lang w:val="fr-FR"/>
        </w:rPr>
        <w:t xml:space="preserve">en vue de </w:t>
      </w:r>
      <w:r w:rsidRPr="00302BA2">
        <w:rPr>
          <w:lang w:val="fr-FR"/>
        </w:rPr>
        <w:t>sauvegard</w:t>
      </w:r>
      <w:r>
        <w:rPr>
          <w:lang w:val="fr-FR"/>
        </w:rPr>
        <w:t>er le patrimoine culturel immatÉ</w:t>
      </w:r>
      <w:r w:rsidRPr="00302BA2">
        <w:rPr>
          <w:lang w:val="fr-FR"/>
        </w:rPr>
        <w:t>riel</w:t>
      </w:r>
    </w:p>
    <w:p w:rsidR="002A707D" w:rsidRPr="000A63A1" w:rsidRDefault="002A707D" w:rsidP="002A707D">
      <w:pPr>
        <w:pStyle w:val="BodyText"/>
        <w:spacing w:before="480"/>
        <w:jc w:val="left"/>
        <w:rPr>
          <w:rFonts w:ascii="Arial" w:hAnsi="Arial" w:cs="Arial"/>
          <w:sz w:val="22"/>
          <w:szCs w:val="22"/>
          <w:lang w:val="fr-FR"/>
        </w:rPr>
      </w:pPr>
      <w:r w:rsidRPr="000A63A1">
        <w:rPr>
          <w:rFonts w:ascii="Arial" w:hAnsi="Arial" w:cs="Arial"/>
          <w:sz w:val="22"/>
          <w:szCs w:val="22"/>
          <w:lang w:val="fr-FR"/>
        </w:rPr>
        <w:t xml:space="preserve">Publié en </w:t>
      </w:r>
      <w:r w:rsidR="00751534">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2A707D" w:rsidRPr="000A63A1" w:rsidRDefault="002A707D" w:rsidP="002A707D">
      <w:pPr>
        <w:pStyle w:val="BodyText"/>
        <w:jc w:val="left"/>
        <w:rPr>
          <w:rFonts w:ascii="Arial" w:hAnsi="Arial" w:cs="Arial"/>
          <w:bCs/>
          <w:iCs/>
          <w:sz w:val="22"/>
          <w:szCs w:val="22"/>
          <w:lang w:val="fr-FR"/>
        </w:rPr>
      </w:pPr>
      <w:r w:rsidRPr="000A63A1">
        <w:rPr>
          <w:rFonts w:ascii="Arial" w:hAnsi="Arial" w:cs="Arial"/>
          <w:bCs/>
          <w:iCs/>
          <w:sz w:val="22"/>
          <w:szCs w:val="22"/>
          <w:lang w:val="fr-FR"/>
        </w:rPr>
        <w:t>7, place de Fontenoy, 75352 Paris 07 SP, France</w:t>
      </w:r>
    </w:p>
    <w:p w:rsidR="002A707D" w:rsidRPr="000A63A1" w:rsidRDefault="002A707D" w:rsidP="002A707D">
      <w:pPr>
        <w:pStyle w:val="BodyText"/>
        <w:jc w:val="left"/>
        <w:rPr>
          <w:rFonts w:ascii="Arial" w:hAnsi="Arial" w:cs="Arial"/>
          <w:bCs/>
          <w:iCs/>
          <w:sz w:val="22"/>
          <w:szCs w:val="22"/>
          <w:lang w:val="fr-FR"/>
        </w:rPr>
      </w:pPr>
      <w:bookmarkStart w:id="0" w:name="_GoBack"/>
      <w:bookmarkEnd w:id="0"/>
    </w:p>
    <w:p w:rsidR="002A707D" w:rsidRPr="000A63A1" w:rsidRDefault="002A707D" w:rsidP="002A707D">
      <w:pPr>
        <w:autoSpaceDE w:val="0"/>
        <w:autoSpaceDN w:val="0"/>
        <w:adjustRightInd w:val="0"/>
        <w:rPr>
          <w:szCs w:val="22"/>
          <w:lang w:val="en-GB"/>
        </w:rPr>
      </w:pPr>
      <w:r w:rsidRPr="000A63A1">
        <w:rPr>
          <w:szCs w:val="22"/>
          <w:lang w:val="en-GB"/>
        </w:rPr>
        <w:t xml:space="preserve">© UNESCO </w:t>
      </w:r>
      <w:r w:rsidR="00751534">
        <w:rPr>
          <w:szCs w:val="22"/>
          <w:lang w:val="en-GB"/>
        </w:rPr>
        <w:t>2016</w:t>
      </w:r>
    </w:p>
    <w:p w:rsidR="002A707D" w:rsidRPr="000A63A1" w:rsidRDefault="002A707D" w:rsidP="002A707D">
      <w:pPr>
        <w:autoSpaceDE w:val="0"/>
        <w:autoSpaceDN w:val="0"/>
        <w:adjustRightInd w:val="0"/>
        <w:rPr>
          <w:szCs w:val="22"/>
          <w:lang w:val="en-GB"/>
        </w:rPr>
      </w:pPr>
    </w:p>
    <w:p w:rsidR="002A707D" w:rsidRPr="00FC624F" w:rsidRDefault="002A707D" w:rsidP="002A707D">
      <w:pPr>
        <w:autoSpaceDE w:val="0"/>
        <w:autoSpaceDN w:val="0"/>
        <w:adjustRightInd w:val="0"/>
        <w:rPr>
          <w:szCs w:val="22"/>
          <w:lang w:val="en-GB"/>
        </w:rPr>
      </w:pPr>
      <w:r w:rsidRPr="000A63A1">
        <w:rPr>
          <w:noProof/>
          <w:szCs w:val="22"/>
          <w:lang w:val="fr-FR" w:eastAsia="ja-JP"/>
        </w:rPr>
        <w:drawing>
          <wp:inline distT="0" distB="0" distL="0" distR="0" wp14:anchorId="5C34EC0D" wp14:editId="755088EF">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2A707D" w:rsidRPr="000A63A1" w:rsidRDefault="002A707D" w:rsidP="002A707D">
      <w:pPr>
        <w:autoSpaceDE w:val="0"/>
        <w:autoSpaceDN w:val="0"/>
        <w:adjustRightInd w:val="0"/>
        <w:rPr>
          <w:szCs w:val="22"/>
          <w:lang w:val="fr-FR"/>
        </w:rPr>
      </w:pPr>
      <w:r w:rsidRPr="000A63A1">
        <w:rPr>
          <w:szCs w:val="22"/>
          <w:lang w:val="fr-FR"/>
        </w:rPr>
        <w:t>Œuvre publiée en libre accès sous la licence Attribution-ShareAlike 3.0 IGO (CC-BY-SA 3.0 IGO) (</w:t>
      </w:r>
      <w:hyperlink r:id="rId9" w:history="1">
        <w:r w:rsidRPr="000A63A1">
          <w:rPr>
            <w:rFonts w:eastAsiaTheme="minorHAnsi"/>
            <w:color w:val="0000FF"/>
            <w:szCs w:val="22"/>
            <w:u w:val="single" w:color="0000FF"/>
            <w:lang w:val="fr-FR" w:eastAsia="en-US"/>
          </w:rPr>
          <w:t>http://creativecommons.org/licenses/by-sa/3.0/igo/</w:t>
        </w:r>
      </w:hyperlink>
      <w:r w:rsidRPr="000A63A1">
        <w:rPr>
          <w:szCs w:val="22"/>
          <w:lang w:val="fr-FR"/>
        </w:rPr>
        <w:t>). Les utilisateurs du contenu de la présente publication acceptent les termes d’utilisation de l’Archive ouverte de libre accès UNESCO (</w:t>
      </w:r>
      <w:hyperlink r:id="rId10" w:history="1">
        <w:r w:rsidRPr="000A63A1">
          <w:rPr>
            <w:rStyle w:val="Hyperlink"/>
            <w:rFonts w:eastAsiaTheme="minorHAnsi"/>
            <w:szCs w:val="22"/>
            <w:lang w:val="fr-FR" w:eastAsia="en-US"/>
          </w:rPr>
          <w:t>www.unesco.org/open-access/terms-use-ccbysa-fr</w:t>
        </w:r>
      </w:hyperlink>
      <w:r w:rsidRPr="000A63A1">
        <w:rPr>
          <w:szCs w:val="22"/>
          <w:lang w:val="fr-FR"/>
        </w:rPr>
        <w:t>).</w:t>
      </w:r>
    </w:p>
    <w:p w:rsidR="002A707D" w:rsidRPr="00FC624F" w:rsidRDefault="002A707D" w:rsidP="002A707D">
      <w:pPr>
        <w:autoSpaceDE w:val="0"/>
        <w:autoSpaceDN w:val="0"/>
        <w:adjustRightInd w:val="0"/>
        <w:rPr>
          <w:szCs w:val="22"/>
          <w:lang w:val="fr-FR"/>
        </w:rPr>
      </w:pPr>
      <w:r w:rsidRPr="00FC624F">
        <w:rPr>
          <w:szCs w:val="22"/>
          <w:lang w:val="fr-FR"/>
        </w:rPr>
        <w:t xml:space="preserve">Les images dans cette publication ne sont pas couvertes par la licence CC-BY-SA et ne peuvent en aucune façon être commercialisées ou reproduites sans l’autorisation expresse des détenteurs des droits de reproduction. </w:t>
      </w:r>
    </w:p>
    <w:p w:rsidR="002A707D" w:rsidRPr="000A63A1" w:rsidRDefault="002A707D" w:rsidP="002A707D">
      <w:pPr>
        <w:pStyle w:val="BodyText"/>
        <w:jc w:val="left"/>
        <w:rPr>
          <w:rFonts w:ascii="Arial" w:hAnsi="Arial" w:cs="Arial"/>
          <w:bCs/>
          <w:iCs/>
          <w:sz w:val="22"/>
          <w:szCs w:val="22"/>
          <w:lang w:val="fr-FR"/>
        </w:rPr>
      </w:pPr>
    </w:p>
    <w:p w:rsidR="002A707D" w:rsidRPr="000A63A1" w:rsidRDefault="002A707D" w:rsidP="002A707D">
      <w:pPr>
        <w:pStyle w:val="BodyText"/>
        <w:jc w:val="left"/>
        <w:rPr>
          <w:rFonts w:ascii="Arial" w:hAnsi="Arial" w:cs="Arial"/>
          <w:bCs/>
          <w:iCs/>
          <w:sz w:val="22"/>
          <w:szCs w:val="22"/>
          <w:lang w:val="en-GB"/>
        </w:rPr>
      </w:pPr>
      <w:r w:rsidRPr="000A63A1">
        <w:rPr>
          <w:rFonts w:ascii="Arial" w:hAnsi="Arial" w:cs="Arial"/>
          <w:bCs/>
          <w:iCs/>
          <w:sz w:val="22"/>
          <w:szCs w:val="22"/>
          <w:lang w:val="en-GB"/>
        </w:rPr>
        <w:t xml:space="preserve">Titre original : Workshop on policy </w:t>
      </w:r>
      <w:r>
        <w:rPr>
          <w:rFonts w:ascii="Arial" w:hAnsi="Arial" w:cs="Arial"/>
          <w:bCs/>
          <w:iCs/>
          <w:sz w:val="22"/>
          <w:szCs w:val="22"/>
          <w:lang w:val="en-GB"/>
        </w:rPr>
        <w:t>development</w:t>
      </w:r>
      <w:r w:rsidRPr="000A63A1">
        <w:rPr>
          <w:rFonts w:ascii="Arial" w:hAnsi="Arial" w:cs="Arial"/>
          <w:bCs/>
          <w:iCs/>
          <w:sz w:val="22"/>
          <w:szCs w:val="22"/>
          <w:lang w:val="en-GB"/>
        </w:rPr>
        <w:t xml:space="preserve"> for intangible cultural heritage safeguarding</w:t>
      </w:r>
    </w:p>
    <w:p w:rsidR="002A707D" w:rsidRPr="000A63A1" w:rsidRDefault="002A707D" w:rsidP="002A707D">
      <w:pPr>
        <w:pStyle w:val="BodyText"/>
        <w:jc w:val="left"/>
        <w:rPr>
          <w:rFonts w:ascii="Arial" w:hAnsi="Arial" w:cs="Arial"/>
          <w:sz w:val="22"/>
          <w:szCs w:val="22"/>
          <w:lang w:val="fr-FR"/>
        </w:rPr>
      </w:pPr>
      <w:r w:rsidRPr="000A63A1">
        <w:rPr>
          <w:rFonts w:ascii="Arial" w:hAnsi="Arial" w:cs="Arial"/>
          <w:sz w:val="22"/>
          <w:szCs w:val="22"/>
          <w:lang w:val="fr-FR"/>
        </w:rPr>
        <w:t xml:space="preserve">Publié en </w:t>
      </w:r>
      <w:r w:rsidR="00751534">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2A707D" w:rsidRPr="000A63A1" w:rsidRDefault="002A707D" w:rsidP="002A707D">
      <w:pPr>
        <w:pStyle w:val="BodyText"/>
        <w:jc w:val="left"/>
        <w:rPr>
          <w:rFonts w:ascii="Arial" w:hAnsi="Arial" w:cs="Arial"/>
          <w:bCs/>
          <w:iCs/>
          <w:sz w:val="22"/>
          <w:szCs w:val="22"/>
          <w:lang w:val="fr-FR"/>
        </w:rPr>
      </w:pPr>
    </w:p>
    <w:p w:rsidR="002A707D" w:rsidRPr="000A63A1" w:rsidRDefault="002A707D" w:rsidP="002A707D">
      <w:pPr>
        <w:pStyle w:val="BodyText"/>
        <w:jc w:val="left"/>
        <w:rPr>
          <w:rFonts w:ascii="Arial" w:hAnsi="Arial" w:cs="Arial"/>
          <w:bCs/>
          <w:iCs/>
          <w:sz w:val="22"/>
          <w:szCs w:val="22"/>
          <w:lang w:val="fr-FR"/>
        </w:rPr>
      </w:pPr>
      <w:r w:rsidRPr="000A63A1">
        <w:rPr>
          <w:rFonts w:ascii="Arial" w:hAnsi="Arial" w:cs="Arial"/>
          <w:bCs/>
          <w:iCs/>
          <w:sz w:val="22"/>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2A707D" w:rsidRPr="000A63A1" w:rsidRDefault="002A707D" w:rsidP="002A707D">
      <w:pPr>
        <w:pStyle w:val="BodyText"/>
        <w:jc w:val="left"/>
        <w:rPr>
          <w:rFonts w:ascii="Arial" w:hAnsi="Arial" w:cs="Arial"/>
          <w:bCs/>
          <w:iCs/>
          <w:sz w:val="22"/>
          <w:szCs w:val="22"/>
          <w:lang w:val="fr-FR"/>
        </w:rPr>
      </w:pPr>
    </w:p>
    <w:p w:rsidR="002A707D" w:rsidRPr="002A707D" w:rsidRDefault="002A707D" w:rsidP="002A707D">
      <w:pPr>
        <w:pStyle w:val="BodyText"/>
        <w:jc w:val="left"/>
        <w:rPr>
          <w:rFonts w:ascii="Arial" w:hAnsi="Arial" w:cs="Arial"/>
          <w:bCs/>
          <w:iCs/>
          <w:sz w:val="22"/>
          <w:szCs w:val="22"/>
          <w:lang w:val="fr-FR"/>
        </w:rPr>
      </w:pPr>
      <w:r w:rsidRPr="000A63A1">
        <w:rPr>
          <w:rFonts w:ascii="Arial" w:hAnsi="Arial" w:cs="Arial"/>
          <w:bCs/>
          <w:iCs/>
          <w:sz w:val="22"/>
          <w:szCs w:val="22"/>
          <w:lang w:val="fr-FR"/>
        </w:rPr>
        <w:t>Les idées et les opinions exprimées dans cette publication sont celles des auteurs ; elles ne reflètent pas nécessairement les points de vue de l’UNESCO et n’engagent en aucune façon l’Organisation.</w:t>
      </w:r>
    </w:p>
    <w:p w:rsidR="002B1717" w:rsidRPr="00302BA2" w:rsidRDefault="002A707D" w:rsidP="00A77CF7">
      <w:pPr>
        <w:pStyle w:val="UPlan"/>
        <w:rPr>
          <w:lang w:val="fr-FR"/>
        </w:rPr>
      </w:pPr>
      <w:r>
        <w:rPr>
          <w:lang w:val="fr-FR"/>
        </w:rPr>
        <w:br w:type="page"/>
      </w:r>
    </w:p>
    <w:p w:rsidR="00E97AA9" w:rsidRPr="00B55E9B" w:rsidRDefault="006C2CB0" w:rsidP="00302BA2">
      <w:pPr>
        <w:pStyle w:val="Heading1"/>
        <w:spacing w:line="276" w:lineRule="auto"/>
        <w:rPr>
          <w:lang w:val="fr-FR"/>
        </w:rPr>
      </w:pPr>
      <w:r>
        <w:rPr>
          <w:lang w:val="fr-FR"/>
        </w:rPr>
        <w:lastRenderedPageBreak/>
        <w:t>Exposé</w:t>
      </w:r>
      <w:r w:rsidR="00302BA2">
        <w:rPr>
          <w:lang w:val="fr-FR"/>
        </w:rPr>
        <w:t xml:space="preserve"> du</w:t>
      </w:r>
      <w:r w:rsidR="00A33DED" w:rsidRPr="00B55E9B">
        <w:rPr>
          <w:lang w:val="fr-FR"/>
        </w:rPr>
        <w:t xml:space="preserve"> facilitateurs </w:t>
      </w:r>
      <w:r w:rsidR="00516029">
        <w:rPr>
          <w:lang w:val="fr-FR"/>
        </w:rPr>
        <w:t>5 </w:t>
      </w:r>
      <w:r w:rsidR="00EB44A3" w:rsidRPr="00B55E9B">
        <w:rPr>
          <w:lang w:val="fr-FR"/>
        </w:rPr>
        <w:t>: Sa</w:t>
      </w:r>
      <w:r w:rsidR="005948E6" w:rsidRPr="00B55E9B">
        <w:rPr>
          <w:lang w:val="fr-FR"/>
        </w:rPr>
        <w:t>uvegarder et breveter un proc</w:t>
      </w:r>
      <w:r w:rsidR="00A77CF7">
        <w:rPr>
          <w:lang w:val="fr-FR"/>
        </w:rPr>
        <w:t>É</w:t>
      </w:r>
      <w:r w:rsidR="005948E6" w:rsidRPr="00B55E9B">
        <w:rPr>
          <w:lang w:val="fr-FR"/>
        </w:rPr>
        <w:t>d</w:t>
      </w:r>
      <w:r w:rsidR="00A77CF7">
        <w:rPr>
          <w:lang w:val="fr-FR"/>
        </w:rPr>
        <w:t>É</w:t>
      </w:r>
      <w:r w:rsidR="005948E6" w:rsidRPr="00B55E9B">
        <w:rPr>
          <w:lang w:val="fr-FR"/>
        </w:rPr>
        <w:t xml:space="preserve"> de fabrication de fromage</w:t>
      </w:r>
      <w:r w:rsidR="00516029">
        <w:rPr>
          <w:lang w:val="fr-FR"/>
        </w:rPr>
        <w:t xml:space="preserve"> (É</w:t>
      </w:r>
      <w:r w:rsidR="00516029" w:rsidRPr="00B55E9B">
        <w:rPr>
          <w:lang w:val="fr-FR"/>
        </w:rPr>
        <w:t>tude de CAS</w:t>
      </w:r>
      <w:r w:rsidR="00516029">
        <w:rPr>
          <w:lang w:val="fr-FR"/>
        </w:rPr>
        <w:t xml:space="preserve"> 45</w:t>
      </w:r>
      <w:r w:rsidR="00516029" w:rsidRPr="00B55E9B">
        <w:rPr>
          <w:lang w:val="fr-FR"/>
        </w:rPr>
        <w:t> </w:t>
      </w:r>
      <w:r w:rsidR="00516029">
        <w:rPr>
          <w:lang w:val="fr-FR"/>
        </w:rPr>
        <w:t>)</w:t>
      </w:r>
    </w:p>
    <w:p w:rsidR="002B1717" w:rsidRPr="006C2CB0" w:rsidRDefault="00444E86" w:rsidP="00302BA2">
      <w:pPr>
        <w:pStyle w:val="Texte1"/>
      </w:pPr>
      <w:r w:rsidRPr="006C2CB0">
        <w:t xml:space="preserve">En guise de </w:t>
      </w:r>
      <w:r w:rsidR="005948E6" w:rsidRPr="006C2CB0">
        <w:t xml:space="preserve">préparation </w:t>
      </w:r>
      <w:r w:rsidRPr="006C2CB0">
        <w:t>à</w:t>
      </w:r>
      <w:r w:rsidR="005948E6" w:rsidRPr="006C2CB0">
        <w:t xml:space="preserve"> cette étude de cas, </w:t>
      </w:r>
      <w:r w:rsidR="0068199C" w:rsidRPr="006C2CB0">
        <w:t xml:space="preserve">vous pouvez encourager </w:t>
      </w:r>
      <w:r w:rsidR="005948E6" w:rsidRPr="006C2CB0">
        <w:t xml:space="preserve">les participants à lire le texte de la Convention de l’UNESCO et les paragraphes </w:t>
      </w:r>
      <w:r w:rsidR="0068199C" w:rsidRPr="006C2CB0">
        <w:t>1</w:t>
      </w:r>
      <w:r w:rsidR="00EF6DB9" w:rsidRPr="006C2CB0">
        <w:t xml:space="preserve">et </w:t>
      </w:r>
      <w:r w:rsidR="0068199C" w:rsidRPr="006C2CB0">
        <w:t xml:space="preserve">2 des </w:t>
      </w:r>
      <w:r w:rsidR="00EB44A3" w:rsidRPr="006C2CB0">
        <w:t xml:space="preserve">Directives </w:t>
      </w:r>
      <w:r w:rsidR="0068199C" w:rsidRPr="006C2CB0">
        <w:t xml:space="preserve">opérationnelles. </w:t>
      </w:r>
      <w:r w:rsidR="00D1064F" w:rsidRPr="006C2CB0">
        <w:t>Il</w:t>
      </w:r>
      <w:r w:rsidRPr="006C2CB0">
        <w:t xml:space="preserve"> fau</w:t>
      </w:r>
      <w:r w:rsidR="00EF6DB9" w:rsidRPr="006C2CB0">
        <w:t>drait</w:t>
      </w:r>
      <w:r w:rsidRPr="006C2CB0">
        <w:t xml:space="preserve"> également les initier à la notion de</w:t>
      </w:r>
      <w:r w:rsidR="00D1064F" w:rsidRPr="006C2CB0">
        <w:t xml:space="preserve"> brevet</w:t>
      </w:r>
      <w:r w:rsidR="00EB44A3" w:rsidRPr="006C2CB0">
        <w:t>.</w:t>
      </w:r>
    </w:p>
    <w:p w:rsidR="00EB44A3" w:rsidRPr="006C2CB0" w:rsidRDefault="002B1717" w:rsidP="00302BA2">
      <w:pPr>
        <w:pStyle w:val="Soustitre"/>
        <w:ind w:left="0"/>
        <w:rPr>
          <w:snapToGrid/>
        </w:rPr>
      </w:pPr>
      <w:r w:rsidRPr="006C2CB0">
        <w:rPr>
          <w:snapToGrid/>
        </w:rPr>
        <w:t>P</w:t>
      </w:r>
      <w:r w:rsidR="00D1064F" w:rsidRPr="006C2CB0">
        <w:rPr>
          <w:snapToGrid/>
        </w:rPr>
        <w:t xml:space="preserve">ourquoi les artisans du pays </w:t>
      </w:r>
      <w:r w:rsidRPr="006C2CB0">
        <w:rPr>
          <w:snapToGrid/>
        </w:rPr>
        <w:t>de Kassen</w:t>
      </w:r>
      <w:r w:rsidR="00D1064F" w:rsidRPr="006C2CB0">
        <w:rPr>
          <w:snapToGrid/>
        </w:rPr>
        <w:t xml:space="preserve"> ont-ils pu obtenir un brevet pour leur méthode améliorée de fabrication d</w:t>
      </w:r>
      <w:r w:rsidRPr="006C2CB0">
        <w:rPr>
          <w:snapToGrid/>
        </w:rPr>
        <w:t>e</w:t>
      </w:r>
      <w:r w:rsidR="00D1064F" w:rsidRPr="006C2CB0">
        <w:rPr>
          <w:snapToGrid/>
        </w:rPr>
        <w:t xml:space="preserve"> fromage traditionnel ?</w:t>
      </w:r>
    </w:p>
    <w:p w:rsidR="00EB44A3" w:rsidRPr="00302BA2" w:rsidRDefault="00D1064F" w:rsidP="00302BA2">
      <w:pPr>
        <w:pStyle w:val="Texte1"/>
      </w:pPr>
      <w:r w:rsidRPr="00A8299B">
        <w:t xml:space="preserve">Les artisans fromagers du pays </w:t>
      </w:r>
      <w:r w:rsidR="00532A55" w:rsidRPr="00A8299B">
        <w:t xml:space="preserve">de Kassen </w:t>
      </w:r>
      <w:r w:rsidRPr="00302BA2">
        <w:t>ont inventé une façon nouvelle et non évidente d</w:t>
      </w:r>
      <w:r w:rsidR="003A448D" w:rsidRPr="00302BA2">
        <w:t>’accomplir</w:t>
      </w:r>
      <w:r w:rsidRPr="00302BA2">
        <w:t xml:space="preserve"> l’une des étapes de la méthode traditionnelle</w:t>
      </w:r>
      <w:r w:rsidR="003A448D" w:rsidRPr="00302BA2">
        <w:t xml:space="preserve"> de fabrication,</w:t>
      </w:r>
      <w:r w:rsidR="00EB44A3" w:rsidRPr="00302BA2">
        <w:t xml:space="preserve"> </w:t>
      </w:r>
      <w:r w:rsidR="003A448D" w:rsidRPr="00302BA2">
        <w:t xml:space="preserve">qui satisfait aux conditions de nouveauté, d’inventivité et d’applicabilité </w:t>
      </w:r>
      <w:r w:rsidR="00EB44A3" w:rsidRPr="00302BA2">
        <w:t>industri</w:t>
      </w:r>
      <w:r w:rsidR="003A448D" w:rsidRPr="00302BA2">
        <w:t>elle</w:t>
      </w:r>
      <w:r w:rsidR="00EB44A3" w:rsidRPr="00302BA2">
        <w:t xml:space="preserve">. </w:t>
      </w:r>
      <w:r w:rsidR="00002B67" w:rsidRPr="00302BA2">
        <w:t>C</w:t>
      </w:r>
      <w:r w:rsidR="003A448D" w:rsidRPr="00302BA2">
        <w:t xml:space="preserve">ette méthode améliorée </w:t>
      </w:r>
      <w:r w:rsidR="00002B67" w:rsidRPr="00302BA2">
        <w:t>étant</w:t>
      </w:r>
      <w:r w:rsidR="00515352" w:rsidRPr="00302BA2">
        <w:t xml:space="preserve"> une composante du procédé général de fabrication traditionnelle du fromage</w:t>
      </w:r>
      <w:r w:rsidR="00EB44A3" w:rsidRPr="00302BA2">
        <w:t xml:space="preserve">, </w:t>
      </w:r>
      <w:r w:rsidR="00921558" w:rsidRPr="00302BA2">
        <w:t>Les artisans fromagers</w:t>
      </w:r>
      <w:r w:rsidR="00515352" w:rsidRPr="00302BA2">
        <w:t xml:space="preserve"> estiment qu’elle </w:t>
      </w:r>
      <w:r w:rsidR="00002B67" w:rsidRPr="00302BA2">
        <w:t xml:space="preserve">relève </w:t>
      </w:r>
      <w:r w:rsidR="00515352" w:rsidRPr="00302BA2">
        <w:t xml:space="preserve">de cette </w:t>
      </w:r>
      <w:r w:rsidR="00516029" w:rsidRPr="00302BA2">
        <w:t>tradition:</w:t>
      </w:r>
      <w:r w:rsidR="005C27D9" w:rsidRPr="00A8299B">
        <w:t xml:space="preserve"> elle</w:t>
      </w:r>
      <w:r w:rsidR="00EB44A3" w:rsidRPr="00302BA2">
        <w:t xml:space="preserve"> r</w:t>
      </w:r>
      <w:r w:rsidR="00515352" w:rsidRPr="00302BA2">
        <w:t>épond à de nouvelles circonstances dans l’environnement (par exemple, l’exigence d’une méthode plus efficace</w:t>
      </w:r>
      <w:r w:rsidR="00EB44A3" w:rsidRPr="00302BA2">
        <w:t>).</w:t>
      </w:r>
    </w:p>
    <w:p w:rsidR="00EB44A3" w:rsidRPr="006C2CB0" w:rsidRDefault="00574B9C" w:rsidP="00302BA2">
      <w:pPr>
        <w:pStyle w:val="Soustitre"/>
        <w:ind w:left="0"/>
        <w:rPr>
          <w:snapToGrid/>
        </w:rPr>
      </w:pPr>
      <w:r w:rsidRPr="006C2CB0">
        <w:rPr>
          <w:snapToGrid/>
        </w:rPr>
        <w:t>L</w:t>
      </w:r>
      <w:r w:rsidR="00515352" w:rsidRPr="006C2CB0">
        <w:rPr>
          <w:snapToGrid/>
        </w:rPr>
        <w:t xml:space="preserve">e fait de breveter la méthode améliorée </w:t>
      </w:r>
      <w:r w:rsidR="0052391D" w:rsidRPr="006C2CB0">
        <w:rPr>
          <w:snapToGrid/>
        </w:rPr>
        <w:t>peut-il aider à sauvegarder la méthode traditionnelle de fabrication du fromage (pourquoi) </w:t>
      </w:r>
      <w:r w:rsidR="00EB44A3" w:rsidRPr="006C2CB0">
        <w:rPr>
          <w:snapToGrid/>
        </w:rPr>
        <w:t>?</w:t>
      </w:r>
    </w:p>
    <w:p w:rsidR="00EB44A3" w:rsidRPr="00302BA2" w:rsidRDefault="0052391D" w:rsidP="00302BA2">
      <w:pPr>
        <w:pStyle w:val="Texte1"/>
      </w:pPr>
      <w:r w:rsidRPr="00302BA2">
        <w:t>La</w:t>
      </w:r>
      <w:r w:rsidR="00EB44A3" w:rsidRPr="00302BA2">
        <w:t xml:space="preserve"> question </w:t>
      </w:r>
      <w:r w:rsidRPr="00302BA2">
        <w:t>qui se pose est de savoir si le fait de rendre publique la méthode améliorée de fabrication du fromage</w:t>
      </w:r>
      <w:r w:rsidR="00564CEE" w:rsidRPr="00302BA2">
        <w:t>,</w:t>
      </w:r>
      <w:r w:rsidRPr="00302BA2">
        <w:t xml:space="preserve"> en </w:t>
      </w:r>
      <w:r w:rsidR="00002B67" w:rsidRPr="00302BA2">
        <w:t>faisant</w:t>
      </w:r>
      <w:r w:rsidRPr="00302BA2">
        <w:t xml:space="preserve"> une demande de brevet</w:t>
      </w:r>
      <w:r w:rsidR="00564CEE" w:rsidRPr="00302BA2">
        <w:t>,</w:t>
      </w:r>
      <w:r w:rsidRPr="00302BA2">
        <w:t xml:space="preserve"> et de donner </w:t>
      </w:r>
      <w:r w:rsidR="002B4D5D" w:rsidRPr="00302BA2">
        <w:t xml:space="preserve">aux artisans fromagers de la communauté </w:t>
      </w:r>
      <w:r w:rsidR="00564CEE" w:rsidRPr="00302BA2">
        <w:t>Fan</w:t>
      </w:r>
      <w:r w:rsidR="002B4D5D" w:rsidRPr="00302BA2">
        <w:t xml:space="preserve"> </w:t>
      </w:r>
      <w:r w:rsidRPr="00302BA2">
        <w:t xml:space="preserve">un monopole national temporaire sur la nouvelle méthode </w:t>
      </w:r>
      <w:r w:rsidR="002B4D5D" w:rsidRPr="00302BA2">
        <w:t xml:space="preserve">peut encourager ou décourager la pratique traditionnelle de fabrication </w:t>
      </w:r>
      <w:r w:rsidR="00EB44A3" w:rsidRPr="00302BA2">
        <w:t>(</w:t>
      </w:r>
      <w:r w:rsidR="002B4D5D" w:rsidRPr="00302BA2">
        <w:t>avec les méthodes ancienne et/ou nouvelle</w:t>
      </w:r>
      <w:r w:rsidR="00EB44A3" w:rsidRPr="00302BA2">
        <w:t>)</w:t>
      </w:r>
      <w:r w:rsidR="002B4D5D" w:rsidRPr="00302BA2">
        <w:t xml:space="preserve"> et la formation de nouveaux artisans</w:t>
      </w:r>
      <w:r w:rsidR="00EB44A3" w:rsidRPr="00302BA2">
        <w:t>.</w:t>
      </w:r>
    </w:p>
    <w:p w:rsidR="00EB44A3" w:rsidRPr="00302BA2" w:rsidRDefault="007729D7" w:rsidP="00302BA2">
      <w:pPr>
        <w:pStyle w:val="Texte1"/>
      </w:pPr>
      <w:r w:rsidRPr="00302BA2">
        <w:t>Le fait de b</w:t>
      </w:r>
      <w:r w:rsidR="00642280" w:rsidRPr="00302BA2">
        <w:t>reveter la méthode améliorée de fabrication du fromage peut aider à sauvegarder le mode traditionnel de production du fromage</w:t>
      </w:r>
      <w:r w:rsidRPr="00302BA2">
        <w:t>,</w:t>
      </w:r>
      <w:r w:rsidR="00642280" w:rsidRPr="00302BA2">
        <w:t xml:space="preserve"> s</w:t>
      </w:r>
      <w:r w:rsidRPr="00302BA2">
        <w:t>’</w:t>
      </w:r>
      <w:r w:rsidR="00642280" w:rsidRPr="00302BA2">
        <w:t>i</w:t>
      </w:r>
      <w:r w:rsidRPr="00302BA2">
        <w:t>l</w:t>
      </w:r>
      <w:r w:rsidR="00642280" w:rsidRPr="00302BA2">
        <w:t xml:space="preserve"> crée une incitation financière plus grande à </w:t>
      </w:r>
      <w:r w:rsidR="00B55E9B" w:rsidRPr="00302BA2">
        <w:t>fabriquer</w:t>
      </w:r>
      <w:r w:rsidR="00642280" w:rsidRPr="00302BA2">
        <w:t xml:space="preserve"> </w:t>
      </w:r>
      <w:r w:rsidR="00610108" w:rsidRPr="00302BA2">
        <w:t>le fromage et s</w:t>
      </w:r>
      <w:r w:rsidRPr="00302BA2">
        <w:t>’</w:t>
      </w:r>
      <w:r w:rsidR="00610108" w:rsidRPr="00302BA2">
        <w:t>i</w:t>
      </w:r>
      <w:r w:rsidRPr="00302BA2">
        <w:t>l</w:t>
      </w:r>
      <w:r w:rsidR="00610108" w:rsidRPr="00302BA2">
        <w:t xml:space="preserve"> permet </w:t>
      </w:r>
      <w:r w:rsidRPr="00302BA2">
        <w:t>aux</w:t>
      </w:r>
      <w:r w:rsidR="00610108" w:rsidRPr="00302BA2">
        <w:t xml:space="preserve"> artisans fromagers du pays </w:t>
      </w:r>
      <w:r w:rsidR="00532A55" w:rsidRPr="00302BA2">
        <w:t>de Kassen</w:t>
      </w:r>
      <w:r w:rsidR="00610108" w:rsidRPr="00302BA2">
        <w:t xml:space="preserve"> </w:t>
      </w:r>
      <w:r w:rsidRPr="00302BA2">
        <w:t>d’</w:t>
      </w:r>
      <w:r w:rsidR="00610108" w:rsidRPr="00302BA2">
        <w:t xml:space="preserve">en </w:t>
      </w:r>
      <w:r w:rsidR="001A3A2E" w:rsidRPr="00302BA2">
        <w:t xml:space="preserve">percevoir </w:t>
      </w:r>
      <w:r w:rsidR="00610108" w:rsidRPr="00302BA2">
        <w:t>les bénéfices</w:t>
      </w:r>
      <w:r w:rsidR="00EB44A3" w:rsidRPr="00302BA2">
        <w:t xml:space="preserve">. </w:t>
      </w:r>
      <w:r w:rsidR="00610108" w:rsidRPr="00302BA2">
        <w:t>Toutefois, les droits de monopole octroyés par le brevet expire</w:t>
      </w:r>
      <w:r w:rsidRPr="00302BA2">
        <w:t>ro</w:t>
      </w:r>
      <w:r w:rsidR="00610108" w:rsidRPr="00302BA2">
        <w:t xml:space="preserve">nt </w:t>
      </w:r>
      <w:r w:rsidRPr="00302BA2">
        <w:t xml:space="preserve">au bout de 20 ans </w:t>
      </w:r>
      <w:r w:rsidR="00610108" w:rsidRPr="00302BA2">
        <w:t xml:space="preserve">et </w:t>
      </w:r>
      <w:r w:rsidR="00DB33E6" w:rsidRPr="00302BA2">
        <w:t>aucun effet supplémentaire ne sera attendu</w:t>
      </w:r>
      <w:r w:rsidR="00EB44A3" w:rsidRPr="00302BA2">
        <w:t xml:space="preserve">. </w:t>
      </w:r>
      <w:r w:rsidR="007C007F" w:rsidRPr="00302BA2">
        <w:t>L’utilisation de l’ancienne méthode de fabrication du fromage ne constituera évidemment pas une violation du brevet puisqu’elle n’est pas brevetée (et ne peut l’être parce qu’elle n’est ni nouvelle ni secrète</w:t>
      </w:r>
      <w:r w:rsidR="00EB44A3" w:rsidRPr="00302BA2">
        <w:t>).</w:t>
      </w:r>
    </w:p>
    <w:p w:rsidR="00EB44A3" w:rsidRPr="00302BA2" w:rsidRDefault="007C007F" w:rsidP="00302BA2">
      <w:pPr>
        <w:pStyle w:val="Texte1"/>
      </w:pPr>
      <w:r w:rsidRPr="00302BA2">
        <w:t>Le</w:t>
      </w:r>
      <w:r w:rsidR="007729D7" w:rsidRPr="00302BA2">
        <w:t xml:space="preserve"> domaine d’application de</w:t>
      </w:r>
      <w:r w:rsidRPr="00302BA2">
        <w:t xml:space="preserve">s brevets </w:t>
      </w:r>
      <w:r w:rsidR="007729D7" w:rsidRPr="00302BA2">
        <w:t>est</w:t>
      </w:r>
      <w:r w:rsidRPr="00302BA2">
        <w:t xml:space="preserve"> national</w:t>
      </w:r>
      <w:r w:rsidR="00EB44A3" w:rsidRPr="00302BA2">
        <w:t xml:space="preserve">. </w:t>
      </w:r>
      <w:r w:rsidRPr="00302BA2">
        <w:t xml:space="preserve">Ce brevet a été accordé dans le pays </w:t>
      </w:r>
      <w:r w:rsidR="00532A55" w:rsidRPr="00302BA2">
        <w:t>de Kassen</w:t>
      </w:r>
      <w:r w:rsidR="00EB44A3" w:rsidRPr="00302BA2">
        <w:t xml:space="preserve">, </w:t>
      </w:r>
      <w:r w:rsidR="001F4A7A" w:rsidRPr="00302BA2">
        <w:t xml:space="preserve">de sorte que, à moins que les artisans fromagers ne demandent également un brevet pour leur invention dans un autre pays dans un délai très court </w:t>
      </w:r>
      <w:r w:rsidR="00EB44A3" w:rsidRPr="00302BA2">
        <w:t>(</w:t>
      </w:r>
      <w:r w:rsidR="001F4A7A" w:rsidRPr="00302BA2">
        <w:t>généralement un an environ</w:t>
      </w:r>
      <w:r w:rsidR="00EB44A3" w:rsidRPr="00302BA2">
        <w:t xml:space="preserve">), </w:t>
      </w:r>
      <w:r w:rsidR="001F4A7A" w:rsidRPr="00302BA2">
        <w:t xml:space="preserve">leur </w:t>
      </w:r>
      <w:r w:rsidR="00EB44A3" w:rsidRPr="00302BA2">
        <w:t>monopol</w:t>
      </w:r>
      <w:r w:rsidR="001F4A7A" w:rsidRPr="00302BA2">
        <w:t>e</w:t>
      </w:r>
      <w:r w:rsidR="00EB44A3" w:rsidRPr="00302BA2">
        <w:t xml:space="preserve"> </w:t>
      </w:r>
      <w:r w:rsidR="001F4A7A" w:rsidRPr="00302BA2">
        <w:t>ne sera pas protégé dans d’autres pays</w:t>
      </w:r>
      <w:r w:rsidR="00EB44A3" w:rsidRPr="00302BA2">
        <w:t xml:space="preserve">. </w:t>
      </w:r>
      <w:r w:rsidR="00443418" w:rsidRPr="00302BA2">
        <w:t xml:space="preserve">Si aucun </w:t>
      </w:r>
      <w:r w:rsidR="001F4A7A" w:rsidRPr="00302BA2">
        <w:t xml:space="preserve">brevet </w:t>
      </w:r>
      <w:r w:rsidR="00443418" w:rsidRPr="00302BA2">
        <w:t xml:space="preserve">n’est déposé </w:t>
      </w:r>
      <w:r w:rsidR="001F4A7A" w:rsidRPr="00302BA2">
        <w:t xml:space="preserve">dans le pays </w:t>
      </w:r>
      <w:r w:rsidR="00443418" w:rsidRPr="00302BA2">
        <w:t>de Masse</w:t>
      </w:r>
      <w:r w:rsidR="00EB44A3" w:rsidRPr="00302BA2">
        <w:t xml:space="preserve">, </w:t>
      </w:r>
      <w:r w:rsidR="002969A8" w:rsidRPr="00302BA2">
        <w:t xml:space="preserve">l’utilisation de la nouvelle méthode par la communauté </w:t>
      </w:r>
      <w:r w:rsidR="00443418" w:rsidRPr="00302BA2">
        <w:t>Fan</w:t>
      </w:r>
      <w:r w:rsidR="00EB44A3" w:rsidRPr="00302BA2">
        <w:t xml:space="preserve"> (</w:t>
      </w:r>
      <w:r w:rsidR="002969A8" w:rsidRPr="00302BA2">
        <w:t>qui est publiée dans la demande de brevet et par conséquent connue du public)</w:t>
      </w:r>
      <w:r w:rsidR="00EB44A3" w:rsidRPr="00302BA2">
        <w:t xml:space="preserve"> </w:t>
      </w:r>
      <w:r w:rsidR="002969A8" w:rsidRPr="00302BA2">
        <w:t xml:space="preserve">ne </w:t>
      </w:r>
      <w:r w:rsidR="002C523B" w:rsidRPr="00302BA2">
        <w:t>saurait</w:t>
      </w:r>
      <w:r w:rsidR="002969A8" w:rsidRPr="00302BA2">
        <w:t xml:space="preserve"> constituer une violation du brevet accordé dans le pays</w:t>
      </w:r>
      <w:r w:rsidR="00EB44A3" w:rsidRPr="00302BA2">
        <w:t xml:space="preserve"> </w:t>
      </w:r>
      <w:r w:rsidR="00532A55" w:rsidRPr="00302BA2">
        <w:t>de Kassen</w:t>
      </w:r>
      <w:r w:rsidR="00EB44A3" w:rsidRPr="00302BA2">
        <w:t xml:space="preserve">. </w:t>
      </w:r>
      <w:r w:rsidR="002969A8" w:rsidRPr="00302BA2">
        <w:t xml:space="preserve">Cela signifie que les artisans fromagers de la communauté </w:t>
      </w:r>
      <w:r w:rsidR="00443418" w:rsidRPr="00302BA2">
        <w:t>Fan</w:t>
      </w:r>
      <w:r w:rsidR="002969A8" w:rsidRPr="00302BA2">
        <w:t xml:space="preserve"> peuvent utiliser </w:t>
      </w:r>
      <w:r w:rsidR="00443418" w:rsidRPr="00302BA2">
        <w:t xml:space="preserve">à la fois </w:t>
      </w:r>
      <w:r w:rsidR="002969A8" w:rsidRPr="00302BA2">
        <w:t xml:space="preserve">l’ancienne et la nouvelle méthode de fabrication de leur fromage dans le pays </w:t>
      </w:r>
      <w:r w:rsidR="00443418" w:rsidRPr="00302BA2">
        <w:t>de Masse</w:t>
      </w:r>
      <w:r w:rsidR="00EB44A3" w:rsidRPr="00302BA2">
        <w:t xml:space="preserve"> (o</w:t>
      </w:r>
      <w:r w:rsidR="002969A8" w:rsidRPr="00302BA2">
        <w:t xml:space="preserve">u </w:t>
      </w:r>
      <w:r w:rsidR="002C523B" w:rsidRPr="00302BA2">
        <w:t xml:space="preserve">dans </w:t>
      </w:r>
      <w:r w:rsidR="002969A8" w:rsidRPr="00302BA2">
        <w:t>n’importe quel autre pays non couvert par le brevet</w:t>
      </w:r>
      <w:r w:rsidR="00EB44A3" w:rsidRPr="00302BA2">
        <w:t xml:space="preserve">) </w:t>
      </w:r>
      <w:r w:rsidR="002969A8" w:rsidRPr="00302BA2">
        <w:t xml:space="preserve">sans craindre </w:t>
      </w:r>
      <w:r w:rsidR="009C39C5" w:rsidRPr="00302BA2">
        <w:t>une action en justice</w:t>
      </w:r>
      <w:r w:rsidR="00EB44A3" w:rsidRPr="00302BA2">
        <w:t xml:space="preserve">. </w:t>
      </w:r>
      <w:r w:rsidR="009C39C5" w:rsidRPr="00302BA2">
        <w:t xml:space="preserve">N’importe qui d’autre peut également en faire autant, en dehors du pays </w:t>
      </w:r>
      <w:r w:rsidR="00532A55" w:rsidRPr="00302BA2">
        <w:t>de Kassen</w:t>
      </w:r>
      <w:r w:rsidR="00EB44A3" w:rsidRPr="00302BA2">
        <w:t>.</w:t>
      </w:r>
    </w:p>
    <w:p w:rsidR="00EB44A3" w:rsidRPr="006C2CB0" w:rsidRDefault="00061C0D" w:rsidP="00302BA2">
      <w:pPr>
        <w:pStyle w:val="Soustitre"/>
        <w:ind w:left="0"/>
        <w:rPr>
          <w:snapToGrid/>
        </w:rPr>
      </w:pPr>
      <w:r w:rsidRPr="006C2CB0">
        <w:rPr>
          <w:snapToGrid/>
        </w:rPr>
        <w:lastRenderedPageBreak/>
        <w:t>Q</w:t>
      </w:r>
      <w:r w:rsidR="009C39C5" w:rsidRPr="006C2CB0">
        <w:rPr>
          <w:snapToGrid/>
        </w:rPr>
        <w:t>uelles autres formes de protection des droits de p</w:t>
      </w:r>
      <w:r w:rsidRPr="006C2CB0">
        <w:rPr>
          <w:snapToGrid/>
        </w:rPr>
        <w:t>ropriété intellectuelle</w:t>
      </w:r>
      <w:r w:rsidR="009C39C5" w:rsidRPr="006C2CB0">
        <w:rPr>
          <w:snapToGrid/>
        </w:rPr>
        <w:t xml:space="preserve"> pourraient-il</w:t>
      </w:r>
      <w:r w:rsidR="005D226B" w:rsidRPr="006C2CB0">
        <w:rPr>
          <w:snapToGrid/>
        </w:rPr>
        <w:t>s</w:t>
      </w:r>
      <w:r w:rsidR="009C39C5" w:rsidRPr="006C2CB0">
        <w:rPr>
          <w:snapToGrid/>
        </w:rPr>
        <w:t xml:space="preserve"> </w:t>
      </w:r>
      <w:r w:rsidR="002C523B" w:rsidRPr="006C2CB0">
        <w:rPr>
          <w:snapToGrid/>
        </w:rPr>
        <w:t xml:space="preserve">rechercher </w:t>
      </w:r>
      <w:r w:rsidR="009C39C5" w:rsidRPr="006C2CB0">
        <w:rPr>
          <w:snapToGrid/>
        </w:rPr>
        <w:t>? En quoi les aideraient-elles à sauvegarder le PCI ?</w:t>
      </w:r>
    </w:p>
    <w:p w:rsidR="00EB44A3" w:rsidRPr="00302BA2" w:rsidRDefault="009C39C5" w:rsidP="00302BA2">
      <w:pPr>
        <w:pStyle w:val="Texte1"/>
      </w:pPr>
      <w:r w:rsidRPr="00302BA2">
        <w:t xml:space="preserve">Sur cet aspect, les participants peuvent </w:t>
      </w:r>
      <w:r w:rsidR="00E218DE" w:rsidRPr="00302BA2">
        <w:t>discuter d</w:t>
      </w:r>
      <w:r w:rsidR="005316CF" w:rsidRPr="00302BA2">
        <w:t xml:space="preserve">e l’utilisation </w:t>
      </w:r>
      <w:r w:rsidR="00E218DE" w:rsidRPr="00302BA2">
        <w:t>par les artisans fromagers</w:t>
      </w:r>
      <w:r w:rsidR="005316CF" w:rsidRPr="00302BA2">
        <w:t xml:space="preserve"> </w:t>
      </w:r>
      <w:r w:rsidR="00E218DE" w:rsidRPr="00302BA2">
        <w:t>de</w:t>
      </w:r>
      <w:r w:rsidR="005316CF" w:rsidRPr="00302BA2">
        <w:t xml:space="preserve"> </w:t>
      </w:r>
      <w:r w:rsidR="00E218DE" w:rsidRPr="00302BA2">
        <w:t>marques commerciales (éventuellement pour différentes familles de producteurs de fromage ou le groupe tout entier</w:t>
      </w:r>
      <w:r w:rsidR="00EB44A3" w:rsidRPr="00302BA2">
        <w:t>) o</w:t>
      </w:r>
      <w:r w:rsidR="00E218DE" w:rsidRPr="00302BA2">
        <w:t>u d</w:t>
      </w:r>
      <w:r w:rsidR="005316CF" w:rsidRPr="00302BA2">
        <w:t>’</w:t>
      </w:r>
      <w:r w:rsidR="005E431A" w:rsidRPr="00302BA2">
        <w:t>indications</w:t>
      </w:r>
      <w:r w:rsidR="00E218DE" w:rsidRPr="00302BA2">
        <w:t xml:space="preserve"> géog</w:t>
      </w:r>
      <w:r w:rsidR="00EB44A3" w:rsidRPr="00302BA2">
        <w:t>r</w:t>
      </w:r>
      <w:r w:rsidR="00E218DE" w:rsidRPr="00302BA2">
        <w:t xml:space="preserve">aphiques pour le produit fabriqué de façon traditionnelle </w:t>
      </w:r>
      <w:r w:rsidR="00EB44A3" w:rsidRPr="00302BA2">
        <w:t>(</w:t>
      </w:r>
      <w:r w:rsidR="005316CF" w:rsidRPr="00302BA2">
        <w:t>précisa</w:t>
      </w:r>
      <w:r w:rsidR="00E218DE" w:rsidRPr="00302BA2">
        <w:t>nt la région et la méthode de production</w:t>
      </w:r>
      <w:r w:rsidR="00EB44A3" w:rsidRPr="00302BA2">
        <w:t xml:space="preserve">). </w:t>
      </w:r>
      <w:r w:rsidR="00FD1362" w:rsidRPr="00302BA2">
        <w:t xml:space="preserve">Plusieurs types de protection de la </w:t>
      </w:r>
      <w:r w:rsidR="00AE245E" w:rsidRPr="00302BA2">
        <w:t>propriété intellectuelle</w:t>
      </w:r>
      <w:r w:rsidR="00FD1362" w:rsidRPr="00302BA2">
        <w:t xml:space="preserve"> peuvent être utilisés simultanément, si la législation du pays le permet</w:t>
      </w:r>
      <w:r w:rsidR="00EB44A3" w:rsidRPr="00302BA2">
        <w:t xml:space="preserve">. </w:t>
      </w:r>
      <w:r w:rsidR="00FD1362" w:rsidRPr="00302BA2">
        <w:t>La nouvelle méthode p</w:t>
      </w:r>
      <w:r w:rsidR="005E431A" w:rsidRPr="00302BA2">
        <w:t>ourrai</w:t>
      </w:r>
      <w:r w:rsidR="00FD1362" w:rsidRPr="00302BA2">
        <w:t>t être protégé</w:t>
      </w:r>
      <w:r w:rsidR="005316CF" w:rsidRPr="00302BA2">
        <w:t>e</w:t>
      </w:r>
      <w:r w:rsidR="00FD1362" w:rsidRPr="00302BA2">
        <w:t xml:space="preserve"> </w:t>
      </w:r>
      <w:r w:rsidR="005316CF" w:rsidRPr="00302BA2">
        <w:t>au titre du</w:t>
      </w:r>
      <w:r w:rsidR="00FD1362" w:rsidRPr="00302BA2">
        <w:t xml:space="preserve"> secret </w:t>
      </w:r>
      <w:r w:rsidR="00492AD4" w:rsidRPr="00302BA2">
        <w:t>de fabrication</w:t>
      </w:r>
      <w:r w:rsidR="00EB44A3" w:rsidRPr="00302BA2">
        <w:t xml:space="preserve">, </w:t>
      </w:r>
      <w:r w:rsidR="00FD1362" w:rsidRPr="00302BA2">
        <w:t>s</w:t>
      </w:r>
      <w:r w:rsidR="00EB44A3" w:rsidRPr="00302BA2">
        <w:t>i</w:t>
      </w:r>
      <w:r w:rsidR="00FD1362" w:rsidRPr="00302BA2">
        <w:t xml:space="preserve"> les</w:t>
      </w:r>
      <w:r w:rsidR="00EB44A3" w:rsidRPr="00302BA2">
        <w:t xml:space="preserve"> artisans </w:t>
      </w:r>
      <w:r w:rsidR="00492AD4" w:rsidRPr="00302BA2">
        <w:t xml:space="preserve">la tenaient </w:t>
      </w:r>
      <w:r w:rsidR="00FD1362" w:rsidRPr="00302BA2">
        <w:t>secr</w:t>
      </w:r>
      <w:r w:rsidR="00492AD4" w:rsidRPr="00302BA2">
        <w:t>ète</w:t>
      </w:r>
      <w:r w:rsidR="00EB44A3" w:rsidRPr="00302BA2">
        <w:t xml:space="preserve">. </w:t>
      </w:r>
      <w:r w:rsidR="00FD1362" w:rsidRPr="00302BA2">
        <w:t xml:space="preserve">Le recours à des marques commerciales ou à des </w:t>
      </w:r>
      <w:r w:rsidR="005E431A" w:rsidRPr="00302BA2">
        <w:t>indic</w:t>
      </w:r>
      <w:r w:rsidR="00FD1362" w:rsidRPr="00302BA2">
        <w:t>ations géographiques peut recouvrir partiellement et élargir la protection offerte par le brevet pour la nouvelle méthode de fabrication du fromage</w:t>
      </w:r>
      <w:r w:rsidR="00EB44A3" w:rsidRPr="00302BA2">
        <w:t xml:space="preserve">, </w:t>
      </w:r>
      <w:r w:rsidR="00851CB3" w:rsidRPr="00302BA2">
        <w:t>puisque ces formes de droit de PI peuvent être renouvelées à perpétuité</w:t>
      </w:r>
      <w:r w:rsidR="00EB44A3" w:rsidRPr="00302BA2">
        <w:t xml:space="preserve">. </w:t>
      </w:r>
      <w:r w:rsidR="00851CB3" w:rsidRPr="00302BA2">
        <w:t>Cela pourrait empêcher d’autres entreprises d’utiliser le même nom pour le produit ou un produit similaire (dans le cas des marques commerciales</w:t>
      </w:r>
      <w:r w:rsidR="00EB44A3" w:rsidRPr="00302BA2">
        <w:t>) o</w:t>
      </w:r>
      <w:r w:rsidR="00851CB3" w:rsidRPr="00302BA2">
        <w:t>u</w:t>
      </w:r>
      <w:r w:rsidR="00EB44A3" w:rsidRPr="00302BA2">
        <w:t xml:space="preserve"> (</w:t>
      </w:r>
      <w:r w:rsidR="00851CB3" w:rsidRPr="00302BA2">
        <w:t xml:space="preserve">dans le cas des </w:t>
      </w:r>
      <w:r w:rsidR="005E431A" w:rsidRPr="00302BA2">
        <w:t>indica</w:t>
      </w:r>
      <w:r w:rsidR="00851CB3" w:rsidRPr="00302BA2">
        <w:t>tions géographiques)</w:t>
      </w:r>
      <w:r w:rsidR="00EB44A3" w:rsidRPr="00302BA2">
        <w:t xml:space="preserve"> </w:t>
      </w:r>
      <w:r w:rsidR="00954CB3" w:rsidRPr="00302BA2">
        <w:t>empêcher quiconque d’utiliser le même nom ou un nom similaire pour un fromage fabriqué par d’autres moyens et/ou dans d’autres endroits</w:t>
      </w:r>
      <w:r w:rsidR="00EB44A3" w:rsidRPr="00302BA2">
        <w:t>.</w:t>
      </w:r>
    </w:p>
    <w:p w:rsidR="00EB44A3" w:rsidRPr="00302BA2" w:rsidRDefault="00954CB3" w:rsidP="00302BA2">
      <w:pPr>
        <w:pStyle w:val="Texte1"/>
      </w:pPr>
      <w:r w:rsidRPr="00302BA2">
        <w:t xml:space="preserve">Déposer une marque commerciale ou une </w:t>
      </w:r>
      <w:r w:rsidR="005E431A" w:rsidRPr="00302BA2">
        <w:t>indication</w:t>
      </w:r>
      <w:r w:rsidRPr="00302BA2">
        <w:t xml:space="preserve"> géographique avec le nom traditionnel du fromage peut aider à différencier le marché et permettre ainsi aux artisans de </w:t>
      </w:r>
      <w:r w:rsidR="005E431A" w:rsidRPr="00302BA2">
        <w:t xml:space="preserve">vendre plus cher </w:t>
      </w:r>
      <w:r w:rsidRPr="00302BA2">
        <w:t xml:space="preserve">le fromage de fabrication traditionnelle, produit par un procédé plus complexe et plus long que les produits </w:t>
      </w:r>
      <w:r w:rsidR="00280384" w:rsidRPr="00302BA2">
        <w:t xml:space="preserve">fabriqués en </w:t>
      </w:r>
      <w:r w:rsidRPr="00302BA2">
        <w:t>usine</w:t>
      </w:r>
      <w:r w:rsidR="00EB44A3" w:rsidRPr="00302BA2">
        <w:t xml:space="preserve">. </w:t>
      </w:r>
      <w:r w:rsidR="00280384" w:rsidRPr="00302BA2">
        <w:t>Cela peut</w:t>
      </w:r>
      <w:r w:rsidR="00061C0D" w:rsidRPr="00302BA2">
        <w:t xml:space="preserve"> donc</w:t>
      </w:r>
      <w:r w:rsidR="00280384" w:rsidRPr="00302BA2">
        <w:t xml:space="preserve"> inciter les a</w:t>
      </w:r>
      <w:r w:rsidR="00EB44A3" w:rsidRPr="00302BA2">
        <w:t xml:space="preserve">rtisans </w:t>
      </w:r>
      <w:r w:rsidR="00280384" w:rsidRPr="00302BA2">
        <w:t>à continuer d’employer la méthode traditionnelle de fabrication du fromage</w:t>
      </w:r>
      <w:r w:rsidR="00EB44A3" w:rsidRPr="00302BA2">
        <w:t xml:space="preserve">. </w:t>
      </w:r>
      <w:r w:rsidR="00280384" w:rsidRPr="00302BA2">
        <w:t xml:space="preserve">Ils pourront choisir de faire </w:t>
      </w:r>
      <w:r w:rsidR="00061C0D" w:rsidRPr="00302BA2">
        <w:t xml:space="preserve">ou non </w:t>
      </w:r>
      <w:r w:rsidR="00280384" w:rsidRPr="00302BA2">
        <w:t xml:space="preserve">une distinction entre les produits fabriqués à l’aide de la méthode partiellement nouvelle et ceux </w:t>
      </w:r>
      <w:r w:rsidR="005E431A" w:rsidRPr="00302BA2">
        <w:t xml:space="preserve">fabriqués avec </w:t>
      </w:r>
      <w:r w:rsidR="00280384" w:rsidRPr="00302BA2">
        <w:t>l’ancienne méthode</w:t>
      </w:r>
      <w:r w:rsidR="00EB44A3" w:rsidRPr="00302BA2">
        <w:t>.</w:t>
      </w:r>
    </w:p>
    <w:p w:rsidR="00EB44A3" w:rsidRPr="006C2CB0" w:rsidRDefault="006B5B3A" w:rsidP="00302BA2">
      <w:pPr>
        <w:pStyle w:val="Soustitre"/>
        <w:ind w:left="0"/>
        <w:rPr>
          <w:snapToGrid/>
        </w:rPr>
      </w:pPr>
      <w:r w:rsidRPr="006C2CB0">
        <w:rPr>
          <w:snapToGrid/>
        </w:rPr>
        <w:t>L</w:t>
      </w:r>
      <w:r w:rsidR="00280384" w:rsidRPr="006C2CB0">
        <w:rPr>
          <w:snapToGrid/>
        </w:rPr>
        <w:t xml:space="preserve">a candidature de la tradition de fabrication du fromage </w:t>
      </w:r>
      <w:r w:rsidR="00AE245E" w:rsidRPr="006C2CB0">
        <w:rPr>
          <w:snapToGrid/>
        </w:rPr>
        <w:t>à</w:t>
      </w:r>
      <w:r w:rsidR="00172FB3" w:rsidRPr="006C2CB0">
        <w:rPr>
          <w:snapToGrid/>
        </w:rPr>
        <w:t xml:space="preserve"> la liste représentative de la </w:t>
      </w:r>
      <w:r w:rsidR="00EB44A3" w:rsidRPr="006C2CB0">
        <w:rPr>
          <w:snapToGrid/>
        </w:rPr>
        <w:t xml:space="preserve">Convention </w:t>
      </w:r>
      <w:r w:rsidR="00172FB3" w:rsidRPr="006C2CB0">
        <w:rPr>
          <w:snapToGrid/>
        </w:rPr>
        <w:t>peut-</w:t>
      </w:r>
      <w:r w:rsidR="00D42FEA" w:rsidRPr="006C2CB0">
        <w:rPr>
          <w:snapToGrid/>
        </w:rPr>
        <w:t>elle</w:t>
      </w:r>
      <w:r w:rsidR="00172FB3" w:rsidRPr="006C2CB0">
        <w:rPr>
          <w:snapToGrid/>
        </w:rPr>
        <w:t xml:space="preserve"> être soumise sans la participation de la communauté</w:t>
      </w:r>
      <w:r w:rsidR="00AE245E" w:rsidRPr="006C2CB0">
        <w:rPr>
          <w:snapToGrid/>
        </w:rPr>
        <w:t xml:space="preserve"> Fan</w:t>
      </w:r>
      <w:r w:rsidR="00EB44A3" w:rsidRPr="006C2CB0">
        <w:rPr>
          <w:snapToGrid/>
        </w:rPr>
        <w:t xml:space="preserve"> (</w:t>
      </w:r>
      <w:r w:rsidR="00172FB3" w:rsidRPr="006C2CB0">
        <w:rPr>
          <w:snapToGrid/>
        </w:rPr>
        <w:t xml:space="preserve">et </w:t>
      </w:r>
      <w:r w:rsidR="00D42FEA" w:rsidRPr="006C2CB0">
        <w:rPr>
          <w:snapToGrid/>
        </w:rPr>
        <w:t>du</w:t>
      </w:r>
      <w:r w:rsidR="00172FB3" w:rsidRPr="006C2CB0">
        <w:rPr>
          <w:snapToGrid/>
        </w:rPr>
        <w:t xml:space="preserve"> ministère compétent du pays</w:t>
      </w:r>
      <w:r w:rsidR="00EB44A3" w:rsidRPr="006C2CB0">
        <w:rPr>
          <w:snapToGrid/>
        </w:rPr>
        <w:t xml:space="preserve"> </w:t>
      </w:r>
      <w:r w:rsidR="00532A55" w:rsidRPr="006C2CB0">
        <w:rPr>
          <w:snapToGrid/>
        </w:rPr>
        <w:t>de Kassen</w:t>
      </w:r>
      <w:r w:rsidR="00EB44A3" w:rsidRPr="006C2CB0">
        <w:rPr>
          <w:snapToGrid/>
        </w:rPr>
        <w:t>)</w:t>
      </w:r>
      <w:r w:rsidR="00172FB3" w:rsidRPr="006C2CB0">
        <w:rPr>
          <w:snapToGrid/>
        </w:rPr>
        <w:t> </w:t>
      </w:r>
      <w:r w:rsidR="00EB44A3" w:rsidRPr="006C2CB0">
        <w:rPr>
          <w:snapToGrid/>
        </w:rPr>
        <w:t>?</w:t>
      </w:r>
    </w:p>
    <w:p w:rsidR="00EB44A3" w:rsidRPr="00302BA2" w:rsidRDefault="00172FB3" w:rsidP="00302BA2">
      <w:pPr>
        <w:pStyle w:val="Texte1"/>
        <w:rPr>
          <w:szCs w:val="20"/>
        </w:rPr>
      </w:pPr>
      <w:r w:rsidRPr="00302BA2">
        <w:t>Oui</w:t>
      </w:r>
      <w:r w:rsidR="00EB44A3" w:rsidRPr="00302BA2">
        <w:t xml:space="preserve">, </w:t>
      </w:r>
      <w:r w:rsidRPr="00302BA2">
        <w:t xml:space="preserve">bien que les candidatures </w:t>
      </w:r>
      <w:r w:rsidR="00EB44A3" w:rsidRPr="00302BA2">
        <w:t>multinational</w:t>
      </w:r>
      <w:r w:rsidRPr="00302BA2">
        <w:t>es soient encouragées</w:t>
      </w:r>
      <w:r w:rsidR="00EB44A3" w:rsidRPr="00A8299B">
        <w:rPr>
          <w:szCs w:val="20"/>
        </w:rPr>
        <w:t>.</w:t>
      </w:r>
    </w:p>
    <w:p w:rsidR="00EB44A3" w:rsidRPr="006C2CB0" w:rsidRDefault="0048346D" w:rsidP="00302BA2">
      <w:pPr>
        <w:pStyle w:val="Soustitre"/>
        <w:ind w:left="0"/>
        <w:rPr>
          <w:snapToGrid/>
        </w:rPr>
      </w:pPr>
      <w:r w:rsidRPr="006C2CB0">
        <w:rPr>
          <w:snapToGrid/>
        </w:rPr>
        <w:t>L</w:t>
      </w:r>
      <w:r w:rsidR="00172FB3" w:rsidRPr="006C2CB0">
        <w:rPr>
          <w:snapToGrid/>
        </w:rPr>
        <w:t xml:space="preserve">a méthode modifiée de fabrication du fromage traditionnel aurait-elle pu </w:t>
      </w:r>
      <w:r w:rsidR="00D42FEA" w:rsidRPr="006C2CB0">
        <w:rPr>
          <w:snapToGrid/>
        </w:rPr>
        <w:t>figurer</w:t>
      </w:r>
      <w:r w:rsidR="00172FB3" w:rsidRPr="006C2CB0">
        <w:rPr>
          <w:snapToGrid/>
        </w:rPr>
        <w:t xml:space="preserve"> dans la des</w:t>
      </w:r>
      <w:r w:rsidR="00D42FEA" w:rsidRPr="006C2CB0">
        <w:rPr>
          <w:snapToGrid/>
        </w:rPr>
        <w:t>c</w:t>
      </w:r>
      <w:r w:rsidR="00172FB3" w:rsidRPr="006C2CB0">
        <w:rPr>
          <w:snapToGrid/>
        </w:rPr>
        <w:t>ription de l’élément dans le dossier de candidature </w:t>
      </w:r>
      <w:r w:rsidR="00302BA2" w:rsidRPr="006C2CB0">
        <w:rPr>
          <w:snapToGrid/>
        </w:rPr>
        <w:t>?</w:t>
      </w:r>
    </w:p>
    <w:p w:rsidR="00EB44A3" w:rsidRPr="00302BA2" w:rsidRDefault="00010900" w:rsidP="00302BA2">
      <w:pPr>
        <w:pStyle w:val="Texte1"/>
      </w:pPr>
      <w:r w:rsidRPr="00302BA2">
        <w:t xml:space="preserve">Oui, si la communauté approuvant le dossier de candidature l’avait jugée en accord avec la </w:t>
      </w:r>
      <w:r w:rsidR="00EB44A3" w:rsidRPr="00302BA2">
        <w:t>tradition</w:t>
      </w:r>
      <w:r w:rsidRPr="00302BA2">
        <w:t xml:space="preserve"> et si elle l</w:t>
      </w:r>
      <w:r w:rsidR="0048346D" w:rsidRPr="00302BA2">
        <w:t xml:space="preserve">a considère </w:t>
      </w:r>
      <w:r w:rsidRPr="00302BA2">
        <w:t xml:space="preserve">elle aussi </w:t>
      </w:r>
      <w:r w:rsidR="0048346D" w:rsidRPr="00302BA2">
        <w:t xml:space="preserve">comme faisant partie </w:t>
      </w:r>
      <w:r w:rsidRPr="00302BA2">
        <w:t>de la méthode traditionnelle</w:t>
      </w:r>
      <w:r w:rsidR="00EB44A3" w:rsidRPr="00302BA2">
        <w:t>.</w:t>
      </w:r>
    </w:p>
    <w:p w:rsidR="00EB44A3" w:rsidRPr="006C2CB0" w:rsidRDefault="006B5B3A" w:rsidP="00302BA2">
      <w:pPr>
        <w:pStyle w:val="Soustitre"/>
        <w:ind w:left="0"/>
        <w:rPr>
          <w:snapToGrid/>
        </w:rPr>
      </w:pPr>
      <w:r w:rsidRPr="006C2CB0">
        <w:rPr>
          <w:snapToGrid/>
        </w:rPr>
        <w:t>S</w:t>
      </w:r>
      <w:r w:rsidR="006B7639" w:rsidRPr="006C2CB0">
        <w:rPr>
          <w:snapToGrid/>
        </w:rPr>
        <w:t xml:space="preserve">i elle avait été incluse, quels facteurs le comité prendrait-il en compte pour évaluer la conformité de l’élément aux critères d’inscription sur la liste représentative de la </w:t>
      </w:r>
      <w:r w:rsidR="00EB44A3" w:rsidRPr="006C2CB0">
        <w:rPr>
          <w:snapToGrid/>
        </w:rPr>
        <w:t>Convention</w:t>
      </w:r>
      <w:r w:rsidR="006B7639" w:rsidRPr="006C2CB0">
        <w:rPr>
          <w:snapToGrid/>
        </w:rPr>
        <w:t> </w:t>
      </w:r>
      <w:r w:rsidR="00EB44A3" w:rsidRPr="006C2CB0">
        <w:rPr>
          <w:snapToGrid/>
        </w:rPr>
        <w:t>?</w:t>
      </w:r>
    </w:p>
    <w:p w:rsidR="00EB44A3" w:rsidRPr="00302BA2" w:rsidRDefault="00202770" w:rsidP="00302BA2">
      <w:pPr>
        <w:pStyle w:val="Texte1"/>
      </w:pPr>
      <w:r w:rsidRPr="00302BA2">
        <w:t xml:space="preserve">La conformité de l’élément aux critères d’inscription </w:t>
      </w:r>
      <w:r w:rsidR="004B6E8E" w:rsidRPr="00302BA2">
        <w:t>dépend en partie d</w:t>
      </w:r>
      <w:r w:rsidR="000F5A20" w:rsidRPr="00302BA2">
        <w:t>e sa reconnaissance en tant qu’</w:t>
      </w:r>
      <w:r w:rsidR="004B6E8E" w:rsidRPr="00302BA2">
        <w:t>élément du PCI, transmis de génération en génération</w:t>
      </w:r>
      <w:r w:rsidR="00EB44A3" w:rsidRPr="00302BA2">
        <w:t xml:space="preserve">. </w:t>
      </w:r>
      <w:r w:rsidR="002769C2" w:rsidRPr="00302BA2">
        <w:t>Si la méthode traditionnelle de fabrication du fromage a clairement été transmise au fil des générations</w:t>
      </w:r>
      <w:r w:rsidR="00EB44A3" w:rsidRPr="00302BA2">
        <w:t xml:space="preserve">, </w:t>
      </w:r>
      <w:r w:rsidR="002769C2" w:rsidRPr="00302BA2">
        <w:t>elle n’a pas été statique</w:t>
      </w:r>
      <w:r w:rsidR="00EB44A3" w:rsidRPr="00302BA2">
        <w:t xml:space="preserve">. </w:t>
      </w:r>
      <w:r w:rsidR="002769C2" w:rsidRPr="00302BA2">
        <w:t>Elle a évolué dans le temps</w:t>
      </w:r>
      <w:r w:rsidR="000F5A20" w:rsidRPr="00302BA2">
        <w:t>,</w:t>
      </w:r>
      <w:r w:rsidR="002769C2" w:rsidRPr="00302BA2">
        <w:t xml:space="preserve"> en réaction aux nouvelles conditions d</w:t>
      </w:r>
      <w:r w:rsidR="00563D2A" w:rsidRPr="00302BA2">
        <w:t>u milieu</w:t>
      </w:r>
      <w:r w:rsidR="002769C2" w:rsidRPr="00302BA2">
        <w:t xml:space="preserve">, comme l’autorise la définition du PCI dans la </w:t>
      </w:r>
      <w:r w:rsidR="00EB44A3" w:rsidRPr="00302BA2">
        <w:t>Convention</w:t>
      </w:r>
      <w:r w:rsidR="002769C2" w:rsidRPr="00302BA2">
        <w:t xml:space="preserve"> (a</w:t>
      </w:r>
      <w:r w:rsidR="00EB44A3" w:rsidRPr="00302BA2">
        <w:t xml:space="preserve">rticle 2.1). </w:t>
      </w:r>
    </w:p>
    <w:p w:rsidR="00EB44A3" w:rsidRPr="00302BA2" w:rsidRDefault="002C07F1" w:rsidP="00302BA2">
      <w:pPr>
        <w:pStyle w:val="Texte1"/>
      </w:pPr>
      <w:r w:rsidRPr="00302BA2">
        <w:t xml:space="preserve">L’Organe d’évaluation et le Comité peuvent considérer que la nouvelle méthode de fabrication du fromage fait partie de la tradition qui a évolué </w:t>
      </w:r>
      <w:r w:rsidR="00563D2A" w:rsidRPr="00302BA2">
        <w:t>en fonction des</w:t>
      </w:r>
      <w:r w:rsidRPr="00302BA2">
        <w:t xml:space="preserve"> nouvelles conditions d</w:t>
      </w:r>
      <w:r w:rsidR="00563D2A" w:rsidRPr="00302BA2">
        <w:t>u milieu</w:t>
      </w:r>
      <w:r w:rsidR="00EB44A3" w:rsidRPr="00302BA2">
        <w:t xml:space="preserve">. </w:t>
      </w:r>
      <w:r w:rsidRPr="00302BA2">
        <w:t xml:space="preserve">Leur décision dépendra de facteurs tels que </w:t>
      </w:r>
      <w:r w:rsidR="00625A8D" w:rsidRPr="00302BA2">
        <w:t>le fait que la communauté ayant consenti</w:t>
      </w:r>
      <w:r w:rsidR="001432AF" w:rsidRPr="00302BA2">
        <w:t xml:space="preserve"> à la candidature du PCI décrit dans le dossier estime que </w:t>
      </w:r>
      <w:r w:rsidR="00625A8D" w:rsidRPr="00302BA2">
        <w:t>la méthode fa</w:t>
      </w:r>
      <w:r w:rsidR="005275B9" w:rsidRPr="00302BA2">
        <w:t>sse</w:t>
      </w:r>
      <w:r w:rsidR="00625A8D" w:rsidRPr="00302BA2">
        <w:t xml:space="preserve"> bien partie de la tradition,</w:t>
      </w:r>
      <w:r w:rsidR="001432AF" w:rsidRPr="00302BA2">
        <w:t xml:space="preserve"> le fait qu’elle utilise elle-même la nouvelle méthode et peut-être aussi les liens symboliques et concrets entre la nouvelle méthode et d’autres aspects de la méthode traditionnelle, tels qu’ils sont compris </w:t>
      </w:r>
      <w:r w:rsidR="00625A8D" w:rsidRPr="00302BA2">
        <w:t xml:space="preserve">par </w:t>
      </w:r>
      <w:r w:rsidR="001432AF" w:rsidRPr="00302BA2">
        <w:t>la(les) communauté(s) concernée(s).</w:t>
      </w:r>
      <w:r w:rsidR="00EB44A3" w:rsidRPr="00302BA2">
        <w:t xml:space="preserve"> </w:t>
      </w:r>
    </w:p>
    <w:p w:rsidR="00EB44A3" w:rsidRPr="006C2CB0" w:rsidRDefault="00202770" w:rsidP="00302BA2">
      <w:pPr>
        <w:pStyle w:val="Soustitre"/>
        <w:ind w:left="0"/>
        <w:rPr>
          <w:snapToGrid/>
        </w:rPr>
      </w:pPr>
      <w:r w:rsidRPr="006C2CB0">
        <w:rPr>
          <w:snapToGrid/>
        </w:rPr>
        <w:lastRenderedPageBreak/>
        <w:t>L’inscription d’un élément du PCI sur les listes de la convention confère-t-ele un brevet ?</w:t>
      </w:r>
    </w:p>
    <w:p w:rsidR="00EB44A3" w:rsidRPr="00302BA2" w:rsidRDefault="00EB44A3" w:rsidP="00302BA2">
      <w:pPr>
        <w:pStyle w:val="Texte1"/>
      </w:pPr>
      <w:r w:rsidRPr="00A8299B">
        <w:t>No</w:t>
      </w:r>
      <w:r w:rsidR="00202770" w:rsidRPr="00302BA2">
        <w:t>n</w:t>
      </w:r>
      <w:r w:rsidR="00C540BD" w:rsidRPr="00302BA2">
        <w:t>, elle n’en confère pas.</w:t>
      </w:r>
    </w:p>
    <w:p w:rsidR="00EB44A3" w:rsidRPr="006C2CB0" w:rsidRDefault="00C540BD" w:rsidP="00302BA2">
      <w:pPr>
        <w:pStyle w:val="Soustitre"/>
        <w:ind w:left="0"/>
        <w:rPr>
          <w:snapToGrid/>
        </w:rPr>
      </w:pPr>
      <w:r w:rsidRPr="006C2CB0">
        <w:rPr>
          <w:snapToGrid/>
        </w:rPr>
        <w:t>Quels</w:t>
      </w:r>
      <w:r w:rsidR="00202770" w:rsidRPr="006C2CB0">
        <w:rPr>
          <w:snapToGrid/>
        </w:rPr>
        <w:t xml:space="preserve"> droits de </w:t>
      </w:r>
      <w:r w:rsidRPr="006C2CB0">
        <w:rPr>
          <w:snapToGrid/>
        </w:rPr>
        <w:t>protection intellectuelle</w:t>
      </w:r>
      <w:r w:rsidR="00202770" w:rsidRPr="006C2CB0">
        <w:rPr>
          <w:snapToGrid/>
        </w:rPr>
        <w:t xml:space="preserve"> l’</w:t>
      </w:r>
      <w:r w:rsidR="00EB44A3" w:rsidRPr="006C2CB0">
        <w:rPr>
          <w:snapToGrid/>
        </w:rPr>
        <w:t xml:space="preserve">inscription </w:t>
      </w:r>
      <w:r w:rsidR="00202770" w:rsidRPr="006C2CB0">
        <w:rPr>
          <w:snapToGrid/>
        </w:rPr>
        <w:t xml:space="preserve">sur les listes de la </w:t>
      </w:r>
      <w:r w:rsidR="00EB44A3" w:rsidRPr="006C2CB0">
        <w:rPr>
          <w:snapToGrid/>
        </w:rPr>
        <w:t>Convention conf</w:t>
      </w:r>
      <w:r w:rsidR="00202770" w:rsidRPr="006C2CB0">
        <w:rPr>
          <w:snapToGrid/>
        </w:rPr>
        <w:t>ère-t-elle </w:t>
      </w:r>
      <w:r w:rsidR="00EB44A3" w:rsidRPr="006C2CB0">
        <w:rPr>
          <w:snapToGrid/>
        </w:rPr>
        <w:t>?</w:t>
      </w:r>
    </w:p>
    <w:p w:rsidR="00EB44A3" w:rsidRPr="00302BA2" w:rsidRDefault="00202770" w:rsidP="00302BA2">
      <w:pPr>
        <w:pStyle w:val="Texte1"/>
      </w:pPr>
      <w:r w:rsidRPr="00302BA2">
        <w:t>Aucun</w:t>
      </w:r>
      <w:r w:rsidR="00EB44A3" w:rsidRPr="00302BA2">
        <w:t xml:space="preserve">, </w:t>
      </w:r>
      <w:r w:rsidRPr="00302BA2">
        <w:t>voir l’a</w:t>
      </w:r>
      <w:r w:rsidR="00EB44A3" w:rsidRPr="00302BA2">
        <w:t xml:space="preserve">rticle 3(b) </w:t>
      </w:r>
      <w:r w:rsidRPr="00302BA2">
        <w:t>de la</w:t>
      </w:r>
      <w:r w:rsidR="00EB44A3" w:rsidRPr="00302BA2">
        <w:t xml:space="preserve"> Convention.</w:t>
      </w:r>
    </w:p>
    <w:p w:rsidR="00EB44A3" w:rsidRPr="00302BA2" w:rsidRDefault="001432AF" w:rsidP="00302BA2">
      <w:pPr>
        <w:pStyle w:val="Heading3"/>
        <w:rPr>
          <w:sz w:val="20"/>
          <w:szCs w:val="20"/>
        </w:rPr>
      </w:pPr>
      <w:r w:rsidRPr="00302BA2">
        <w:rPr>
          <w:sz w:val="20"/>
          <w:szCs w:val="20"/>
        </w:rPr>
        <w:t>Pour plus d’informations</w:t>
      </w:r>
      <w:r w:rsidR="00EB44A3" w:rsidRPr="00302BA2">
        <w:rPr>
          <w:sz w:val="20"/>
          <w:szCs w:val="20"/>
        </w:rPr>
        <w:t>:</w:t>
      </w:r>
    </w:p>
    <w:p w:rsidR="00EB44A3" w:rsidRPr="00302BA2" w:rsidRDefault="002C07F1" w:rsidP="00302BA2">
      <w:pPr>
        <w:pStyle w:val="ListParagraph"/>
        <w:numPr>
          <w:ilvl w:val="0"/>
          <w:numId w:val="5"/>
        </w:numPr>
        <w:spacing w:line="276" w:lineRule="auto"/>
        <w:jc w:val="left"/>
        <w:rPr>
          <w:sz w:val="20"/>
          <w:szCs w:val="20"/>
          <w:lang w:val="fr-FR"/>
        </w:rPr>
      </w:pPr>
      <w:r w:rsidRPr="00302BA2">
        <w:rPr>
          <w:sz w:val="20"/>
          <w:szCs w:val="20"/>
          <w:lang w:val="fr-FR"/>
        </w:rPr>
        <w:t xml:space="preserve">On peut </w:t>
      </w:r>
      <w:r w:rsidR="00074A8F">
        <w:rPr>
          <w:sz w:val="20"/>
          <w:szCs w:val="20"/>
          <w:lang w:val="fr-FR"/>
        </w:rPr>
        <w:t>re</w:t>
      </w:r>
      <w:r w:rsidRPr="00302BA2">
        <w:rPr>
          <w:sz w:val="20"/>
          <w:szCs w:val="20"/>
          <w:lang w:val="fr-FR"/>
        </w:rPr>
        <w:t xml:space="preserve">trouver des informations générales sur la </w:t>
      </w:r>
      <w:r w:rsidR="00074A8F">
        <w:rPr>
          <w:sz w:val="20"/>
          <w:szCs w:val="20"/>
          <w:lang w:val="fr-FR"/>
        </w:rPr>
        <w:t>propriété intellectuelle</w:t>
      </w:r>
      <w:r w:rsidRPr="00302BA2">
        <w:rPr>
          <w:sz w:val="20"/>
          <w:szCs w:val="20"/>
          <w:lang w:val="fr-FR"/>
        </w:rPr>
        <w:t xml:space="preserve"> dans le manuel de l’OMPI sur la propriété intellectuelle </w:t>
      </w:r>
      <w:r w:rsidR="00EB44A3" w:rsidRPr="00302BA2">
        <w:rPr>
          <w:sz w:val="20"/>
          <w:szCs w:val="20"/>
          <w:lang w:val="fr-FR"/>
        </w:rPr>
        <w:t xml:space="preserve">: </w:t>
      </w:r>
      <w:hyperlink r:id="rId11" w:history="1">
        <w:r w:rsidR="00EB44A3" w:rsidRPr="00302BA2">
          <w:rPr>
            <w:rStyle w:val="Hyperlink"/>
            <w:sz w:val="20"/>
            <w:szCs w:val="20"/>
            <w:lang w:val="fr-FR"/>
          </w:rPr>
          <w:t>http://www.wipo.int/edocs/pubdocs/en/intproperty/489/wipo_pub_489.pdf</w:t>
        </w:r>
      </w:hyperlink>
    </w:p>
    <w:p w:rsidR="00FF69DB" w:rsidRPr="00B55E9B" w:rsidRDefault="001D421A" w:rsidP="00302BA2">
      <w:pPr>
        <w:pStyle w:val="ListParagraph"/>
        <w:numPr>
          <w:ilvl w:val="0"/>
          <w:numId w:val="5"/>
        </w:numPr>
        <w:spacing w:line="276" w:lineRule="auto"/>
        <w:jc w:val="left"/>
        <w:rPr>
          <w:lang w:val="fr-FR"/>
        </w:rPr>
      </w:pPr>
      <w:r w:rsidRPr="00302BA2">
        <w:rPr>
          <w:snapToGrid/>
          <w:sz w:val="20"/>
          <w:lang w:val="fr-FR"/>
        </w:rPr>
        <w:t xml:space="preserve">Les facilitateurs </w:t>
      </w:r>
      <w:r w:rsidR="006B74CB" w:rsidRPr="00302BA2">
        <w:rPr>
          <w:snapToGrid/>
          <w:sz w:val="20"/>
          <w:lang w:val="fr-FR"/>
        </w:rPr>
        <w:t xml:space="preserve">pourront mettre à </w:t>
      </w:r>
      <w:r w:rsidR="002A46E1" w:rsidRPr="00302BA2">
        <w:rPr>
          <w:snapToGrid/>
          <w:sz w:val="20"/>
          <w:lang w:val="fr-FR"/>
        </w:rPr>
        <w:t>profit</w:t>
      </w:r>
      <w:r w:rsidR="006B74CB" w:rsidRPr="00302BA2">
        <w:rPr>
          <w:snapToGrid/>
          <w:sz w:val="20"/>
          <w:lang w:val="fr-FR"/>
        </w:rPr>
        <w:t xml:space="preserve"> le</w:t>
      </w:r>
      <w:r w:rsidRPr="00302BA2">
        <w:rPr>
          <w:snapToGrid/>
          <w:sz w:val="20"/>
          <w:lang w:val="fr-FR"/>
        </w:rPr>
        <w:t xml:space="preserve"> texte suivant </w:t>
      </w:r>
      <w:r w:rsidR="00EB44A3" w:rsidRPr="00302BA2">
        <w:rPr>
          <w:snapToGrid/>
          <w:sz w:val="20"/>
          <w:lang w:val="fr-FR"/>
        </w:rPr>
        <w:t xml:space="preserve">: </w:t>
      </w:r>
      <w:r w:rsidRPr="00302BA2">
        <w:rPr>
          <w:snapToGrid/>
          <w:sz w:val="20"/>
          <w:lang w:val="fr-FR"/>
        </w:rPr>
        <w:t>OMPI</w:t>
      </w:r>
      <w:r w:rsidR="00EB44A3" w:rsidRPr="00302BA2">
        <w:rPr>
          <w:snapToGrid/>
          <w:sz w:val="20"/>
          <w:lang w:val="fr-FR"/>
        </w:rPr>
        <w:t xml:space="preserve">, </w:t>
      </w:r>
      <w:r w:rsidRPr="00302BA2">
        <w:rPr>
          <w:snapToGrid/>
          <w:sz w:val="20"/>
          <w:lang w:val="fr-FR"/>
        </w:rPr>
        <w:t>Propriété i</w:t>
      </w:r>
      <w:r w:rsidR="00EB44A3" w:rsidRPr="00302BA2">
        <w:rPr>
          <w:snapToGrid/>
          <w:sz w:val="20"/>
          <w:lang w:val="fr-FR"/>
        </w:rPr>
        <w:t>ntellectu</w:t>
      </w:r>
      <w:r w:rsidRPr="00302BA2">
        <w:rPr>
          <w:snapToGrid/>
          <w:sz w:val="20"/>
          <w:lang w:val="fr-FR"/>
        </w:rPr>
        <w:t>elle relative aux ressources génét</w:t>
      </w:r>
      <w:r w:rsidR="00B55E9B" w:rsidRPr="00302BA2">
        <w:rPr>
          <w:snapToGrid/>
          <w:sz w:val="20"/>
          <w:lang w:val="fr-FR"/>
        </w:rPr>
        <w:t>iques, aux savoirs traditionnel</w:t>
      </w:r>
      <w:r w:rsidRPr="00302BA2">
        <w:rPr>
          <w:snapToGrid/>
          <w:sz w:val="20"/>
          <w:lang w:val="fr-FR"/>
        </w:rPr>
        <w:t>s et aux expressions culturelles traditionnelles</w:t>
      </w:r>
      <w:r w:rsidR="00EB44A3" w:rsidRPr="00302BA2">
        <w:rPr>
          <w:snapToGrid/>
          <w:sz w:val="20"/>
          <w:lang w:val="fr-FR"/>
        </w:rPr>
        <w:t xml:space="preserve"> (</w:t>
      </w:r>
      <w:r w:rsidRPr="00302BA2">
        <w:rPr>
          <w:snapToGrid/>
          <w:sz w:val="20"/>
          <w:lang w:val="fr-FR"/>
        </w:rPr>
        <w:t>également disponible en anglais, arabe, chinois, espagnol, français et russe</w:t>
      </w:r>
      <w:r w:rsidR="00EB44A3" w:rsidRPr="00302BA2">
        <w:rPr>
          <w:snapToGrid/>
          <w:sz w:val="20"/>
          <w:lang w:val="fr-FR"/>
        </w:rPr>
        <w:t>)</w:t>
      </w:r>
      <w:r w:rsidRPr="00302BA2">
        <w:rPr>
          <w:snapToGrid/>
          <w:sz w:val="20"/>
          <w:lang w:val="fr-FR"/>
        </w:rPr>
        <w:t> </w:t>
      </w:r>
      <w:r w:rsidR="00EB44A3" w:rsidRPr="00302BA2">
        <w:rPr>
          <w:snapToGrid/>
          <w:sz w:val="20"/>
          <w:lang w:val="fr-FR"/>
        </w:rPr>
        <w:t>:</w:t>
      </w:r>
      <w:r w:rsidR="00EB44A3" w:rsidRPr="00302BA2">
        <w:rPr>
          <w:sz w:val="20"/>
          <w:szCs w:val="20"/>
          <w:lang w:val="fr-FR"/>
        </w:rPr>
        <w:t xml:space="preserve"> </w:t>
      </w:r>
      <w:hyperlink r:id="rId12" w:history="1">
        <w:r w:rsidR="002A46E1" w:rsidRPr="00302BA2">
          <w:rPr>
            <w:rStyle w:val="Hyperlink"/>
            <w:sz w:val="20"/>
            <w:szCs w:val="20"/>
            <w:lang w:val="fr-FR"/>
          </w:rPr>
          <w:t>http://www.wipo.int/edocs/pubdocs/fr/tk/933/wipo_pub_933.pdf</w:t>
        </w:r>
      </w:hyperlink>
    </w:p>
    <w:sectPr w:rsidR="00FF69DB" w:rsidRPr="00B55E9B" w:rsidSect="00302BA2">
      <w:headerReference w:type="even" r:id="rId13"/>
      <w:headerReference w:type="default" r:id="rId14"/>
      <w:footerReference w:type="even" r:id="rId15"/>
      <w:footerReference w:type="default" r:id="rId16"/>
      <w:headerReference w:type="first" r:id="rId17"/>
      <w:footerReference w:type="first" r:id="rId18"/>
      <w:pgSz w:w="11907" w:h="16839" w:code="9"/>
      <w:pgMar w:top="1440" w:right="1134"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29" w:rsidRDefault="00516029" w:rsidP="00516029">
      <w:pPr>
        <w:spacing w:before="0" w:after="0"/>
      </w:pPr>
      <w:r>
        <w:separator/>
      </w:r>
    </w:p>
  </w:endnote>
  <w:endnote w:type="continuationSeparator" w:id="0">
    <w:p w:rsidR="00516029" w:rsidRDefault="00516029" w:rsidP="005160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41" w:rsidRPr="00302BA2" w:rsidRDefault="002A707D" w:rsidP="00A8299B">
    <w:pPr>
      <w:pStyle w:val="Footer"/>
      <w:tabs>
        <w:tab w:val="clear" w:pos="9072"/>
        <w:tab w:val="right" w:pos="8080"/>
      </w:tabs>
      <w:ind w:right="893"/>
      <w:rPr>
        <w:lang w:val="fr-FR"/>
      </w:rPr>
    </w:pPr>
    <w:r>
      <w:rPr>
        <w:noProof/>
        <w:lang w:val="fr-FR" w:eastAsia="ja-JP"/>
      </w:rPr>
      <w:drawing>
        <wp:anchor distT="0" distB="0" distL="114300" distR="114300" simplePos="0" relativeHeight="251677696" behindDoc="0" locked="0" layoutInCell="1" allowOverlap="1" wp14:anchorId="2B5F2F20" wp14:editId="7D9FA2CE">
          <wp:simplePos x="0" y="0"/>
          <wp:positionH relativeFrom="column">
            <wp:posOffset>2152650</wp:posOffset>
          </wp:positionH>
          <wp:positionV relativeFrom="paragraph">
            <wp:posOffset>-59055</wp:posOffset>
          </wp:positionV>
          <wp:extent cx="542290" cy="1892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02BA2" w:rsidRPr="003606D4">
      <w:rPr>
        <w:noProof/>
        <w:sz w:val="16"/>
        <w:szCs w:val="18"/>
        <w:lang w:val="fr-FR" w:eastAsia="ja-JP"/>
      </w:rPr>
      <w:drawing>
        <wp:anchor distT="0" distB="0" distL="114300" distR="114300" simplePos="0" relativeHeight="251665408" behindDoc="1" locked="1" layoutInCell="1" allowOverlap="0" wp14:anchorId="327DA45C" wp14:editId="19173BD6">
          <wp:simplePos x="0" y="0"/>
          <wp:positionH relativeFrom="column">
            <wp:posOffset>-118745</wp:posOffset>
          </wp:positionH>
          <wp:positionV relativeFrom="margin">
            <wp:posOffset>9025255</wp:posOffset>
          </wp:positionV>
          <wp:extent cx="833755" cy="599440"/>
          <wp:effectExtent l="0" t="0" r="4445" b="0"/>
          <wp:wrapThrough wrapText="bothSides">
            <wp:wrapPolygon edited="0">
              <wp:start x="0" y="0"/>
              <wp:lineTo x="0" y="20593"/>
              <wp:lineTo x="21222" y="20593"/>
              <wp:lineTo x="21222" y="0"/>
              <wp:lineTo x="0" y="0"/>
            </wp:wrapPolygon>
          </wp:wrapThrough>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75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D41" w:rsidRPr="002660D7">
      <w:rPr>
        <w:sz w:val="16"/>
        <w:szCs w:val="18"/>
        <w:lang w:val="fr-FR"/>
      </w:rPr>
      <w:tab/>
    </w:r>
    <w:r w:rsidR="00CA3D41" w:rsidRPr="002660D7">
      <w:rPr>
        <w:sz w:val="16"/>
        <w:szCs w:val="18"/>
        <w:lang w:val="fr-FR"/>
      </w:rPr>
      <w:tab/>
    </w:r>
    <w:r w:rsidR="00A8299B">
      <w:rPr>
        <w:sz w:val="16"/>
        <w:szCs w:val="18"/>
        <w:lang w:val="fr-FR"/>
      </w:rPr>
      <w:t>U055</w:t>
    </w:r>
    <w:r w:rsidR="00A8299B" w:rsidRPr="002660D7">
      <w:rPr>
        <w:sz w:val="16"/>
        <w:szCs w:val="18"/>
        <w:lang w:val="fr-FR"/>
      </w:rPr>
      <w:t>-v1.0-</w:t>
    </w:r>
    <w:r w:rsidR="00A8299B">
      <w:rPr>
        <w:sz w:val="16"/>
        <w:szCs w:val="18"/>
        <w:lang w:val="fr-FR"/>
      </w:rPr>
      <w:t>FN5-</w:t>
    </w:r>
    <w:r w:rsidR="00A8299B" w:rsidRPr="002660D7">
      <w:rPr>
        <w:sz w:val="16"/>
        <w:szCs w:val="18"/>
        <w:lang w:val="fr-FR"/>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12" w:rsidRPr="00302BA2" w:rsidRDefault="002A707D" w:rsidP="00302BA2">
    <w:pPr>
      <w:keepNext/>
      <w:tabs>
        <w:tab w:val="left" w:pos="2453"/>
        <w:tab w:val="center" w:pos="4423"/>
        <w:tab w:val="right" w:pos="8845"/>
      </w:tabs>
      <w:spacing w:after="0" w:line="280" w:lineRule="exact"/>
      <w:rPr>
        <w:sz w:val="20"/>
        <w:szCs w:val="18"/>
        <w:lang w:val="fr-FR"/>
      </w:rPr>
    </w:pPr>
    <w:r>
      <w:rPr>
        <w:noProof/>
        <w:lang w:val="fr-FR" w:eastAsia="ja-JP"/>
      </w:rPr>
      <w:drawing>
        <wp:anchor distT="0" distB="0" distL="114300" distR="114300" simplePos="0" relativeHeight="251679744" behindDoc="0" locked="0" layoutInCell="1" allowOverlap="1" wp14:anchorId="11358E61" wp14:editId="4EA3D530">
          <wp:simplePos x="0" y="0"/>
          <wp:positionH relativeFrom="column">
            <wp:posOffset>2457450</wp:posOffset>
          </wp:positionH>
          <wp:positionV relativeFrom="paragraph">
            <wp:posOffset>87630</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DC3012">
      <w:rPr>
        <w:sz w:val="16"/>
        <w:szCs w:val="18"/>
        <w:lang w:val="fr-FR"/>
      </w:rPr>
      <w:t>U055</w:t>
    </w:r>
    <w:r w:rsidR="00DC3012" w:rsidRPr="00302BA2">
      <w:rPr>
        <w:sz w:val="16"/>
        <w:szCs w:val="18"/>
        <w:lang w:val="fr-FR"/>
      </w:rPr>
      <w:t>-v1.0-</w:t>
    </w:r>
    <w:r w:rsidR="00DC3012">
      <w:rPr>
        <w:sz w:val="16"/>
        <w:szCs w:val="18"/>
        <w:lang w:val="fr-FR"/>
      </w:rPr>
      <w:t>FN5-</w:t>
    </w:r>
    <w:r w:rsidR="00DC3012" w:rsidRPr="00302BA2">
      <w:rPr>
        <w:sz w:val="16"/>
        <w:szCs w:val="18"/>
        <w:lang w:val="fr-FR"/>
      </w:rPr>
      <w:t>FR</w:t>
    </w:r>
    <w:r w:rsidR="00DC3012" w:rsidRPr="00302BA2">
      <w:rPr>
        <w:sz w:val="16"/>
        <w:szCs w:val="18"/>
        <w:lang w:val="fr-FR"/>
      </w:rPr>
      <w:tab/>
    </w:r>
    <w:r w:rsidR="00060E45">
      <w:rPr>
        <w:sz w:val="16"/>
        <w:szCs w:val="18"/>
        <w:lang w:val="fr-FR"/>
      </w:rPr>
      <w:tab/>
    </w:r>
    <w:r w:rsidR="00DC3012" w:rsidRPr="00302BA2">
      <w:rPr>
        <w:sz w:val="16"/>
        <w:szCs w:val="18"/>
        <w:lang w:val="fr-FR"/>
      </w:rPr>
      <w:tab/>
    </w:r>
    <w:r w:rsidR="00302BA2" w:rsidRPr="003606D4">
      <w:rPr>
        <w:noProof/>
        <w:sz w:val="16"/>
        <w:szCs w:val="18"/>
        <w:lang w:val="fr-FR" w:eastAsia="ja-JP"/>
      </w:rPr>
      <w:drawing>
        <wp:anchor distT="0" distB="0" distL="114300" distR="114300" simplePos="0" relativeHeight="251667456" behindDoc="1" locked="1" layoutInCell="1" allowOverlap="0" wp14:anchorId="72F48E37" wp14:editId="2B00D0AA">
          <wp:simplePos x="0" y="0"/>
          <wp:positionH relativeFrom="column">
            <wp:posOffset>4803775</wp:posOffset>
          </wp:positionH>
          <wp:positionV relativeFrom="margin">
            <wp:posOffset>8914130</wp:posOffset>
          </wp:positionV>
          <wp:extent cx="833755" cy="599440"/>
          <wp:effectExtent l="0" t="0" r="4445" b="0"/>
          <wp:wrapThrough wrapText="bothSides">
            <wp:wrapPolygon edited="0">
              <wp:start x="0" y="0"/>
              <wp:lineTo x="0" y="20593"/>
              <wp:lineTo x="21222" y="20593"/>
              <wp:lineTo x="21222"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755" cy="599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41" w:rsidRPr="00302BA2" w:rsidRDefault="002A707D">
    <w:pPr>
      <w:pStyle w:val="Footer"/>
      <w:rPr>
        <w:lang w:val="fr-FR"/>
      </w:rPr>
    </w:pPr>
    <w:r>
      <w:rPr>
        <w:noProof/>
        <w:lang w:val="fr-FR" w:eastAsia="ja-JP"/>
      </w:rPr>
      <w:drawing>
        <wp:anchor distT="0" distB="0" distL="114300" distR="114300" simplePos="0" relativeHeight="251675648" behindDoc="0" locked="0" layoutInCell="1" allowOverlap="1" wp14:anchorId="4030C87D" wp14:editId="2A88408C">
          <wp:simplePos x="0" y="0"/>
          <wp:positionH relativeFrom="column">
            <wp:posOffset>2847975</wp:posOffset>
          </wp:positionH>
          <wp:positionV relativeFrom="paragraph">
            <wp:posOffset>-40005</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A3D41">
      <w:rPr>
        <w:sz w:val="16"/>
        <w:szCs w:val="18"/>
        <w:lang w:val="fr-FR"/>
      </w:rPr>
      <w:t>U055</w:t>
    </w:r>
    <w:r w:rsidR="00CA3D41" w:rsidRPr="002660D7">
      <w:rPr>
        <w:sz w:val="16"/>
        <w:szCs w:val="18"/>
        <w:lang w:val="fr-FR"/>
      </w:rPr>
      <w:t>-v1.0-</w:t>
    </w:r>
    <w:r w:rsidR="00CA3D41">
      <w:rPr>
        <w:sz w:val="16"/>
        <w:szCs w:val="18"/>
        <w:lang w:val="fr-FR"/>
      </w:rPr>
      <w:t>FN5-</w:t>
    </w:r>
    <w:r w:rsidR="00CA3D41" w:rsidRPr="002660D7">
      <w:rPr>
        <w:sz w:val="16"/>
        <w:szCs w:val="18"/>
        <w:lang w:val="fr-FR"/>
      </w:rPr>
      <w:t>FR</w:t>
    </w:r>
    <w:r w:rsidR="00CA3D41" w:rsidRPr="002660D7">
      <w:rPr>
        <w:sz w:val="16"/>
        <w:szCs w:val="18"/>
        <w:lang w:val="fr-FR"/>
      </w:rPr>
      <w:tab/>
    </w:r>
    <w:r w:rsidR="00CA3D41" w:rsidRPr="002660D7">
      <w:rPr>
        <w:sz w:val="16"/>
        <w:szCs w:val="18"/>
        <w:lang w:val="fr-FR"/>
      </w:rPr>
      <w:tab/>
    </w:r>
    <w:r w:rsidR="00CA3D41" w:rsidRPr="003606D4">
      <w:rPr>
        <w:noProof/>
        <w:sz w:val="16"/>
        <w:szCs w:val="18"/>
        <w:lang w:val="fr-FR" w:eastAsia="ja-JP"/>
      </w:rPr>
      <w:drawing>
        <wp:anchor distT="0" distB="0" distL="114300" distR="114300" simplePos="0" relativeHeight="251663360" behindDoc="1" locked="1" layoutInCell="1" allowOverlap="0" wp14:anchorId="5F1F53B1" wp14:editId="4FDA9B72">
          <wp:simplePos x="0" y="0"/>
          <wp:positionH relativeFrom="column">
            <wp:posOffset>4799965</wp:posOffset>
          </wp:positionH>
          <wp:positionV relativeFrom="margin">
            <wp:posOffset>8912860</wp:posOffset>
          </wp:positionV>
          <wp:extent cx="833755" cy="599440"/>
          <wp:effectExtent l="0" t="0" r="4445" b="0"/>
          <wp:wrapThrough wrapText="bothSides">
            <wp:wrapPolygon edited="0">
              <wp:start x="0" y="0"/>
              <wp:lineTo x="0" y="20593"/>
              <wp:lineTo x="21222" y="20593"/>
              <wp:lineTo x="21222" y="0"/>
              <wp:lineTo x="0"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755" cy="599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29" w:rsidRDefault="00516029" w:rsidP="00516029">
      <w:pPr>
        <w:spacing w:before="0" w:after="0"/>
      </w:pPr>
      <w:r>
        <w:separator/>
      </w:r>
    </w:p>
  </w:footnote>
  <w:footnote w:type="continuationSeparator" w:id="0">
    <w:p w:rsidR="00516029" w:rsidRDefault="00516029" w:rsidP="005160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9B" w:rsidRPr="00C76928" w:rsidRDefault="00A8299B" w:rsidP="00302BA2">
    <w:pPr>
      <w:tabs>
        <w:tab w:val="clear" w:pos="567"/>
        <w:tab w:val="center" w:pos="4070"/>
        <w:tab w:val="right" w:pos="9000"/>
      </w:tabs>
      <w:snapToGrid/>
      <w:spacing w:before="0" w:after="200" w:line="276" w:lineRule="auto"/>
      <w:ind w:right="-57"/>
      <w:jc w:val="left"/>
      <w:rPr>
        <w:rFonts w:eastAsia="Calibri" w:cs="Times New Roman"/>
        <w:snapToGrid/>
        <w:sz w:val="16"/>
        <w:szCs w:val="22"/>
        <w:lang w:val="it-IT" w:eastAsia="en-US"/>
      </w:rPr>
    </w:pP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PAGE  </w:instrText>
    </w:r>
    <w:r w:rsidRPr="00C76928">
      <w:rPr>
        <w:rFonts w:eastAsia="Calibri" w:cs="Times New Roman"/>
        <w:snapToGrid/>
        <w:sz w:val="16"/>
        <w:szCs w:val="22"/>
        <w:lang w:val="it-IT" w:eastAsia="en-US"/>
      </w:rPr>
      <w:fldChar w:fldCharType="separate"/>
    </w:r>
    <w:r w:rsidR="00751534">
      <w:rPr>
        <w:rFonts w:eastAsia="Calibri" w:cs="Times New Roman"/>
        <w:noProof/>
        <w:snapToGrid/>
        <w:sz w:val="16"/>
        <w:szCs w:val="22"/>
        <w:lang w:val="it-IT" w:eastAsia="en-US"/>
      </w:rPr>
      <w:t>2</w:t>
    </w:r>
    <w:r w:rsidRPr="00C76928">
      <w:rPr>
        <w:rFonts w:eastAsia="Calibri" w:cs="Times New Roman"/>
        <w:snapToGrid/>
        <w:sz w:val="16"/>
        <w:szCs w:val="22"/>
        <w:lang w:val="it-IT" w:eastAsia="en-US"/>
      </w:rPr>
      <w:fldChar w:fldCharType="end"/>
    </w:r>
    <w:r w:rsidRPr="00C76928">
      <w:rPr>
        <w:rFonts w:eastAsia="Calibri" w:cs="Times New Roman"/>
        <w:snapToGrid/>
        <w:sz w:val="16"/>
        <w:szCs w:val="22"/>
        <w:lang w:val="it-IT" w:eastAsia="en-US"/>
      </w:rPr>
      <w:tab/>
      <w:t>Unit</w:t>
    </w:r>
    <w:r>
      <w:rPr>
        <w:rFonts w:eastAsia="Calibri" w:cs="Times New Roman"/>
        <w:snapToGrid/>
        <w:sz w:val="16"/>
        <w:szCs w:val="22"/>
        <w:lang w:val="it-IT" w:eastAsia="en-US"/>
      </w:rPr>
      <w:t>é</w:t>
    </w:r>
    <w:r w:rsidRPr="00C76928">
      <w:rPr>
        <w:rFonts w:eastAsia="Calibri" w:cs="Times New Roman"/>
        <w:snapToGrid/>
        <w:sz w:val="16"/>
        <w:szCs w:val="22"/>
        <w:lang w:val="it-IT" w:eastAsia="en-US"/>
      </w:rPr>
      <w:t xml:space="preserve"> 55:</w:t>
    </w:r>
    <w:r w:rsidRPr="00302BA2">
      <w:rPr>
        <w:rFonts w:eastAsia="Calibri" w:cs="Times New Roman"/>
        <w:snapToGrid/>
        <w:sz w:val="16"/>
        <w:szCs w:val="22"/>
        <w:lang w:val="fr-FR" w:eastAsia="en-US"/>
      </w:rPr>
      <w:t xml:space="preserve"> Atelier sur l’élaboration de politiques pour la sauvegarde du PCI</w:t>
    </w:r>
    <w:r>
      <w:rPr>
        <w:rFonts w:eastAsia="Calibri" w:cs="Times New Roman"/>
        <w:snapToGrid/>
        <w:sz w:val="16"/>
        <w:szCs w:val="22"/>
        <w:lang w:val="it-IT" w:eastAsia="en-US"/>
      </w:rPr>
      <w:tab/>
      <w:t>N</w:t>
    </w:r>
    <w:r w:rsidRPr="00C76928">
      <w:rPr>
        <w:rFonts w:eastAsia="Calibri" w:cs="Times New Roman"/>
        <w:snapToGrid/>
        <w:sz w:val="16"/>
        <w:szCs w:val="22"/>
        <w:lang w:val="it-IT" w:eastAsia="en-US"/>
      </w:rPr>
      <w:t>otes</w:t>
    </w:r>
    <w:r>
      <w:rPr>
        <w:rFonts w:eastAsia="Calibri" w:cs="Times New Roman"/>
        <w:snapToGrid/>
        <w:sz w:val="16"/>
        <w:szCs w:val="22"/>
        <w:lang w:val="it-IT" w:eastAsia="en-US"/>
      </w:rPr>
      <w:t xml:space="preserve"> du facilitateur</w:t>
    </w:r>
  </w:p>
  <w:p w:rsidR="00CA3D41" w:rsidRPr="00302BA2" w:rsidRDefault="00CA3D41" w:rsidP="00302BA2">
    <w:pPr>
      <w:pStyle w:val="Header"/>
      <w:jc w:val="center"/>
      <w:rPr>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9B" w:rsidRPr="00C76928" w:rsidRDefault="00A8299B" w:rsidP="00302BA2">
    <w:pPr>
      <w:tabs>
        <w:tab w:val="clear" w:pos="567"/>
        <w:tab w:val="center" w:pos="4423"/>
        <w:tab w:val="right" w:pos="8080"/>
      </w:tabs>
      <w:snapToGrid/>
      <w:spacing w:before="0" w:after="200" w:line="276" w:lineRule="auto"/>
      <w:ind w:right="893"/>
      <w:jc w:val="left"/>
      <w:rPr>
        <w:rFonts w:eastAsia="Calibri" w:cs="Times New Roman"/>
        <w:snapToGrid/>
        <w:sz w:val="16"/>
        <w:szCs w:val="22"/>
        <w:lang w:val="it-IT" w:eastAsia="en-US"/>
      </w:rPr>
    </w:pPr>
    <w:r>
      <w:rPr>
        <w:rFonts w:eastAsia="Calibri" w:cs="Times New Roman"/>
        <w:snapToGrid/>
        <w:sz w:val="16"/>
        <w:szCs w:val="22"/>
        <w:lang w:val="it-IT" w:eastAsia="en-US"/>
      </w:rPr>
      <w:t>N</w:t>
    </w:r>
    <w:r w:rsidRPr="00C76928">
      <w:rPr>
        <w:rFonts w:eastAsia="Calibri" w:cs="Times New Roman"/>
        <w:snapToGrid/>
        <w:sz w:val="16"/>
        <w:szCs w:val="22"/>
        <w:lang w:val="it-IT" w:eastAsia="en-US"/>
      </w:rPr>
      <w:t>otes</w:t>
    </w:r>
    <w:r>
      <w:rPr>
        <w:rFonts w:eastAsia="Calibri" w:cs="Times New Roman"/>
        <w:snapToGrid/>
        <w:sz w:val="16"/>
        <w:szCs w:val="22"/>
        <w:lang w:val="it-IT" w:eastAsia="en-US"/>
      </w:rPr>
      <w:t xml:space="preserve"> du facilitateur</w:t>
    </w:r>
    <w:r w:rsidRPr="00C76928">
      <w:rPr>
        <w:rFonts w:eastAsia="Calibri" w:cs="Times New Roman"/>
        <w:snapToGrid/>
        <w:sz w:val="16"/>
        <w:szCs w:val="22"/>
        <w:lang w:val="it-IT" w:eastAsia="en-US"/>
      </w:rPr>
      <w:tab/>
      <w:t>Uni</w:t>
    </w:r>
    <w:r>
      <w:rPr>
        <w:rFonts w:eastAsia="Calibri" w:cs="Times New Roman"/>
        <w:snapToGrid/>
        <w:sz w:val="16"/>
        <w:szCs w:val="22"/>
        <w:lang w:val="it-IT" w:eastAsia="en-US"/>
      </w:rPr>
      <w:t>é</w:t>
    </w:r>
    <w:r w:rsidRPr="00C76928">
      <w:rPr>
        <w:rFonts w:eastAsia="Calibri" w:cs="Times New Roman"/>
        <w:snapToGrid/>
        <w:sz w:val="16"/>
        <w:szCs w:val="22"/>
        <w:lang w:val="it-IT" w:eastAsia="en-US"/>
      </w:rPr>
      <w:t>t 55:</w:t>
    </w:r>
    <w:r>
      <w:rPr>
        <w:rFonts w:eastAsia="Calibri" w:cs="Times New Roman"/>
        <w:snapToGrid/>
        <w:sz w:val="16"/>
        <w:szCs w:val="22"/>
        <w:lang w:val="fr-FR" w:eastAsia="en-US"/>
      </w:rPr>
      <w:t xml:space="preserve"> Atelie</w:t>
    </w:r>
    <w:r w:rsidRPr="00302BA2">
      <w:rPr>
        <w:rFonts w:eastAsia="Calibri" w:cs="Times New Roman"/>
        <w:snapToGrid/>
        <w:sz w:val="16"/>
        <w:szCs w:val="22"/>
        <w:lang w:val="fr-FR" w:eastAsia="en-US"/>
      </w:rPr>
      <w:t>r sur l’élaboration de politiques pour la sauvegarde du PCI</w:t>
    </w:r>
    <w:r w:rsidRPr="00C76928">
      <w:rPr>
        <w:rFonts w:eastAsia="Calibri" w:cs="Times New Roman"/>
        <w:snapToGrid/>
        <w:sz w:val="16"/>
        <w:szCs w:val="22"/>
        <w:lang w:val="it-IT" w:eastAsia="en-US"/>
      </w:rPr>
      <w:tab/>
    </w: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 PAGE </w:instrText>
    </w:r>
    <w:r w:rsidRPr="00C76928">
      <w:rPr>
        <w:rFonts w:eastAsia="Calibri" w:cs="Times New Roman"/>
        <w:snapToGrid/>
        <w:sz w:val="16"/>
        <w:szCs w:val="22"/>
        <w:lang w:val="it-IT" w:eastAsia="en-US"/>
      </w:rPr>
      <w:fldChar w:fldCharType="separate"/>
    </w:r>
    <w:r w:rsidR="00751534">
      <w:rPr>
        <w:rFonts w:eastAsia="Calibri" w:cs="Times New Roman"/>
        <w:noProof/>
        <w:snapToGrid/>
        <w:sz w:val="16"/>
        <w:szCs w:val="22"/>
        <w:lang w:val="it-IT" w:eastAsia="en-US"/>
      </w:rPr>
      <w:t>3</w:t>
    </w:r>
    <w:r w:rsidRPr="00C76928">
      <w:rPr>
        <w:rFonts w:eastAsia="Calibri" w:cs="Times New Roman"/>
        <w:snapToGrid/>
        <w:sz w:val="16"/>
        <w:szCs w:val="22"/>
        <w:lang w:val="it-IT" w:eastAsia="en-US"/>
      </w:rPr>
      <w:fldChar w:fldCharType="end"/>
    </w:r>
  </w:p>
  <w:p w:rsidR="00516029" w:rsidRPr="00302BA2" w:rsidRDefault="00516029" w:rsidP="00302BA2">
    <w:pPr>
      <w:pStyle w:val="Header"/>
      <w:jc w:val="center"/>
      <w:rPr>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41" w:rsidRPr="00302BA2" w:rsidRDefault="00CA3D41" w:rsidP="00302BA2">
    <w:pPr>
      <w:pStyle w:val="Header"/>
      <w:jc w:val="center"/>
      <w:rPr>
        <w:sz w:val="16"/>
        <w:szCs w:val="16"/>
        <w:lang w:val="fr-FR"/>
      </w:rPr>
    </w:pPr>
    <w:r>
      <w:rPr>
        <w:sz w:val="16"/>
        <w:szCs w:val="16"/>
        <w:lang w:val="fr-FR"/>
      </w:rPr>
      <w:t>Notes du facilitateur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6F83D3D"/>
    <w:multiLevelType w:val="hybridMultilevel"/>
    <w:tmpl w:val="C2829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A3"/>
    <w:rsid w:val="00002B67"/>
    <w:rsid w:val="00010900"/>
    <w:rsid w:val="00060E45"/>
    <w:rsid w:val="00061C0D"/>
    <w:rsid w:val="00074A8F"/>
    <w:rsid w:val="000F5A20"/>
    <w:rsid w:val="001432AF"/>
    <w:rsid w:val="00172FB3"/>
    <w:rsid w:val="001A3A2E"/>
    <w:rsid w:val="001D421A"/>
    <w:rsid w:val="001E3A2C"/>
    <w:rsid w:val="001F4A7A"/>
    <w:rsid w:val="00202770"/>
    <w:rsid w:val="00246472"/>
    <w:rsid w:val="002769C2"/>
    <w:rsid w:val="00280384"/>
    <w:rsid w:val="002969A8"/>
    <w:rsid w:val="002A0082"/>
    <w:rsid w:val="002A46E1"/>
    <w:rsid w:val="002A707D"/>
    <w:rsid w:val="002B1717"/>
    <w:rsid w:val="002B4D5D"/>
    <w:rsid w:val="002C07F1"/>
    <w:rsid w:val="002C523B"/>
    <w:rsid w:val="00302BA2"/>
    <w:rsid w:val="003A448D"/>
    <w:rsid w:val="00443418"/>
    <w:rsid w:val="00444E86"/>
    <w:rsid w:val="0048346D"/>
    <w:rsid w:val="00492AD4"/>
    <w:rsid w:val="004B6E8E"/>
    <w:rsid w:val="00515352"/>
    <w:rsid w:val="00516029"/>
    <w:rsid w:val="0052391D"/>
    <w:rsid w:val="005275B9"/>
    <w:rsid w:val="005316CF"/>
    <w:rsid w:val="00532A55"/>
    <w:rsid w:val="00563D2A"/>
    <w:rsid w:val="00564CEE"/>
    <w:rsid w:val="00574B9C"/>
    <w:rsid w:val="005948E6"/>
    <w:rsid w:val="005C27D9"/>
    <w:rsid w:val="005D226B"/>
    <w:rsid w:val="005E431A"/>
    <w:rsid w:val="00610108"/>
    <w:rsid w:val="00614EAC"/>
    <w:rsid w:val="00625A8D"/>
    <w:rsid w:val="00642280"/>
    <w:rsid w:val="0068199C"/>
    <w:rsid w:val="00686471"/>
    <w:rsid w:val="006B5B3A"/>
    <w:rsid w:val="006B74CB"/>
    <w:rsid w:val="006B7639"/>
    <w:rsid w:val="006C2CB0"/>
    <w:rsid w:val="00705958"/>
    <w:rsid w:val="00732AD4"/>
    <w:rsid w:val="00751534"/>
    <w:rsid w:val="007729D7"/>
    <w:rsid w:val="007C007F"/>
    <w:rsid w:val="00851CB3"/>
    <w:rsid w:val="00910FB6"/>
    <w:rsid w:val="00921558"/>
    <w:rsid w:val="00954CB3"/>
    <w:rsid w:val="00963B8F"/>
    <w:rsid w:val="009C39C5"/>
    <w:rsid w:val="00A33DED"/>
    <w:rsid w:val="00A77CF7"/>
    <w:rsid w:val="00A8299B"/>
    <w:rsid w:val="00AE245E"/>
    <w:rsid w:val="00B47BA3"/>
    <w:rsid w:val="00B55E9B"/>
    <w:rsid w:val="00BB1F8C"/>
    <w:rsid w:val="00C2284B"/>
    <w:rsid w:val="00C540BD"/>
    <w:rsid w:val="00C55EFA"/>
    <w:rsid w:val="00C94436"/>
    <w:rsid w:val="00CA3D41"/>
    <w:rsid w:val="00D1064F"/>
    <w:rsid w:val="00D42FEA"/>
    <w:rsid w:val="00D81B72"/>
    <w:rsid w:val="00DB33E6"/>
    <w:rsid w:val="00DC3012"/>
    <w:rsid w:val="00DC3A88"/>
    <w:rsid w:val="00E218DE"/>
    <w:rsid w:val="00E97AA9"/>
    <w:rsid w:val="00EB44A3"/>
    <w:rsid w:val="00EC1AD4"/>
    <w:rsid w:val="00EC293C"/>
    <w:rsid w:val="00EF1FF6"/>
    <w:rsid w:val="00EF6DB9"/>
    <w:rsid w:val="00FD13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83FE3F1-0168-4091-9E5B-8DBDDEDF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A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B44A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B44A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B44A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clear" w:pos="567"/>
        <w:tab w:val="left" w:pos="360"/>
      </w:tabs>
      <w:ind w:left="720" w:hanging="360"/>
    </w:pPr>
  </w:style>
  <w:style w:type="paragraph" w:styleId="Quote">
    <w:name w:val="Quote"/>
    <w:basedOn w:val="Normal"/>
    <w:next w:val="Normal"/>
    <w:link w:val="QuoteChar"/>
    <w:uiPriority w:val="29"/>
    <w:qFormat/>
    <w:rsid w:val="00EB44A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B44A3"/>
    <w:rPr>
      <w:rFonts w:ascii="Arial" w:eastAsia="SimSun" w:hAnsi="Arial" w:cs="Arial"/>
      <w:w w:val="96"/>
      <w:lang w:val="en-US" w:eastAsia="fr-FR"/>
    </w:rPr>
  </w:style>
  <w:style w:type="paragraph" w:customStyle="1" w:styleId="U1">
    <w:name w:val="U.1"/>
    <w:basedOn w:val="Normal"/>
    <w:qFormat/>
    <w:rsid w:val="00EB44A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B44A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B44A3"/>
    <w:rPr>
      <w:rFonts w:ascii="Arial" w:eastAsia="SimSun" w:hAnsi="Arial" w:cs="Arial"/>
      <w:lang w:val="en-US" w:eastAsia="fr-FR"/>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B44A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B44A3"/>
    <w:pPr>
      <w:numPr>
        <w:ilvl w:val="1"/>
        <w:numId w:val="4"/>
      </w:numPr>
      <w:spacing w:before="0" w:after="60" w:line="280" w:lineRule="exact"/>
    </w:pPr>
    <w:rPr>
      <w:snapToGrid/>
      <w:sz w:val="20"/>
      <w:lang w:val="fr-FR"/>
    </w:rPr>
  </w:style>
  <w:style w:type="paragraph" w:customStyle="1" w:styleId="citationunit">
    <w:name w:val="citation unit"/>
    <w:basedOn w:val="Normal"/>
    <w:qFormat/>
    <w:rsid w:val="00EB44A3"/>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B44A3"/>
    <w:pPr>
      <w:spacing w:before="0" w:after="0"/>
    </w:pPr>
    <w:rPr>
      <w:sz w:val="20"/>
      <w:szCs w:val="20"/>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n-US" w:eastAsia="zh-CN"/>
    </w:rPr>
  </w:style>
  <w:style w:type="paragraph" w:customStyle="1" w:styleId="Chapitre">
    <w:name w:val="Chapitre"/>
    <w:basedOn w:val="Heading1"/>
    <w:link w:val="ChapitreCar"/>
    <w:rsid w:val="00A77CF7"/>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A77CF7"/>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A77CF7"/>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A77CF7"/>
    <w:rPr>
      <w:rFonts w:ascii="Arial" w:eastAsia="Times New Roman" w:hAnsi="Arial" w:cs="Arial"/>
      <w:b/>
      <w:bCs/>
      <w:caps/>
      <w:noProof/>
      <w:snapToGrid w:val="0"/>
      <w:color w:val="3366FF"/>
      <w:kern w:val="28"/>
      <w:sz w:val="48"/>
      <w:szCs w:val="48"/>
      <w:lang w:eastAsia="zh-CN"/>
    </w:rPr>
  </w:style>
  <w:style w:type="paragraph" w:styleId="BalloonText">
    <w:name w:val="Balloon Text"/>
    <w:basedOn w:val="Normal"/>
    <w:link w:val="BalloonTextChar"/>
    <w:uiPriority w:val="99"/>
    <w:semiHidden/>
    <w:unhideWhenUsed/>
    <w:rsid w:val="005160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29"/>
    <w:rPr>
      <w:rFonts w:ascii="Tahoma" w:eastAsia="SimSun" w:hAnsi="Tahoma" w:cs="Tahoma"/>
      <w:snapToGrid w:val="0"/>
      <w:sz w:val="16"/>
      <w:szCs w:val="16"/>
      <w:lang w:val="en-US" w:eastAsia="zh-CN"/>
    </w:rPr>
  </w:style>
  <w:style w:type="paragraph" w:styleId="Header">
    <w:name w:val="header"/>
    <w:basedOn w:val="Normal"/>
    <w:link w:val="HeaderChar"/>
    <w:uiPriority w:val="99"/>
    <w:unhideWhenUsed/>
    <w:rsid w:val="00516029"/>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516029"/>
    <w:rPr>
      <w:rFonts w:ascii="Arial" w:eastAsia="SimSun" w:hAnsi="Arial" w:cs="Arial"/>
      <w:snapToGrid w:val="0"/>
      <w:szCs w:val="24"/>
      <w:lang w:val="en-US" w:eastAsia="zh-CN"/>
    </w:rPr>
  </w:style>
  <w:style w:type="paragraph" w:styleId="Footer">
    <w:name w:val="footer"/>
    <w:basedOn w:val="Normal"/>
    <w:link w:val="FooterChar"/>
    <w:uiPriority w:val="99"/>
    <w:unhideWhenUsed/>
    <w:rsid w:val="00516029"/>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516029"/>
    <w:rPr>
      <w:rFonts w:ascii="Arial" w:eastAsia="SimSun" w:hAnsi="Arial" w:cs="Arial"/>
      <w:snapToGrid w:val="0"/>
      <w:szCs w:val="24"/>
      <w:lang w:val="en-US" w:eastAsia="zh-CN"/>
    </w:rPr>
  </w:style>
  <w:style w:type="paragraph" w:customStyle="1" w:styleId="Texte1">
    <w:name w:val="Texte1"/>
    <w:basedOn w:val="Normal"/>
    <w:link w:val="Texte1Car"/>
    <w:rsid w:val="00516029"/>
    <w:pPr>
      <w:spacing w:before="0" w:after="60" w:line="280" w:lineRule="exact"/>
      <w:ind w:left="851"/>
    </w:pPr>
    <w:rPr>
      <w:snapToGrid/>
      <w:sz w:val="20"/>
      <w:lang w:val="fr-FR"/>
    </w:rPr>
  </w:style>
  <w:style w:type="character" w:customStyle="1" w:styleId="Texte1Car">
    <w:name w:val="Texte1 Car"/>
    <w:link w:val="Texte1"/>
    <w:rsid w:val="00516029"/>
    <w:rPr>
      <w:rFonts w:ascii="Arial" w:eastAsia="SimSun" w:hAnsi="Arial" w:cs="Arial"/>
      <w:sz w:val="20"/>
      <w:szCs w:val="24"/>
      <w:lang w:val="fr-FR" w:eastAsia="zh-CN"/>
    </w:rPr>
  </w:style>
  <w:style w:type="paragraph" w:customStyle="1" w:styleId="Soustitre">
    <w:name w:val="Soustitre"/>
    <w:basedOn w:val="Normal"/>
    <w:link w:val="SoustitreCar"/>
    <w:qFormat/>
    <w:rsid w:val="00302BA2"/>
    <w:pPr>
      <w:keepNext/>
      <w:tabs>
        <w:tab w:val="clear" w:pos="567"/>
      </w:tabs>
      <w:snapToGrid/>
      <w:spacing w:before="200" w:after="60" w:line="280" w:lineRule="exact"/>
      <w:ind w:left="851"/>
      <w:jc w:val="left"/>
    </w:pPr>
    <w:rPr>
      <w:b/>
      <w:bCs/>
      <w:i/>
      <w:noProof/>
      <w:sz w:val="20"/>
      <w:szCs w:val="20"/>
      <w:lang w:val="fr-FR" w:eastAsia="en-US"/>
    </w:rPr>
  </w:style>
  <w:style w:type="character" w:customStyle="1" w:styleId="SoustitreCar">
    <w:name w:val="Soustitre Car"/>
    <w:link w:val="Soustitre"/>
    <w:rsid w:val="00302BA2"/>
    <w:rPr>
      <w:rFonts w:ascii="Arial" w:eastAsia="SimSun" w:hAnsi="Arial" w:cs="Arial"/>
      <w:b/>
      <w:bCs/>
      <w:i/>
      <w:noProof/>
      <w:snapToGrid w:val="0"/>
      <w:sz w:val="20"/>
      <w:szCs w:val="20"/>
      <w:lang w:val="fr-FR"/>
    </w:rPr>
  </w:style>
  <w:style w:type="paragraph" w:styleId="BodyText">
    <w:name w:val="Body Text"/>
    <w:basedOn w:val="Normal"/>
    <w:link w:val="BodyTextChar"/>
    <w:rsid w:val="002A707D"/>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2A707D"/>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edocs/pubdocs/fr/tk/933/wipo_pub_933.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en/intproperty/489/wipo_pub_48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esco.org/open-access/terms-use-ccbysa-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712C-241D-45AE-AF00-FA1F0874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1486</Words>
  <Characters>8173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37</cp:revision>
  <dcterms:created xsi:type="dcterms:W3CDTF">2015-11-26T10:00:00Z</dcterms:created>
  <dcterms:modified xsi:type="dcterms:W3CDTF">2018-04-23T12:57:00Z</dcterms:modified>
</cp:coreProperties>
</file>