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DAFA" w14:textId="77777777" w:rsidR="008B1899" w:rsidRPr="004A2D31" w:rsidRDefault="0082134F" w:rsidP="000A08EF">
      <w:pPr>
        <w:pStyle w:val="Chapitre"/>
        <w:bidi/>
        <w:spacing w:before="0" w:after="200" w:line="240" w:lineRule="auto"/>
        <w:rPr>
          <w:rFonts w:cs="Traditional Arabic"/>
          <w:rtl/>
        </w:rPr>
      </w:pPr>
      <w:r w:rsidRPr="004A2D31">
        <w:rPr>
          <w:rFonts w:cs="Traditional Arabic" w:hint="cs"/>
          <w:rtl/>
        </w:rPr>
        <w:t>الوحدة 55</w:t>
      </w:r>
    </w:p>
    <w:p w14:paraId="38C48CED" w14:textId="77777777" w:rsidR="0082134F" w:rsidRPr="000A08EF" w:rsidRDefault="00BF51CB" w:rsidP="000A08EF">
      <w:pPr>
        <w:pStyle w:val="HO1"/>
        <w:bidi/>
        <w:spacing w:before="0" w:after="200" w:line="240" w:lineRule="auto"/>
        <w:rPr>
          <w:rFonts w:cs="Traditional Arabic"/>
          <w:sz w:val="22"/>
          <w:rtl/>
        </w:rPr>
      </w:pPr>
      <w:bookmarkStart w:id="0" w:name="_Hlk512359307"/>
      <w:r w:rsidRPr="000A08EF">
        <w:rPr>
          <w:rFonts w:cs="Traditional Arabic" w:hint="cs"/>
          <w:sz w:val="22"/>
          <w:rtl/>
        </w:rPr>
        <w:t>ال</w:t>
      </w:r>
      <w:r w:rsidR="0082134F" w:rsidRPr="000A08EF">
        <w:rPr>
          <w:rFonts w:cs="Traditional Arabic" w:hint="cs"/>
          <w:sz w:val="22"/>
          <w:rtl/>
        </w:rPr>
        <w:t xml:space="preserve">مطبوع </w:t>
      </w:r>
      <w:r w:rsidRPr="000A08EF">
        <w:rPr>
          <w:rFonts w:cs="Traditional Arabic" w:hint="cs"/>
          <w:sz w:val="22"/>
          <w:rtl/>
        </w:rPr>
        <w:t>ال</w:t>
      </w:r>
      <w:r w:rsidR="007C522B" w:rsidRPr="000A08EF">
        <w:rPr>
          <w:rFonts w:cs="Traditional Arabic" w:hint="cs"/>
          <w:sz w:val="22"/>
          <w:rtl/>
        </w:rPr>
        <w:t xml:space="preserve">معد </w:t>
      </w:r>
      <w:r w:rsidR="0082134F" w:rsidRPr="000A08EF">
        <w:rPr>
          <w:rFonts w:cs="Traditional Arabic" w:hint="cs"/>
          <w:sz w:val="22"/>
          <w:rtl/>
        </w:rPr>
        <w:t>للتوزيع</w:t>
      </w:r>
      <w:bookmarkEnd w:id="0"/>
      <w:r w:rsidR="0082134F" w:rsidRPr="000A08EF">
        <w:rPr>
          <w:rFonts w:cs="Traditional Arabic" w:hint="cs"/>
          <w:sz w:val="22"/>
          <w:rtl/>
        </w:rPr>
        <w:t xml:space="preserve"> ر</w:t>
      </w:r>
      <w:bookmarkStart w:id="1" w:name="_GoBack"/>
      <w:bookmarkEnd w:id="1"/>
      <w:r w:rsidR="0082134F" w:rsidRPr="000A08EF">
        <w:rPr>
          <w:rFonts w:cs="Traditional Arabic" w:hint="cs"/>
          <w:sz w:val="22"/>
          <w:rtl/>
        </w:rPr>
        <w:t>قم 2:</w:t>
      </w:r>
    </w:p>
    <w:p w14:paraId="675F2D59" w14:textId="77777777" w:rsidR="00C243E5" w:rsidRPr="000A08EF" w:rsidRDefault="000E2A09" w:rsidP="000A08EF">
      <w:pPr>
        <w:pStyle w:val="HO2"/>
        <w:bidi/>
        <w:spacing w:after="200" w:line="240" w:lineRule="auto"/>
        <w:rPr>
          <w:rFonts w:cs="Traditional Arabic"/>
          <w:sz w:val="22"/>
          <w:rtl/>
        </w:rPr>
      </w:pPr>
      <w:r w:rsidRPr="000A08EF">
        <w:rPr>
          <w:rFonts w:cs="Traditional Arabic" w:hint="cs"/>
          <w:sz w:val="22"/>
          <w:rtl/>
        </w:rPr>
        <w:t xml:space="preserve">شرح </w:t>
      </w:r>
      <w:r w:rsidR="007C522B" w:rsidRPr="000A08EF">
        <w:rPr>
          <w:rFonts w:cs="Traditional Arabic" w:hint="cs"/>
          <w:sz w:val="22"/>
          <w:rtl/>
        </w:rPr>
        <w:t>ا</w:t>
      </w:r>
      <w:r w:rsidRPr="000A08EF">
        <w:rPr>
          <w:rFonts w:cs="Traditional Arabic" w:hint="cs"/>
          <w:sz w:val="22"/>
          <w:rtl/>
        </w:rPr>
        <w:t>لمصطلحات</w:t>
      </w:r>
    </w:p>
    <w:p w14:paraId="495B9396" w14:textId="0DF4B2F0" w:rsidR="00B279F0" w:rsidRPr="000A08EF" w:rsidRDefault="00B279F0" w:rsidP="007630CB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المساءلة</w:t>
      </w:r>
      <w:r w:rsidRPr="000A08EF">
        <w:rPr>
          <w:rFonts w:cs="Traditional Arabic" w:hint="cs"/>
          <w:sz w:val="22"/>
          <w:szCs w:val="32"/>
          <w:rtl/>
        </w:rPr>
        <w:t xml:space="preserve">: </w:t>
      </w:r>
      <w:r w:rsidR="007630CB">
        <w:rPr>
          <w:rFonts w:cs="Traditional Arabic" w:hint="cs"/>
          <w:sz w:val="22"/>
          <w:szCs w:val="32"/>
          <w:rtl/>
        </w:rPr>
        <w:t>واجب</w:t>
      </w:r>
      <w:r w:rsidRPr="000A08EF">
        <w:rPr>
          <w:rFonts w:cs="Traditional Arabic" w:hint="cs"/>
          <w:sz w:val="22"/>
          <w:szCs w:val="32"/>
          <w:rtl/>
        </w:rPr>
        <w:t xml:space="preserve"> المسؤولين الع</w:t>
      </w:r>
      <w:r w:rsidR="007630CB">
        <w:rPr>
          <w:rFonts w:cs="Traditional Arabic" w:hint="cs"/>
          <w:sz w:val="22"/>
          <w:szCs w:val="32"/>
          <w:rtl/>
        </w:rPr>
        <w:t>موميين</w:t>
      </w:r>
      <w:r w:rsidRPr="000A08EF">
        <w:rPr>
          <w:rFonts w:cs="Traditional Arabic" w:hint="cs"/>
          <w:sz w:val="22"/>
          <w:szCs w:val="32"/>
          <w:rtl/>
        </w:rPr>
        <w:t xml:space="preserve"> الإبلاغ عن استخدام الموارد العامة ومسؤوليتهم عن عدم تحقيق أهداف الأداء المعلن عنها.</w:t>
      </w:r>
    </w:p>
    <w:p w14:paraId="5939BCAE" w14:textId="5C6DA394" w:rsidR="00B279F0" w:rsidRPr="000A08EF" w:rsidRDefault="00B279F0" w:rsidP="007630CB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الاتفاق (القانون الدولي):</w:t>
      </w:r>
      <w:r w:rsidRPr="000A08EF">
        <w:rPr>
          <w:rFonts w:cs="Traditional Arabic" w:hint="cs"/>
          <w:sz w:val="22"/>
          <w:szCs w:val="32"/>
          <w:rtl/>
        </w:rPr>
        <w:t xml:space="preserve"> هذه الصكوك القانونية هي عادة أقل اتساما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بالطابع الرسمي وتتناول طائفة </w:t>
      </w:r>
      <w:r w:rsidR="007630CB" w:rsidRPr="000A08EF">
        <w:rPr>
          <w:rFonts w:cs="Traditional Arabic" w:hint="cs"/>
          <w:sz w:val="22"/>
          <w:szCs w:val="32"/>
          <w:rtl/>
        </w:rPr>
        <w:t xml:space="preserve">أضيق </w:t>
      </w:r>
      <w:r w:rsidRPr="000A08EF">
        <w:rPr>
          <w:rFonts w:cs="Traditional Arabic" w:hint="cs"/>
          <w:sz w:val="22"/>
          <w:szCs w:val="32"/>
          <w:rtl/>
        </w:rPr>
        <w:t>من المو</w:t>
      </w:r>
      <w:r w:rsidR="007630CB">
        <w:rPr>
          <w:rFonts w:cs="Traditional Arabic" w:hint="cs"/>
          <w:sz w:val="22"/>
          <w:szCs w:val="32"/>
          <w:rtl/>
        </w:rPr>
        <w:t>ضوعات مقارنة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7D7E54">
        <w:rPr>
          <w:rFonts w:cs="Traditional Arabic" w:hint="cs"/>
          <w:sz w:val="22"/>
          <w:szCs w:val="32"/>
          <w:rtl/>
        </w:rPr>
        <w:t>"</w:t>
      </w:r>
      <w:r w:rsidR="007630CB">
        <w:rPr>
          <w:rFonts w:cs="Traditional Arabic" w:hint="cs"/>
          <w:sz w:val="22"/>
          <w:szCs w:val="32"/>
          <w:rtl/>
        </w:rPr>
        <w:t>ب</w:t>
      </w:r>
      <w:r w:rsidRPr="000A08EF">
        <w:rPr>
          <w:rFonts w:cs="Traditional Arabic" w:hint="cs"/>
          <w:sz w:val="22"/>
          <w:szCs w:val="32"/>
          <w:rtl/>
        </w:rPr>
        <w:t>المعاهدات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. و</w:t>
      </w:r>
      <w:r w:rsidR="007630CB">
        <w:rPr>
          <w:rFonts w:cs="Traditional Arabic" w:hint="cs"/>
          <w:sz w:val="22"/>
          <w:szCs w:val="32"/>
          <w:rtl/>
        </w:rPr>
        <w:t>هناك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7630CB">
        <w:rPr>
          <w:rFonts w:cs="Traditional Arabic" w:hint="cs"/>
          <w:sz w:val="22"/>
          <w:szCs w:val="32"/>
          <w:rtl/>
        </w:rPr>
        <w:t>نزعة</w:t>
      </w:r>
      <w:r w:rsidRPr="000A08EF">
        <w:rPr>
          <w:rFonts w:cs="Traditional Arabic" w:hint="cs"/>
          <w:sz w:val="22"/>
          <w:szCs w:val="32"/>
          <w:rtl/>
        </w:rPr>
        <w:t xml:space="preserve"> عام</w:t>
      </w:r>
      <w:r w:rsidR="007630CB">
        <w:rPr>
          <w:rFonts w:cs="Traditional Arabic" w:hint="cs"/>
          <w:sz w:val="22"/>
          <w:szCs w:val="32"/>
          <w:rtl/>
        </w:rPr>
        <w:t>ة</w:t>
      </w:r>
      <w:r w:rsidRPr="000A08EF">
        <w:rPr>
          <w:rFonts w:cs="Traditional Arabic" w:hint="cs"/>
          <w:sz w:val="22"/>
          <w:szCs w:val="32"/>
          <w:rtl/>
        </w:rPr>
        <w:t xml:space="preserve"> إلى استخدام مصطلح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اتفاق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للدلالة على </w:t>
      </w:r>
      <w:r w:rsidR="007630CB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معاهدات </w:t>
      </w:r>
      <w:r w:rsidR="007630CB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ثنائية أو </w:t>
      </w:r>
      <w:r w:rsidR="007630CB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معاهدات </w:t>
      </w:r>
      <w:r w:rsidR="007630CB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متعددة الأطراف </w:t>
      </w:r>
      <w:r w:rsidR="007630CB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>محدودة.</w:t>
      </w:r>
    </w:p>
    <w:p w14:paraId="17083B3A" w14:textId="77DB8730" w:rsidR="00B279F0" w:rsidRPr="000A08EF" w:rsidRDefault="00B279F0" w:rsidP="007630CB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المنظمات الثنائية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6A3ADF" w:rsidRPr="000A08EF">
        <w:rPr>
          <w:rFonts w:cs="Traditional Arabic" w:hint="cs"/>
          <w:sz w:val="22"/>
          <w:szCs w:val="32"/>
          <w:rtl/>
        </w:rPr>
        <w:t>تتلقى</w:t>
      </w:r>
      <w:r w:rsidR="006A3ADF" w:rsidRPr="000A08EF">
        <w:rPr>
          <w:rFonts w:cs="Traditional Arabic" w:hint="cs"/>
          <w:b/>
          <w:bCs/>
          <w:sz w:val="22"/>
          <w:szCs w:val="32"/>
          <w:rtl/>
        </w:rPr>
        <w:t xml:space="preserve"> </w:t>
      </w:r>
      <w:r w:rsidRPr="000A08EF">
        <w:rPr>
          <w:rFonts w:cs="Traditional Arabic" w:hint="cs"/>
          <w:sz w:val="22"/>
          <w:szCs w:val="32"/>
          <w:rtl/>
        </w:rPr>
        <w:t>تمويلا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7630CB">
        <w:rPr>
          <w:rFonts w:cs="Traditional Arabic" w:hint="cs"/>
          <w:sz w:val="22"/>
          <w:szCs w:val="32"/>
          <w:rtl/>
        </w:rPr>
        <w:t xml:space="preserve"> من حكومات</w:t>
      </w:r>
      <w:r w:rsidRPr="000A08EF">
        <w:rPr>
          <w:rFonts w:cs="Traditional Arabic" w:hint="cs"/>
          <w:sz w:val="22"/>
          <w:szCs w:val="32"/>
          <w:rtl/>
        </w:rPr>
        <w:t xml:space="preserve"> بلدانها الأصلية، وتستخدم التمويل ل</w:t>
      </w:r>
      <w:r w:rsidR="007630CB">
        <w:rPr>
          <w:rFonts w:cs="Traditional Arabic" w:hint="cs"/>
          <w:sz w:val="22"/>
          <w:szCs w:val="32"/>
          <w:rtl/>
        </w:rPr>
        <w:t>مساعدة</w:t>
      </w:r>
      <w:r w:rsidRPr="000A08EF">
        <w:rPr>
          <w:rFonts w:cs="Traditional Arabic" w:hint="cs"/>
          <w:sz w:val="22"/>
          <w:szCs w:val="32"/>
          <w:rtl/>
        </w:rPr>
        <w:t xml:space="preserve"> البلدان النامية.</w:t>
      </w:r>
    </w:p>
    <w:p w14:paraId="31D4D5A5" w14:textId="0ACE071D" w:rsidR="00B279F0" w:rsidRPr="000A08EF" w:rsidRDefault="00B279F0" w:rsidP="00C5682F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الميثاق (القانون الدولي):</w:t>
      </w:r>
      <w:r w:rsidRPr="000A08EF">
        <w:rPr>
          <w:rFonts w:cs="Traditional Arabic" w:hint="cs"/>
          <w:sz w:val="22"/>
          <w:szCs w:val="32"/>
          <w:rtl/>
        </w:rPr>
        <w:t xml:space="preserve"> يستخدم مصطلح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ميثاق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للدلالة على صكوك رسمي</w:t>
      </w:r>
      <w:r w:rsidR="00C5682F">
        <w:rPr>
          <w:rFonts w:cs="Traditional Arabic" w:hint="cs"/>
          <w:sz w:val="22"/>
          <w:szCs w:val="32"/>
          <w:rtl/>
        </w:rPr>
        <w:t>ة جداً وشديدة الأهمية القانونية</w:t>
      </w:r>
      <w:r w:rsidRPr="000A08EF">
        <w:rPr>
          <w:rFonts w:cs="Traditional Arabic" w:hint="cs"/>
          <w:sz w:val="22"/>
          <w:szCs w:val="32"/>
          <w:rtl/>
        </w:rPr>
        <w:t xml:space="preserve">، من قبيل المعاهدات المنشئة </w:t>
      </w:r>
      <w:r w:rsidR="00C5682F">
        <w:rPr>
          <w:rFonts w:cs="Traditional Arabic" w:hint="cs"/>
          <w:sz w:val="22"/>
          <w:szCs w:val="32"/>
          <w:rtl/>
        </w:rPr>
        <w:t>للمنظمات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C5682F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>دولية.</w:t>
      </w:r>
    </w:p>
    <w:p w14:paraId="4D14EFE9" w14:textId="556BF316" w:rsidR="00B279F0" w:rsidRPr="000A08EF" w:rsidRDefault="00B279F0" w:rsidP="00C5682F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المشاعات/ال</w:t>
      </w:r>
      <w:r w:rsidR="00C5682F">
        <w:rPr>
          <w:rFonts w:cs="Traditional Arabic" w:hint="cs"/>
          <w:b/>
          <w:bCs/>
          <w:sz w:val="22"/>
          <w:szCs w:val="32"/>
          <w:rtl/>
        </w:rPr>
        <w:t>حيز</w:t>
      </w:r>
      <w:r w:rsidRPr="000A08EF">
        <w:rPr>
          <w:rFonts w:cs="Traditional Arabic" w:hint="cs"/>
          <w:b/>
          <w:bCs/>
          <w:sz w:val="22"/>
          <w:szCs w:val="32"/>
          <w:rtl/>
        </w:rPr>
        <w:t xml:space="preserve"> العام:</w:t>
      </w:r>
      <w:r w:rsidRPr="000A08EF">
        <w:rPr>
          <w:rFonts w:cs="Traditional Arabic" w:hint="cs"/>
          <w:sz w:val="22"/>
          <w:szCs w:val="32"/>
          <w:rtl/>
        </w:rPr>
        <w:t xml:space="preserve"> موارد </w:t>
      </w:r>
      <w:r w:rsidR="00C5682F">
        <w:rPr>
          <w:rFonts w:cs="Traditional Arabic" w:hint="cs"/>
          <w:sz w:val="22"/>
          <w:szCs w:val="32"/>
          <w:rtl/>
        </w:rPr>
        <w:t xml:space="preserve">يجوز للجميع الانتفاع بها بحرية، </w:t>
      </w:r>
      <w:r w:rsidRPr="000A08EF">
        <w:rPr>
          <w:rFonts w:cs="Traditional Arabic" w:hint="cs"/>
          <w:sz w:val="22"/>
          <w:szCs w:val="32"/>
          <w:rtl/>
        </w:rPr>
        <w:t>ومن</w:t>
      </w:r>
      <w:r w:rsidR="00C5682F">
        <w:rPr>
          <w:rFonts w:cs="Traditional Arabic" w:hint="cs"/>
          <w:sz w:val="22"/>
          <w:szCs w:val="32"/>
          <w:rtl/>
        </w:rPr>
        <w:t>ها على سبيل المثال</w:t>
      </w:r>
      <w:r w:rsidRPr="000A08EF">
        <w:rPr>
          <w:rFonts w:cs="Traditional Arabic" w:hint="cs"/>
          <w:sz w:val="22"/>
          <w:szCs w:val="32"/>
          <w:rtl/>
        </w:rPr>
        <w:t xml:space="preserve"> الهواء والمحيطات والحدائق ال</w:t>
      </w:r>
      <w:r w:rsidR="00BF51CB" w:rsidRPr="000A08EF">
        <w:rPr>
          <w:rFonts w:cs="Traditional Arabic" w:hint="cs"/>
          <w:sz w:val="22"/>
          <w:szCs w:val="32"/>
          <w:rtl/>
        </w:rPr>
        <w:t>ع</w:t>
      </w:r>
      <w:r w:rsidRPr="000A08EF">
        <w:rPr>
          <w:rFonts w:cs="Traditional Arabic" w:hint="cs"/>
          <w:sz w:val="22"/>
          <w:szCs w:val="32"/>
          <w:rtl/>
        </w:rPr>
        <w:t>امة، وكذلك الموارد الثقافية المتاحة للانتفاع الحر للجميع. ووجود المشاعات مسألة سياسة عامة: فهل ينبغي أن تكون موارد معينة م</w:t>
      </w:r>
      <w:r w:rsidR="00C5682F">
        <w:rPr>
          <w:rFonts w:cs="Traditional Arabic" w:hint="cs"/>
          <w:sz w:val="22"/>
          <w:szCs w:val="32"/>
          <w:rtl/>
        </w:rPr>
        <w:t>لكاً</w:t>
      </w:r>
      <w:r w:rsidRPr="000A08EF">
        <w:rPr>
          <w:rFonts w:cs="Traditional Arabic" w:hint="cs"/>
          <w:sz w:val="22"/>
          <w:szCs w:val="32"/>
          <w:rtl/>
        </w:rPr>
        <w:t xml:space="preserve"> لكيانات خاصة أم </w:t>
      </w:r>
      <w:r w:rsidR="00C5682F">
        <w:rPr>
          <w:rFonts w:cs="Traditional Arabic" w:hint="cs"/>
          <w:sz w:val="22"/>
          <w:szCs w:val="32"/>
          <w:rtl/>
        </w:rPr>
        <w:t>ملكاً</w:t>
      </w:r>
      <w:r w:rsidRPr="000A08EF">
        <w:rPr>
          <w:rFonts w:cs="Traditional Arabic" w:hint="cs"/>
          <w:sz w:val="22"/>
          <w:szCs w:val="32"/>
          <w:rtl/>
        </w:rPr>
        <w:t xml:space="preserve"> عام</w:t>
      </w:r>
      <w:r w:rsidR="00C5682F">
        <w:rPr>
          <w:rFonts w:cs="Traditional Arabic" w:hint="cs"/>
          <w:sz w:val="22"/>
          <w:szCs w:val="32"/>
          <w:rtl/>
        </w:rPr>
        <w:t>اً</w:t>
      </w:r>
      <w:r w:rsidRPr="000A08EF">
        <w:rPr>
          <w:rFonts w:cs="Traditional Arabic" w:hint="cs"/>
          <w:sz w:val="22"/>
          <w:szCs w:val="32"/>
          <w:rtl/>
        </w:rPr>
        <w:t>؟ و</w:t>
      </w:r>
      <w:r w:rsidR="00C5682F">
        <w:rPr>
          <w:rFonts w:cs="Traditional Arabic" w:hint="cs"/>
          <w:sz w:val="22"/>
          <w:szCs w:val="32"/>
          <w:rtl/>
        </w:rPr>
        <w:t xml:space="preserve">يطرح </w:t>
      </w:r>
      <w:r w:rsidRPr="000A08EF">
        <w:rPr>
          <w:rFonts w:cs="Traditional Arabic" w:hint="cs"/>
          <w:sz w:val="22"/>
          <w:szCs w:val="32"/>
          <w:rtl/>
        </w:rPr>
        <w:t>نظام المشاعات أيضا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إشكال</w:t>
      </w:r>
      <w:r w:rsidR="00C5682F">
        <w:rPr>
          <w:rFonts w:cs="Traditional Arabic" w:hint="cs"/>
          <w:sz w:val="22"/>
          <w:szCs w:val="32"/>
          <w:rtl/>
        </w:rPr>
        <w:t>ي</w:t>
      </w:r>
      <w:r w:rsidRPr="000A08EF">
        <w:rPr>
          <w:rFonts w:cs="Traditional Arabic" w:hint="cs"/>
          <w:sz w:val="22"/>
          <w:szCs w:val="32"/>
          <w:rtl/>
        </w:rPr>
        <w:t>ات في السياسة العامة: هل ينبغي فرض قيود على استخدام الفرد الواحد للمشاعات، أم ينبغي السماح بالانتفاع به</w:t>
      </w:r>
      <w:r w:rsidR="00C5682F">
        <w:rPr>
          <w:rFonts w:cs="Traditional Arabic" w:hint="cs"/>
          <w:sz w:val="22"/>
          <w:szCs w:val="32"/>
          <w:rtl/>
        </w:rPr>
        <w:t>ا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C5682F">
        <w:rPr>
          <w:rFonts w:cs="Traditional Arabic" w:hint="cs"/>
          <w:sz w:val="22"/>
          <w:szCs w:val="32"/>
          <w:rtl/>
        </w:rPr>
        <w:t>من غير</w:t>
      </w:r>
      <w:r w:rsidRPr="000A08EF">
        <w:rPr>
          <w:rFonts w:cs="Traditional Arabic" w:hint="cs"/>
          <w:sz w:val="22"/>
          <w:szCs w:val="32"/>
          <w:rtl/>
        </w:rPr>
        <w:t xml:space="preserve"> أن يكون ذلك خاضعا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لأنظمة، وفي هذه الحالة يمكن أن ينفد المورد، أو يستعمل في أوجه متضاربة (مثلا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شخصان أ</w:t>
      </w:r>
      <w:r w:rsidR="00BF51CB" w:rsidRPr="000A08EF"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 xml:space="preserve"> أكثر يستخدمان نفس التردد اللاسلكي في الب</w:t>
      </w:r>
      <w:r w:rsidR="00C5682F">
        <w:rPr>
          <w:rFonts w:cs="Traditional Arabic" w:hint="cs"/>
          <w:sz w:val="22"/>
          <w:szCs w:val="32"/>
          <w:rtl/>
        </w:rPr>
        <w:t>ث الإذاعي) تجعل المشاع غير متاح</w:t>
      </w:r>
      <w:r w:rsidRPr="000A08EF">
        <w:rPr>
          <w:rFonts w:cs="Traditional Arabic" w:hint="cs"/>
          <w:sz w:val="22"/>
          <w:szCs w:val="32"/>
          <w:rtl/>
        </w:rPr>
        <w:t xml:space="preserve"> للاستعمال</w:t>
      </w:r>
      <w:r w:rsidR="00BF51CB" w:rsidRPr="000A08EF">
        <w:rPr>
          <w:rFonts w:cs="Traditional Arabic" w:hint="cs"/>
          <w:sz w:val="22"/>
          <w:szCs w:val="32"/>
          <w:rtl/>
        </w:rPr>
        <w:t>.</w:t>
      </w:r>
    </w:p>
    <w:p w14:paraId="374496BC" w14:textId="71E32E3F" w:rsidR="00B279F0" w:rsidRPr="000A08EF" w:rsidRDefault="00B279F0" w:rsidP="00AB7EC9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الاتفاقية (القانون الدولي):</w:t>
      </w:r>
      <w:r w:rsidRPr="000A08EF">
        <w:rPr>
          <w:rFonts w:cs="Traditional Arabic" w:hint="cs"/>
          <w:sz w:val="22"/>
          <w:szCs w:val="32"/>
          <w:rtl/>
        </w:rPr>
        <w:t xml:space="preserve"> يستخدم </w:t>
      </w:r>
      <w:r w:rsidR="00AB7EC9">
        <w:rPr>
          <w:rFonts w:cs="Traditional Arabic" w:hint="cs"/>
          <w:sz w:val="22"/>
          <w:szCs w:val="32"/>
          <w:rtl/>
        </w:rPr>
        <w:t xml:space="preserve">هذا </w:t>
      </w:r>
      <w:r w:rsidRPr="000A08EF">
        <w:rPr>
          <w:rFonts w:cs="Traditional Arabic" w:hint="cs"/>
          <w:sz w:val="22"/>
          <w:szCs w:val="32"/>
          <w:rtl/>
        </w:rPr>
        <w:t>المصطلح عمو</w:t>
      </w:r>
      <w:r w:rsidR="00BF51CB" w:rsidRPr="000A08EF">
        <w:rPr>
          <w:rFonts w:cs="Traditional Arabic" w:hint="cs"/>
          <w:sz w:val="22"/>
          <w:szCs w:val="32"/>
          <w:rtl/>
        </w:rPr>
        <w:t>م</w:t>
      </w:r>
      <w:r w:rsidRPr="000A08EF">
        <w:rPr>
          <w:rFonts w:cs="Traditional Arabic" w:hint="cs"/>
          <w:sz w:val="22"/>
          <w:szCs w:val="32"/>
          <w:rtl/>
        </w:rPr>
        <w:t>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للدلالة على المعاهدات الرسمية المتعددة الأطراف التي يبرمها عدد </w:t>
      </w:r>
      <w:r w:rsidR="00AB7EC9">
        <w:rPr>
          <w:rFonts w:cs="Traditional Arabic" w:hint="cs"/>
          <w:sz w:val="22"/>
          <w:szCs w:val="32"/>
          <w:rtl/>
        </w:rPr>
        <w:t>كبير</w:t>
      </w:r>
      <w:r w:rsidRPr="000A08EF">
        <w:rPr>
          <w:rFonts w:cs="Traditional Arabic" w:hint="cs"/>
          <w:sz w:val="22"/>
          <w:szCs w:val="32"/>
          <w:rtl/>
        </w:rPr>
        <w:t xml:space="preserve"> من الأطراف. وعادة ما تكون الاتفاقيات مفتوحة لمشاركة المجتمع الدولي برمته، أو عدد كبير من الدول.</w:t>
      </w:r>
    </w:p>
    <w:p w14:paraId="5D578303" w14:textId="539C7117" w:rsidR="00B279F0" w:rsidRPr="000A08EF" w:rsidRDefault="00AB7EC9" w:rsidP="00AB7EC9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>
        <w:rPr>
          <w:rFonts w:cs="Traditional Arabic" w:hint="cs"/>
          <w:b/>
          <w:bCs/>
          <w:sz w:val="22"/>
          <w:szCs w:val="32"/>
          <w:rtl/>
        </w:rPr>
        <w:t>الإ</w:t>
      </w:r>
      <w:r w:rsidR="00B279F0" w:rsidRPr="000A08EF">
        <w:rPr>
          <w:rFonts w:cs="Traditional Arabic" w:hint="cs"/>
          <w:b/>
          <w:bCs/>
          <w:sz w:val="22"/>
          <w:szCs w:val="32"/>
          <w:rtl/>
        </w:rPr>
        <w:t>علان (القانون الدولي):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يستخدم مصطلح </w:t>
      </w:r>
      <w:r w:rsidR="007D7E54">
        <w:rPr>
          <w:rFonts w:cs="Traditional Arabic" w:hint="cs"/>
          <w:sz w:val="22"/>
          <w:szCs w:val="32"/>
          <w:rtl/>
        </w:rPr>
        <w:t>"</w:t>
      </w:r>
      <w:r w:rsidR="00B279F0" w:rsidRPr="000A08EF">
        <w:rPr>
          <w:rFonts w:cs="Traditional Arabic" w:hint="cs"/>
          <w:sz w:val="22"/>
          <w:szCs w:val="32"/>
          <w:rtl/>
        </w:rPr>
        <w:t>الإعلان</w:t>
      </w:r>
      <w:r w:rsidR="007D7E54">
        <w:rPr>
          <w:rFonts w:cs="Traditional Arabic" w:hint="cs"/>
          <w:sz w:val="22"/>
          <w:szCs w:val="32"/>
          <w:rtl/>
        </w:rPr>
        <w:t>"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للدلالة على شتى الصكوك الدولية. غير أن الإعلانات ليست دائما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ملزمة قانونا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>. وكثيرا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ما يختار المصطلح عمدا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للدلالة على أن الأطراف لا تنوي إحداث التزامات ملزمة </w:t>
      </w:r>
      <w:r w:rsidR="00B279F0" w:rsidRPr="000A08EF">
        <w:rPr>
          <w:rFonts w:cs="Traditional Arabic" w:hint="cs"/>
          <w:sz w:val="22"/>
          <w:szCs w:val="32"/>
          <w:rtl/>
        </w:rPr>
        <w:lastRenderedPageBreak/>
        <w:t xml:space="preserve">بل لا تريد سوى أن تعلن بعض التطلعات. فبعض الصكوك المسماة </w:t>
      </w:r>
      <w:r w:rsidR="007D7E54">
        <w:rPr>
          <w:rFonts w:cs="Traditional Arabic" w:hint="cs"/>
          <w:sz w:val="22"/>
          <w:szCs w:val="32"/>
          <w:rtl/>
        </w:rPr>
        <w:t>"</w:t>
      </w:r>
      <w:r w:rsidR="00B279F0" w:rsidRPr="000A08EF">
        <w:rPr>
          <w:rFonts w:cs="Traditional Arabic" w:hint="cs"/>
          <w:sz w:val="22"/>
          <w:szCs w:val="32"/>
          <w:rtl/>
        </w:rPr>
        <w:t>التزامات</w:t>
      </w:r>
      <w:r w:rsidR="007D7E54">
        <w:rPr>
          <w:rFonts w:cs="Traditional Arabic" w:hint="cs"/>
          <w:sz w:val="22"/>
          <w:szCs w:val="32"/>
          <w:rtl/>
        </w:rPr>
        <w:t>"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لم </w:t>
      </w:r>
      <w:r>
        <w:rPr>
          <w:rFonts w:cs="Traditional Arabic" w:hint="cs"/>
          <w:sz w:val="22"/>
          <w:szCs w:val="32"/>
          <w:rtl/>
        </w:rPr>
        <w:t>يُتوخى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منها أصلا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أن تكون ملزمة</w:t>
      </w:r>
      <w:r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>، ب</w:t>
      </w:r>
      <w:r>
        <w:rPr>
          <w:rFonts w:cs="Traditional Arabic" w:hint="cs"/>
          <w:sz w:val="22"/>
          <w:szCs w:val="32"/>
          <w:rtl/>
        </w:rPr>
        <w:t>يد</w:t>
      </w:r>
      <w:r w:rsidR="00B279F0" w:rsidRPr="000A08EF">
        <w:rPr>
          <w:rFonts w:cs="Traditional Arabic" w:hint="cs"/>
          <w:sz w:val="22"/>
          <w:szCs w:val="32"/>
          <w:rtl/>
        </w:rPr>
        <w:t xml:space="preserve"> </w:t>
      </w:r>
      <w:r>
        <w:rPr>
          <w:rFonts w:cs="Traditional Arabic" w:hint="cs"/>
          <w:sz w:val="22"/>
          <w:szCs w:val="32"/>
          <w:rtl/>
        </w:rPr>
        <w:t>أ</w:t>
      </w:r>
      <w:r w:rsidR="00B279F0" w:rsidRPr="000A08EF">
        <w:rPr>
          <w:rFonts w:cs="Traditional Arabic" w:hint="cs"/>
          <w:sz w:val="22"/>
          <w:szCs w:val="32"/>
          <w:rtl/>
        </w:rPr>
        <w:t xml:space="preserve">ن أحكامها قد </w:t>
      </w:r>
      <w:r>
        <w:rPr>
          <w:rFonts w:cs="Traditional Arabic" w:hint="cs"/>
          <w:sz w:val="22"/>
          <w:szCs w:val="32"/>
          <w:rtl/>
        </w:rPr>
        <w:t>تعبّر عن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القانون الدولي العرفي </w:t>
      </w:r>
      <w:r>
        <w:rPr>
          <w:rFonts w:cs="Traditional Arabic" w:hint="cs"/>
          <w:sz w:val="22"/>
          <w:szCs w:val="32"/>
          <w:rtl/>
        </w:rPr>
        <w:t>أ</w:t>
      </w:r>
      <w:r w:rsidR="00B279F0" w:rsidRPr="000A08EF">
        <w:rPr>
          <w:rFonts w:cs="Traditional Arabic" w:hint="cs"/>
          <w:sz w:val="22"/>
          <w:szCs w:val="32"/>
          <w:rtl/>
        </w:rPr>
        <w:t xml:space="preserve">و </w:t>
      </w:r>
      <w:r>
        <w:rPr>
          <w:rFonts w:cs="Traditional Arabic" w:hint="cs"/>
          <w:sz w:val="22"/>
          <w:szCs w:val="32"/>
          <w:rtl/>
        </w:rPr>
        <w:t>أنها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اكتسبت </w:t>
      </w:r>
      <w:r w:rsidRPr="000A08EF">
        <w:rPr>
          <w:rFonts w:cs="Traditional Arabic" w:hint="cs"/>
          <w:sz w:val="22"/>
          <w:szCs w:val="32"/>
          <w:rtl/>
        </w:rPr>
        <w:t>طابع</w:t>
      </w:r>
      <w:r>
        <w:rPr>
          <w:rFonts w:cs="Traditional Arabic" w:hint="cs"/>
          <w:sz w:val="22"/>
          <w:szCs w:val="32"/>
          <w:rtl/>
        </w:rPr>
        <w:t>اً</w:t>
      </w:r>
      <w:r w:rsidRPr="000A08EF">
        <w:rPr>
          <w:rFonts w:cs="Traditional Arabic" w:hint="cs"/>
          <w:sz w:val="22"/>
          <w:szCs w:val="32"/>
          <w:rtl/>
        </w:rPr>
        <w:t xml:space="preserve"> إلزامي</w:t>
      </w:r>
      <w:r>
        <w:rPr>
          <w:rFonts w:cs="Traditional Arabic" w:hint="cs"/>
          <w:sz w:val="22"/>
          <w:szCs w:val="32"/>
          <w:rtl/>
        </w:rPr>
        <w:t>اً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B279F0" w:rsidRPr="000A08EF">
        <w:rPr>
          <w:rFonts w:cs="Traditional Arabic" w:hint="cs"/>
          <w:sz w:val="22"/>
          <w:szCs w:val="32"/>
          <w:rtl/>
        </w:rPr>
        <w:t>في مرحلة لاحقة بصفتها قانونا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عرفيا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. وهذا ما </w:t>
      </w:r>
      <w:r>
        <w:rPr>
          <w:rFonts w:cs="Traditional Arabic" w:hint="cs"/>
          <w:sz w:val="22"/>
          <w:szCs w:val="32"/>
          <w:rtl/>
        </w:rPr>
        <w:t>حصل في حالة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الإعلان العالمي لحقوق الإنسان لعام 1948.</w:t>
      </w:r>
    </w:p>
    <w:p w14:paraId="0149E655" w14:textId="61D0892F" w:rsidR="00B279F0" w:rsidRPr="000A08EF" w:rsidRDefault="00980BC1" w:rsidP="00515F5D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>
        <w:rPr>
          <w:rFonts w:cs="Traditional Arabic" w:hint="cs"/>
          <w:b/>
          <w:bCs/>
          <w:sz w:val="22"/>
          <w:szCs w:val="32"/>
          <w:rtl/>
        </w:rPr>
        <w:t xml:space="preserve"> المجتمعات</w:t>
      </w:r>
      <w:r w:rsidR="00BF51CB" w:rsidRPr="000A08EF">
        <w:rPr>
          <w:rFonts w:cs="Traditional Arabic" w:hint="cs"/>
          <w:b/>
          <w:bCs/>
          <w:sz w:val="22"/>
          <w:szCs w:val="32"/>
          <w:rtl/>
        </w:rPr>
        <w:t xml:space="preserve"> الأصلية</w:t>
      </w:r>
      <w:r>
        <w:rPr>
          <w:rFonts w:cs="Traditional Arabic" w:hint="cs"/>
          <w:b/>
          <w:bCs/>
          <w:sz w:val="22"/>
          <w:szCs w:val="32"/>
          <w:rtl/>
        </w:rPr>
        <w:t>:</w:t>
      </w:r>
      <w:r w:rsidR="00BF51CB" w:rsidRPr="000A08EF">
        <w:rPr>
          <w:rFonts w:cs="Traditional Arabic" w:hint="cs"/>
          <w:sz w:val="22"/>
          <w:szCs w:val="32"/>
          <w:rtl/>
        </w:rPr>
        <w:t xml:space="preserve"> </w:t>
      </w:r>
      <w:r w:rsidR="00B279F0" w:rsidRPr="000A08EF">
        <w:rPr>
          <w:rFonts w:cs="Traditional Arabic" w:hint="cs"/>
          <w:sz w:val="22"/>
          <w:szCs w:val="32"/>
          <w:rtl/>
        </w:rPr>
        <w:t>يفهم ب</w:t>
      </w:r>
      <w:r w:rsidR="00BF51CB" w:rsidRPr="000A08EF">
        <w:rPr>
          <w:rFonts w:cs="Traditional Arabic" w:hint="cs"/>
          <w:sz w:val="22"/>
          <w:szCs w:val="32"/>
          <w:rtl/>
        </w:rPr>
        <w:t>هذا ال</w:t>
      </w:r>
      <w:r w:rsidR="00B279F0" w:rsidRPr="000A08EF">
        <w:rPr>
          <w:rFonts w:cs="Traditional Arabic" w:hint="cs"/>
          <w:sz w:val="22"/>
          <w:szCs w:val="32"/>
          <w:rtl/>
        </w:rPr>
        <w:t>مصطلح عموما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مجموعات محددة من الناس يعر</w:t>
      </w:r>
      <w:r w:rsidR="00E56FF8">
        <w:rPr>
          <w:rFonts w:cs="Traditional Arabic" w:hint="cs"/>
          <w:sz w:val="22"/>
          <w:szCs w:val="32"/>
          <w:rtl/>
          <w:lang w:bidi="ar-LB"/>
        </w:rPr>
        <w:t>ّ</w:t>
      </w:r>
      <w:r>
        <w:rPr>
          <w:rFonts w:cs="Traditional Arabic" w:hint="cs"/>
          <w:sz w:val="22"/>
          <w:szCs w:val="32"/>
          <w:rtl/>
          <w:lang w:bidi="ar-LB"/>
        </w:rPr>
        <w:t>َ</w:t>
      </w:r>
      <w:r w:rsidR="00B279F0" w:rsidRPr="000A08EF">
        <w:rPr>
          <w:rFonts w:cs="Traditional Arabic" w:hint="cs"/>
          <w:sz w:val="22"/>
          <w:szCs w:val="32"/>
          <w:rtl/>
        </w:rPr>
        <w:t>فون استنادا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إلى </w:t>
      </w:r>
      <w:r w:rsidR="00BF51CB" w:rsidRPr="000A08EF">
        <w:rPr>
          <w:rFonts w:cs="Traditional Arabic" w:hint="cs"/>
          <w:sz w:val="22"/>
          <w:szCs w:val="32"/>
          <w:rtl/>
        </w:rPr>
        <w:t>الأساس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العرقي والثقافي ويكون لهم ارتباط بإقليم محدد </w:t>
      </w:r>
      <w:r>
        <w:rPr>
          <w:rFonts w:cs="Traditional Arabic" w:hint="cs"/>
          <w:sz w:val="22"/>
          <w:szCs w:val="32"/>
          <w:rtl/>
        </w:rPr>
        <w:t>يقطنون فيه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قبل</w:t>
      </w:r>
      <w:r>
        <w:rPr>
          <w:rFonts w:cs="Traditional Arabic" w:hint="cs"/>
          <w:sz w:val="22"/>
          <w:szCs w:val="32"/>
          <w:rtl/>
        </w:rPr>
        <w:t xml:space="preserve"> تعرضهم</w:t>
      </w:r>
      <w:r w:rsidR="00B279F0" w:rsidRPr="000A08EF">
        <w:rPr>
          <w:rFonts w:cs="Traditional Arabic" w:hint="cs"/>
          <w:sz w:val="22"/>
          <w:szCs w:val="32"/>
          <w:rtl/>
        </w:rPr>
        <w:t xml:space="preserve"> </w:t>
      </w:r>
      <w:r>
        <w:rPr>
          <w:rFonts w:cs="Traditional Arabic" w:hint="cs"/>
          <w:sz w:val="22"/>
          <w:szCs w:val="32"/>
          <w:rtl/>
        </w:rPr>
        <w:t>ل</w:t>
      </w:r>
      <w:r w:rsidR="00B279F0" w:rsidRPr="000A08EF">
        <w:rPr>
          <w:rFonts w:cs="Traditional Arabic" w:hint="cs"/>
          <w:sz w:val="22"/>
          <w:szCs w:val="32"/>
          <w:rtl/>
        </w:rPr>
        <w:t>لاستعمار أو غيره من أ</w:t>
      </w:r>
      <w:r>
        <w:rPr>
          <w:rFonts w:cs="Traditional Arabic" w:hint="cs"/>
          <w:sz w:val="22"/>
          <w:szCs w:val="32"/>
          <w:rtl/>
        </w:rPr>
        <w:t>وجه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الاستيلاء على الأراضي، ويتقاسمون في الغالب تاريخا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مشتركا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من الاضطهاد أو التهميش. </w:t>
      </w:r>
      <w:r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 xml:space="preserve">كان </w:t>
      </w:r>
      <w:r>
        <w:rPr>
          <w:rFonts w:cs="Traditional Arabic" w:hint="cs"/>
          <w:sz w:val="22"/>
          <w:szCs w:val="32"/>
          <w:rtl/>
        </w:rPr>
        <w:t>هناك</w:t>
      </w:r>
      <w:r w:rsidRPr="000A08EF">
        <w:rPr>
          <w:rFonts w:cs="Traditional Arabic" w:hint="cs"/>
          <w:sz w:val="22"/>
          <w:szCs w:val="32"/>
          <w:rtl/>
        </w:rPr>
        <w:t xml:space="preserve"> نقاش مستفيض </w:t>
      </w:r>
      <w:r w:rsidR="00B279F0" w:rsidRPr="000A08EF">
        <w:rPr>
          <w:rFonts w:cs="Traditional Arabic" w:hint="cs"/>
          <w:sz w:val="22"/>
          <w:szCs w:val="32"/>
          <w:rtl/>
        </w:rPr>
        <w:t>في آسيا</w:t>
      </w:r>
      <w:r w:rsidR="00091839">
        <w:rPr>
          <w:rStyle w:val="FootnoteReference"/>
          <w:rFonts w:cs="Traditional Arabic"/>
          <w:sz w:val="22"/>
          <w:szCs w:val="32"/>
          <w:rtl/>
        </w:rPr>
        <w:footnoteReference w:id="1"/>
      </w:r>
      <w:r w:rsidR="00B279F0" w:rsidRPr="000A08EF">
        <w:rPr>
          <w:rFonts w:cs="Traditional Arabic" w:hint="cs"/>
          <w:sz w:val="22"/>
          <w:szCs w:val="32"/>
          <w:rtl/>
        </w:rPr>
        <w:t xml:space="preserve"> وأفريقيا</w:t>
      </w:r>
      <w:r w:rsidR="00091839">
        <w:rPr>
          <w:rStyle w:val="FootnoteReference"/>
          <w:rFonts w:cs="Traditional Arabic"/>
          <w:sz w:val="22"/>
          <w:szCs w:val="32"/>
          <w:rtl/>
        </w:rPr>
        <w:footnoteReference w:id="2"/>
      </w:r>
      <w:r w:rsidR="00B279F0" w:rsidRPr="000A08EF">
        <w:rPr>
          <w:rFonts w:cs="Traditional Arabic" w:hint="cs"/>
          <w:sz w:val="22"/>
          <w:szCs w:val="32"/>
          <w:rtl/>
        </w:rPr>
        <w:t xml:space="preserve"> بشأن جدوى هذا التعريف في الاجتماعات التحضيرية لإعلان </w:t>
      </w:r>
      <w:r>
        <w:rPr>
          <w:rFonts w:cs="Traditional Arabic" w:hint="cs"/>
          <w:sz w:val="22"/>
          <w:szCs w:val="32"/>
          <w:rtl/>
        </w:rPr>
        <w:t xml:space="preserve">الأمم المتحدة بشأن </w:t>
      </w:r>
      <w:r w:rsidR="00B279F0" w:rsidRPr="000A08EF">
        <w:rPr>
          <w:rFonts w:cs="Traditional Arabic" w:hint="cs"/>
          <w:sz w:val="22"/>
          <w:szCs w:val="32"/>
          <w:rtl/>
        </w:rPr>
        <w:t>حقوق الشعوب الأصلية لعام 2007 مثلا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B279F0" w:rsidRPr="000A08EF">
        <w:rPr>
          <w:rFonts w:cs="Traditional Arabic" w:hint="cs"/>
          <w:sz w:val="22"/>
          <w:szCs w:val="32"/>
          <w:rtl/>
        </w:rPr>
        <w:t xml:space="preserve">. وأقر الفريق العامل </w:t>
      </w:r>
      <w:r w:rsidR="001015C1" w:rsidRPr="001015C1">
        <w:rPr>
          <w:rFonts w:cs="Traditional Arabic"/>
          <w:sz w:val="22"/>
          <w:szCs w:val="32"/>
          <w:rtl/>
        </w:rPr>
        <w:t>للجنة الأفريقية لحقوق الإنسان والشعوب</w:t>
      </w:r>
      <w:r w:rsidR="001015C1" w:rsidRPr="001015C1">
        <w:rPr>
          <w:rFonts w:cs="Traditional Arabic" w:hint="cs"/>
          <w:sz w:val="22"/>
          <w:szCs w:val="32"/>
          <w:rtl/>
        </w:rPr>
        <w:t xml:space="preserve"> </w:t>
      </w:r>
      <w:r w:rsidR="00B279F0" w:rsidRPr="000A08EF">
        <w:rPr>
          <w:rFonts w:cs="Traditional Arabic" w:hint="cs"/>
          <w:sz w:val="22"/>
          <w:szCs w:val="32"/>
          <w:rtl/>
        </w:rPr>
        <w:t xml:space="preserve">بأن </w:t>
      </w:r>
      <w:r w:rsidR="001015C1">
        <w:rPr>
          <w:rFonts w:cs="Traditional Arabic" w:hint="cs"/>
          <w:sz w:val="22"/>
          <w:szCs w:val="32"/>
          <w:rtl/>
        </w:rPr>
        <w:t xml:space="preserve">تعريف الشعوب الأصلية يمكن أن ينطبق على معظم </w:t>
      </w:r>
      <w:proofErr w:type="spellStart"/>
      <w:r w:rsidR="001015C1">
        <w:rPr>
          <w:rFonts w:cs="Traditional Arabic" w:hint="cs"/>
          <w:sz w:val="22"/>
          <w:szCs w:val="32"/>
          <w:rtl/>
        </w:rPr>
        <w:t>الأفارقة</w:t>
      </w:r>
      <w:proofErr w:type="spellEnd"/>
      <w:r w:rsidR="00B279F0" w:rsidRPr="000A08EF">
        <w:rPr>
          <w:rFonts w:cs="Traditional Arabic" w:hint="cs"/>
          <w:sz w:val="22"/>
          <w:szCs w:val="32"/>
          <w:rtl/>
        </w:rPr>
        <w:t>، وعر</w:t>
      </w:r>
      <w:r w:rsidR="000F54FE">
        <w:rPr>
          <w:rFonts w:cs="Traditional Arabic" w:hint="cs"/>
          <w:sz w:val="22"/>
          <w:szCs w:val="32"/>
          <w:rtl/>
        </w:rPr>
        <w:t>ّ</w:t>
      </w:r>
      <w:r w:rsidR="00B279F0" w:rsidRPr="000A08EF">
        <w:rPr>
          <w:rFonts w:cs="Traditional Arabic" w:hint="cs"/>
          <w:sz w:val="22"/>
          <w:szCs w:val="32"/>
          <w:rtl/>
        </w:rPr>
        <w:t xml:space="preserve">ف </w:t>
      </w:r>
      <w:r w:rsidR="001015C1">
        <w:rPr>
          <w:rFonts w:cs="Traditional Arabic" w:hint="cs"/>
          <w:sz w:val="22"/>
          <w:szCs w:val="32"/>
          <w:rtl/>
        </w:rPr>
        <w:t>الجماعات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الأصلية (لا</w:t>
      </w:r>
      <w:r w:rsidR="007D7E54">
        <w:rPr>
          <w:rFonts w:cs="Traditional Arabic" w:hint="cs"/>
          <w:sz w:val="22"/>
          <w:szCs w:val="32"/>
          <w:rtl/>
        </w:rPr>
        <w:t xml:space="preserve"> </w:t>
      </w:r>
      <w:r w:rsidR="00B279F0" w:rsidRPr="000A08EF">
        <w:rPr>
          <w:rFonts w:cs="Traditional Arabic" w:hint="cs"/>
          <w:sz w:val="22"/>
          <w:szCs w:val="32"/>
          <w:rtl/>
        </w:rPr>
        <w:t xml:space="preserve">سيما جماعات القناصين أو الرعاة) </w:t>
      </w:r>
      <w:r w:rsidR="001015C1">
        <w:rPr>
          <w:rFonts w:cs="Traditional Arabic" w:hint="cs"/>
          <w:sz w:val="22"/>
          <w:szCs w:val="32"/>
          <w:rtl/>
        </w:rPr>
        <w:t>بال</w:t>
      </w:r>
      <w:r w:rsidR="00B279F0" w:rsidRPr="000A08EF">
        <w:rPr>
          <w:rFonts w:cs="Traditional Arabic" w:hint="cs"/>
          <w:sz w:val="22"/>
          <w:szCs w:val="32"/>
          <w:rtl/>
        </w:rPr>
        <w:t xml:space="preserve">جماعات </w:t>
      </w:r>
      <w:r w:rsidR="001015C1">
        <w:rPr>
          <w:rFonts w:cs="Traditional Arabic" w:hint="cs"/>
          <w:sz w:val="22"/>
          <w:szCs w:val="32"/>
          <w:rtl/>
        </w:rPr>
        <w:t>ال</w:t>
      </w:r>
      <w:r w:rsidR="00B279F0" w:rsidRPr="000A08EF">
        <w:rPr>
          <w:rFonts w:cs="Traditional Arabic" w:hint="cs"/>
          <w:sz w:val="22"/>
          <w:szCs w:val="32"/>
          <w:rtl/>
        </w:rPr>
        <w:t>مرتبطة ب</w:t>
      </w:r>
      <w:r w:rsidR="001015C1">
        <w:rPr>
          <w:rFonts w:cs="Traditional Arabic" w:hint="cs"/>
          <w:sz w:val="22"/>
          <w:szCs w:val="32"/>
          <w:rtl/>
        </w:rPr>
        <w:t>إقليم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محدد، </w:t>
      </w:r>
      <w:r w:rsidR="001015C1">
        <w:rPr>
          <w:rFonts w:cs="Traditional Arabic" w:hint="cs"/>
          <w:sz w:val="22"/>
          <w:szCs w:val="32"/>
          <w:rtl/>
        </w:rPr>
        <w:t xml:space="preserve">التي </w:t>
      </w:r>
      <w:r w:rsidR="00515F5D">
        <w:rPr>
          <w:rFonts w:cs="Traditional Arabic" w:hint="cs"/>
          <w:sz w:val="22"/>
          <w:szCs w:val="32"/>
          <w:rtl/>
        </w:rPr>
        <w:t>لديها هوية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ثقاف</w:t>
      </w:r>
      <w:r w:rsidR="00515F5D">
        <w:rPr>
          <w:rFonts w:cs="Traditional Arabic" w:hint="cs"/>
          <w:sz w:val="22"/>
          <w:szCs w:val="32"/>
          <w:rtl/>
        </w:rPr>
        <w:t>ي</w:t>
      </w:r>
      <w:r w:rsidR="00B279F0" w:rsidRPr="000A08EF">
        <w:rPr>
          <w:rFonts w:cs="Traditional Arabic" w:hint="cs"/>
          <w:sz w:val="22"/>
          <w:szCs w:val="32"/>
          <w:rtl/>
        </w:rPr>
        <w:t>ة محددة، و</w:t>
      </w:r>
      <w:r w:rsidR="001015C1">
        <w:rPr>
          <w:rFonts w:cs="Traditional Arabic" w:hint="cs"/>
          <w:sz w:val="22"/>
          <w:szCs w:val="32"/>
          <w:rtl/>
        </w:rPr>
        <w:t>التي تعرف نفسها ويعرفها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الغير بصف</w:t>
      </w:r>
      <w:r w:rsidR="001015C1">
        <w:rPr>
          <w:rFonts w:cs="Traditional Arabic" w:hint="cs"/>
          <w:sz w:val="22"/>
          <w:szCs w:val="32"/>
          <w:rtl/>
        </w:rPr>
        <w:t>ة</w:t>
      </w:r>
      <w:r w:rsidR="00B279F0" w:rsidRPr="000A08EF">
        <w:rPr>
          <w:rFonts w:cs="Traditional Arabic" w:hint="cs"/>
          <w:sz w:val="22"/>
          <w:szCs w:val="32"/>
          <w:rtl/>
        </w:rPr>
        <w:t xml:space="preserve"> مجموعة </w:t>
      </w:r>
      <w:r w:rsidR="001015C1">
        <w:rPr>
          <w:rFonts w:cs="Traditional Arabic" w:hint="cs"/>
          <w:sz w:val="22"/>
          <w:szCs w:val="32"/>
          <w:rtl/>
        </w:rPr>
        <w:t>نالها نصيب مشترك من ا</w:t>
      </w:r>
      <w:r w:rsidR="00B279F0" w:rsidRPr="000A08EF">
        <w:rPr>
          <w:rFonts w:cs="Traditional Arabic" w:hint="cs"/>
          <w:sz w:val="22"/>
          <w:szCs w:val="32"/>
          <w:rtl/>
        </w:rPr>
        <w:t>لتهميش.</w:t>
      </w:r>
      <w:r w:rsidR="00091839">
        <w:rPr>
          <w:rStyle w:val="FootnoteReference"/>
          <w:rFonts w:eastAsia="Times New Roman" w:cs="Traditional Arabic"/>
          <w:sz w:val="22"/>
          <w:szCs w:val="32"/>
          <w:rtl/>
        </w:rPr>
        <w:footnoteReference w:id="3"/>
      </w:r>
    </w:p>
    <w:p w14:paraId="0B15EEFF" w14:textId="208DCDCA" w:rsidR="00B279F0" w:rsidRPr="000A08EF" w:rsidRDefault="00B279F0" w:rsidP="00B52C8A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الصك (الصك القانوني)</w:t>
      </w:r>
      <w:r w:rsidR="00B52C8A">
        <w:rPr>
          <w:rFonts w:cs="Traditional Arabic" w:hint="cs"/>
          <w:b/>
          <w:bCs/>
          <w:sz w:val="22"/>
          <w:szCs w:val="32"/>
          <w:rtl/>
        </w:rPr>
        <w:t>: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B52C8A" w:rsidRPr="000A08EF">
        <w:rPr>
          <w:rFonts w:cs="Traditional Arabic" w:hint="cs"/>
          <w:sz w:val="22"/>
          <w:szCs w:val="32"/>
          <w:rtl/>
        </w:rPr>
        <w:t xml:space="preserve">يقصد به </w:t>
      </w:r>
      <w:r w:rsidRPr="000A08EF">
        <w:rPr>
          <w:rFonts w:cs="Traditional Arabic" w:hint="cs"/>
          <w:sz w:val="22"/>
          <w:szCs w:val="32"/>
          <w:rtl/>
        </w:rPr>
        <w:t>في الاصطلاح القانوني قانون، أو نظام أو اتفاق أو معاهدة أو إعلان أو أي وثيقة قانونية أخرى ت</w:t>
      </w:r>
      <w:r w:rsidR="00B52C8A">
        <w:rPr>
          <w:rFonts w:cs="Traditional Arabic" w:hint="cs"/>
          <w:sz w:val="22"/>
          <w:szCs w:val="32"/>
          <w:rtl/>
        </w:rPr>
        <w:t>نص على</w:t>
      </w:r>
      <w:r w:rsidRPr="000A08EF">
        <w:rPr>
          <w:rFonts w:cs="Traditional Arabic" w:hint="cs"/>
          <w:sz w:val="22"/>
          <w:szCs w:val="32"/>
          <w:rtl/>
        </w:rPr>
        <w:t xml:space="preserve"> سلوك معين.</w:t>
      </w:r>
    </w:p>
    <w:p w14:paraId="637E753E" w14:textId="3F035D97" w:rsidR="00B279F0" w:rsidRPr="000A08EF" w:rsidRDefault="00B279F0" w:rsidP="00B52C8A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القانون الدولي</w:t>
      </w:r>
      <w:r w:rsidR="00B52C8A">
        <w:rPr>
          <w:rFonts w:cs="Traditional Arabic" w:hint="cs"/>
          <w:b/>
          <w:bCs/>
          <w:sz w:val="22"/>
          <w:szCs w:val="32"/>
          <w:rtl/>
        </w:rPr>
        <w:t>:</w:t>
      </w:r>
      <w:r w:rsidRPr="000A08EF">
        <w:rPr>
          <w:rFonts w:cs="Traditional Arabic" w:hint="cs"/>
          <w:b/>
          <w:bCs/>
          <w:sz w:val="22"/>
          <w:szCs w:val="32"/>
          <w:rtl/>
        </w:rPr>
        <w:t xml:space="preserve"> </w:t>
      </w:r>
      <w:r w:rsidRPr="000A08EF">
        <w:rPr>
          <w:rFonts w:cs="Traditional Arabic" w:hint="cs"/>
          <w:sz w:val="22"/>
          <w:szCs w:val="32"/>
          <w:rtl/>
        </w:rPr>
        <w:t xml:space="preserve">يقصد به قانون </w:t>
      </w:r>
      <w:r w:rsidR="00B52C8A">
        <w:rPr>
          <w:rFonts w:cs="Traditional Arabic" w:hint="cs"/>
          <w:sz w:val="22"/>
          <w:szCs w:val="32"/>
          <w:rtl/>
        </w:rPr>
        <w:t>المعاهدات</w:t>
      </w:r>
      <w:r w:rsidRPr="000A08EF">
        <w:rPr>
          <w:rFonts w:cs="Traditional Arabic" w:hint="cs"/>
          <w:sz w:val="22"/>
          <w:szCs w:val="32"/>
          <w:rtl/>
        </w:rPr>
        <w:t xml:space="preserve"> الذي </w:t>
      </w:r>
      <w:r w:rsidR="00B52C8A">
        <w:rPr>
          <w:rFonts w:cs="Traditional Arabic" w:hint="cs"/>
          <w:sz w:val="22"/>
          <w:szCs w:val="32"/>
          <w:rtl/>
        </w:rPr>
        <w:t xml:space="preserve">تسنه الدول </w:t>
      </w:r>
      <w:r w:rsidR="00B52C8A" w:rsidRPr="000A08EF">
        <w:rPr>
          <w:rFonts w:cs="Traditional Arabic" w:hint="cs"/>
          <w:sz w:val="22"/>
          <w:szCs w:val="32"/>
          <w:rtl/>
        </w:rPr>
        <w:t>ذات السيادة</w:t>
      </w:r>
      <w:r w:rsidR="00B52C8A">
        <w:rPr>
          <w:rFonts w:cs="Traditional Arabic" w:hint="cs"/>
          <w:sz w:val="22"/>
          <w:szCs w:val="32"/>
          <w:rtl/>
        </w:rPr>
        <w:t xml:space="preserve"> في أقاليمها أو فيما </w:t>
      </w:r>
      <w:r w:rsidRPr="000A08EF">
        <w:rPr>
          <w:rFonts w:cs="Traditional Arabic" w:hint="cs"/>
          <w:sz w:val="22"/>
          <w:szCs w:val="32"/>
          <w:rtl/>
        </w:rPr>
        <w:t>بين</w:t>
      </w:r>
      <w:r w:rsidR="00B52C8A">
        <w:rPr>
          <w:rFonts w:cs="Traditional Arabic" w:hint="cs"/>
          <w:sz w:val="22"/>
          <w:szCs w:val="32"/>
          <w:rtl/>
        </w:rPr>
        <w:t>ها،</w:t>
      </w:r>
      <w:r w:rsidRPr="000A08EF">
        <w:rPr>
          <w:rFonts w:cs="Traditional Arabic" w:hint="cs"/>
          <w:sz w:val="22"/>
          <w:szCs w:val="32"/>
          <w:rtl/>
        </w:rPr>
        <w:t xml:space="preserve"> ويشمل المعاهدات والاتفاقات والاتفاقيات والمواثيق والبروتوكولات، والإعلانات، ومذكرات التفاهم، و</w:t>
      </w:r>
      <w:r w:rsidR="00777221" w:rsidRPr="000A08EF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تدابير </w:t>
      </w:r>
      <w:r w:rsidR="00777221" w:rsidRPr="000A08EF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>مؤقتة والرسائل المتبادلة بين الدول.</w:t>
      </w:r>
    </w:p>
    <w:p w14:paraId="0564B13E" w14:textId="7A297DCB" w:rsidR="00B279F0" w:rsidRPr="000A08EF" w:rsidRDefault="00B279F0" w:rsidP="00B52C8A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التشريع</w:t>
      </w:r>
      <w:r w:rsidR="00B52C8A">
        <w:rPr>
          <w:rFonts w:cs="Traditional Arabic" w:hint="cs"/>
          <w:b/>
          <w:bCs/>
          <w:sz w:val="22"/>
          <w:szCs w:val="32"/>
          <w:rtl/>
        </w:rPr>
        <w:t>:</w:t>
      </w:r>
      <w:r w:rsidRPr="000A08EF">
        <w:rPr>
          <w:rFonts w:cs="Traditional Arabic" w:hint="cs"/>
          <w:sz w:val="22"/>
          <w:szCs w:val="32"/>
          <w:rtl/>
        </w:rPr>
        <w:t xml:space="preserve"> مصطلح يقصد به القانون الذي تسنه هيئة تشريعية أو سلطة مختصة أخرى. ويمكن أن يشمل التشريع على الصعيدين الوطني ودون الوطني (على صعيد المحافظات مثلا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)، </w:t>
      </w:r>
      <w:r w:rsidR="00B52C8A"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>يشمل</w:t>
      </w:r>
      <w:r w:rsidR="00B52C8A">
        <w:rPr>
          <w:rFonts w:cs="Traditional Arabic" w:hint="cs"/>
          <w:sz w:val="22"/>
          <w:szCs w:val="32"/>
          <w:rtl/>
        </w:rPr>
        <w:t xml:space="preserve"> أيضاً</w:t>
      </w:r>
      <w:r w:rsidRPr="000A08EF">
        <w:rPr>
          <w:rFonts w:cs="Traditional Arabic" w:hint="cs"/>
          <w:sz w:val="22"/>
          <w:szCs w:val="32"/>
          <w:rtl/>
        </w:rPr>
        <w:t xml:space="preserve"> القانون الدولي. </w:t>
      </w:r>
      <w:r w:rsidR="00777221" w:rsidRPr="000A08EF"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>القانون التشريعي أو القانون المدون هو قانون مكتوب (مقارنة بالقانون الشف</w:t>
      </w:r>
      <w:r w:rsidR="00B52C8A">
        <w:rPr>
          <w:rFonts w:cs="Traditional Arabic" w:hint="cs"/>
          <w:sz w:val="22"/>
          <w:szCs w:val="32"/>
          <w:rtl/>
        </w:rPr>
        <w:t>ه</w:t>
      </w:r>
      <w:r w:rsidRPr="000A08EF">
        <w:rPr>
          <w:rFonts w:cs="Traditional Arabic" w:hint="cs"/>
          <w:sz w:val="22"/>
          <w:szCs w:val="32"/>
          <w:rtl/>
        </w:rPr>
        <w:t xml:space="preserve">ي أو العرفي) تضعه هيئة تشريعية (مقارنة </w:t>
      </w:r>
      <w:r w:rsidR="006A3ADF" w:rsidRPr="000A08EF">
        <w:rPr>
          <w:rFonts w:cs="Traditional Arabic" w:hint="cs"/>
          <w:sz w:val="22"/>
          <w:szCs w:val="32"/>
          <w:rtl/>
        </w:rPr>
        <w:t>بالنص</w:t>
      </w:r>
      <w:r w:rsidRPr="000A08EF">
        <w:rPr>
          <w:rFonts w:cs="Traditional Arabic" w:hint="cs"/>
          <w:sz w:val="22"/>
          <w:szCs w:val="32"/>
          <w:rtl/>
        </w:rPr>
        <w:t xml:space="preserve"> التنظيمي الذي تصدره هيئة تنفيذية أو القانون العام الذي تضعه الهيئة القضائية) أو مشرع (في حالة </w:t>
      </w:r>
      <w:r w:rsidR="00B52C8A">
        <w:rPr>
          <w:rFonts w:cs="Traditional Arabic" w:hint="cs"/>
          <w:sz w:val="22"/>
          <w:szCs w:val="32"/>
          <w:rtl/>
        </w:rPr>
        <w:t xml:space="preserve">نظام </w:t>
      </w:r>
      <w:r w:rsidRPr="000A08EF">
        <w:rPr>
          <w:rFonts w:cs="Traditional Arabic" w:hint="cs"/>
          <w:sz w:val="22"/>
          <w:szCs w:val="32"/>
          <w:rtl/>
        </w:rPr>
        <w:t>الملكية المطلقة).</w:t>
      </w:r>
    </w:p>
    <w:p w14:paraId="02F04DED" w14:textId="5632B5A2" w:rsidR="00B279F0" w:rsidRPr="000A08EF" w:rsidRDefault="00B279F0" w:rsidP="00C97A3D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lastRenderedPageBreak/>
        <w:t>الأقلية أو مجموعة الأقلية:</w:t>
      </w:r>
      <w:r w:rsidRPr="000A08EF">
        <w:rPr>
          <w:rFonts w:cs="Traditional Arabic" w:hint="cs"/>
          <w:sz w:val="22"/>
          <w:szCs w:val="32"/>
          <w:rtl/>
        </w:rPr>
        <w:t xml:space="preserve"> يقصد بها عادة </w:t>
      </w:r>
      <w:r w:rsidR="00C97A3D">
        <w:rPr>
          <w:rFonts w:cs="Traditional Arabic" w:hint="cs"/>
          <w:sz w:val="22"/>
          <w:szCs w:val="32"/>
          <w:rtl/>
        </w:rPr>
        <w:t xml:space="preserve">المجموعات التي </w:t>
      </w:r>
      <w:r w:rsidRPr="000A08EF">
        <w:rPr>
          <w:rFonts w:cs="Traditional Arabic" w:hint="cs"/>
          <w:sz w:val="22"/>
          <w:szCs w:val="32"/>
          <w:rtl/>
        </w:rPr>
        <w:t>تحدد استنادا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إلى العرق أو الدين أو اللغة (إعلان الأمم المتحدة </w:t>
      </w:r>
      <w:r w:rsidR="00C97A3D">
        <w:rPr>
          <w:rFonts w:cs="Traditional Arabic" w:hint="cs"/>
          <w:sz w:val="22"/>
          <w:szCs w:val="32"/>
          <w:rtl/>
        </w:rPr>
        <w:t>المتعلق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C97A3D">
        <w:rPr>
          <w:rFonts w:cs="Traditional Arabic" w:hint="cs"/>
          <w:sz w:val="22"/>
          <w:szCs w:val="32"/>
          <w:rtl/>
        </w:rPr>
        <w:t>ب</w:t>
      </w:r>
      <w:r w:rsidRPr="000A08EF">
        <w:rPr>
          <w:rFonts w:cs="Traditional Arabic" w:hint="cs"/>
          <w:sz w:val="22"/>
          <w:szCs w:val="32"/>
          <w:rtl/>
        </w:rPr>
        <w:t xml:space="preserve">الأقليات، لعام 1992)، </w:t>
      </w:r>
      <w:r w:rsidR="00C97A3D">
        <w:rPr>
          <w:rFonts w:cs="Traditional Arabic" w:hint="cs"/>
          <w:sz w:val="22"/>
          <w:szCs w:val="32"/>
          <w:rtl/>
        </w:rPr>
        <w:t xml:space="preserve">والتي ليس لديها مطالب </w:t>
      </w:r>
      <w:r w:rsidRPr="000A08EF">
        <w:rPr>
          <w:rFonts w:cs="Traditional Arabic" w:hint="cs"/>
          <w:sz w:val="22"/>
          <w:szCs w:val="32"/>
          <w:rtl/>
        </w:rPr>
        <w:t xml:space="preserve">إقليمية </w:t>
      </w:r>
      <w:r w:rsidR="00C97A3D">
        <w:rPr>
          <w:rFonts w:cs="Traditional Arabic" w:hint="cs"/>
          <w:sz w:val="22"/>
          <w:szCs w:val="32"/>
          <w:rtl/>
        </w:rPr>
        <w:t>في معظم الحالات</w:t>
      </w:r>
      <w:r w:rsidRPr="000A08EF">
        <w:rPr>
          <w:rFonts w:cs="Traditional Arabic" w:hint="cs"/>
          <w:sz w:val="22"/>
          <w:szCs w:val="32"/>
          <w:rtl/>
        </w:rPr>
        <w:t>، وتكون هويتها الوطنية أو العرقية أو اللغوية أو الدينية مختلفة عن هوية أغلبية السكان.</w:t>
      </w:r>
      <w:r w:rsidR="00091839">
        <w:rPr>
          <w:rStyle w:val="FootnoteReference"/>
          <w:rFonts w:eastAsia="Times New Roman" w:cs="Traditional Arabic"/>
          <w:b/>
          <w:bCs/>
          <w:sz w:val="22"/>
          <w:szCs w:val="32"/>
          <w:rtl/>
        </w:rPr>
        <w:footnoteReference w:id="4"/>
      </w:r>
    </w:p>
    <w:p w14:paraId="57EA2BA1" w14:textId="7DE72A37" w:rsidR="00B279F0" w:rsidRPr="000A08EF" w:rsidRDefault="00B279F0" w:rsidP="00C97A3D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المنظمات المتعددة الأطراف</w:t>
      </w:r>
      <w:r w:rsidR="00C97A3D">
        <w:rPr>
          <w:rFonts w:cs="Traditional Arabic" w:hint="cs"/>
          <w:b/>
          <w:bCs/>
          <w:sz w:val="22"/>
          <w:szCs w:val="32"/>
          <w:rtl/>
        </w:rPr>
        <w:t>: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0274D8" w:rsidRPr="000A08EF">
        <w:rPr>
          <w:rFonts w:cs="Traditional Arabic" w:hint="cs"/>
          <w:sz w:val="22"/>
          <w:szCs w:val="32"/>
          <w:rtl/>
        </w:rPr>
        <w:t xml:space="preserve">تحصل </w:t>
      </w:r>
      <w:r w:rsidRPr="000A08EF">
        <w:rPr>
          <w:rFonts w:cs="Traditional Arabic" w:hint="cs"/>
          <w:sz w:val="22"/>
          <w:szCs w:val="32"/>
          <w:rtl/>
        </w:rPr>
        <w:t>على تمويلها من حكومات متعددة وتنفقه على مش</w:t>
      </w:r>
      <w:r w:rsidR="00C97A3D">
        <w:rPr>
          <w:rFonts w:cs="Traditional Arabic" w:hint="cs"/>
          <w:sz w:val="22"/>
          <w:szCs w:val="32"/>
          <w:rtl/>
        </w:rPr>
        <w:t>روعات</w:t>
      </w:r>
      <w:r w:rsidRPr="000A08EF">
        <w:rPr>
          <w:rFonts w:cs="Traditional Arabic" w:hint="cs"/>
          <w:sz w:val="22"/>
          <w:szCs w:val="32"/>
          <w:rtl/>
        </w:rPr>
        <w:t xml:space="preserve"> في شتى البلدان، ومنها برنامج الأمم المتحدة الإنمائي.</w:t>
      </w:r>
    </w:p>
    <w:p w14:paraId="4D98919D" w14:textId="40442F48" w:rsidR="00B279F0" w:rsidRPr="000A08EF" w:rsidRDefault="00B279F0" w:rsidP="007D7E54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البروتوكول الاختياري</w:t>
      </w:r>
      <w:r w:rsidR="00C97A3D">
        <w:rPr>
          <w:rFonts w:cs="Traditional Arabic" w:hint="cs"/>
          <w:b/>
          <w:bCs/>
          <w:sz w:val="22"/>
          <w:szCs w:val="32"/>
          <w:rtl/>
        </w:rPr>
        <w:t>:</w:t>
      </w:r>
      <w:r w:rsidRPr="000A08EF">
        <w:rPr>
          <w:rFonts w:cs="Traditional Arabic" w:hint="cs"/>
          <w:sz w:val="22"/>
          <w:szCs w:val="32"/>
          <w:rtl/>
        </w:rPr>
        <w:t xml:space="preserve"> لمعاهدة هو صك ينشئ حقوقا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والتزامات إضافية لمعاهدة، رهنا</w:t>
      </w:r>
      <w:r w:rsidR="00B82EA2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بتصديق مستقل؛ وقد لا</w:t>
      </w:r>
      <w:r w:rsidR="007D7E54">
        <w:rPr>
          <w:rFonts w:cs="Traditional Arabic" w:hint="eastAsia"/>
          <w:sz w:val="22"/>
          <w:szCs w:val="32"/>
          <w:rtl/>
        </w:rPr>
        <w:t> </w:t>
      </w:r>
      <w:r w:rsidRPr="000A08EF">
        <w:rPr>
          <w:rFonts w:cs="Traditional Arabic" w:hint="cs"/>
          <w:sz w:val="22"/>
          <w:szCs w:val="32"/>
          <w:rtl/>
        </w:rPr>
        <w:t>تقبل كل الأطراف في معاهدة عامة هذا البروتوكول الاختياري. ومن الأمثلة المشهورة البروتوكول الاختياري الملحق بالعهد الدولي الخاص بالحقوق المدنية والسياسية لعام 1966</w:t>
      </w:r>
      <w:r w:rsidR="006A3ADF" w:rsidRPr="000A08EF">
        <w:rPr>
          <w:rFonts w:cs="Traditional Arabic" w:hint="cs"/>
          <w:sz w:val="22"/>
          <w:szCs w:val="32"/>
          <w:rtl/>
        </w:rPr>
        <w:t>.</w:t>
      </w:r>
    </w:p>
    <w:p w14:paraId="71170182" w14:textId="5EC4B123" w:rsidR="00B279F0" w:rsidRPr="000A08EF" w:rsidRDefault="00B279F0" w:rsidP="00C97A3D">
      <w:pPr>
        <w:pStyle w:val="Texte1"/>
        <w:bidi/>
        <w:spacing w:after="200" w:line="240" w:lineRule="auto"/>
        <w:ind w:left="567"/>
        <w:rPr>
          <w:rFonts w:eastAsia="Times New Roman" w:cs="Traditional Arabic"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الديمقراطية التشاركية</w:t>
      </w:r>
      <w:r w:rsidRPr="000A08EF">
        <w:rPr>
          <w:rFonts w:cs="Traditional Arabic" w:hint="cs"/>
          <w:sz w:val="22"/>
          <w:szCs w:val="32"/>
          <w:rtl/>
        </w:rPr>
        <w:t>: اعتقاد سياسي وفلسفي ب</w:t>
      </w:r>
      <w:r w:rsidR="00E21FB4" w:rsidRPr="000A08EF">
        <w:rPr>
          <w:rFonts w:cs="Traditional Arabic" w:hint="cs"/>
          <w:sz w:val="22"/>
          <w:szCs w:val="32"/>
          <w:rtl/>
        </w:rPr>
        <w:t xml:space="preserve">أن </w:t>
      </w:r>
      <w:r w:rsidRPr="000A08EF">
        <w:rPr>
          <w:rFonts w:cs="Traditional Arabic" w:hint="cs"/>
          <w:sz w:val="22"/>
          <w:szCs w:val="32"/>
          <w:rtl/>
        </w:rPr>
        <w:t xml:space="preserve">إشراك المواطنين المعنيين في عمليات </w:t>
      </w:r>
      <w:r w:rsidR="00C97A3D">
        <w:rPr>
          <w:rFonts w:cs="Traditional Arabic" w:hint="cs"/>
          <w:sz w:val="22"/>
          <w:szCs w:val="32"/>
          <w:rtl/>
        </w:rPr>
        <w:t>اتخاذ</w:t>
      </w:r>
      <w:r w:rsidRPr="000A08EF">
        <w:rPr>
          <w:rFonts w:cs="Traditional Arabic" w:hint="cs"/>
          <w:sz w:val="22"/>
          <w:szCs w:val="32"/>
          <w:rtl/>
        </w:rPr>
        <w:t xml:space="preserve"> القرار</w:t>
      </w:r>
      <w:r w:rsidR="00E21FB4" w:rsidRPr="000A08EF">
        <w:rPr>
          <w:rFonts w:cs="Traditional Arabic" w:hint="cs"/>
          <w:sz w:val="22"/>
          <w:szCs w:val="32"/>
          <w:rtl/>
        </w:rPr>
        <w:t>ات</w:t>
      </w:r>
      <w:r w:rsidRPr="000A08EF">
        <w:rPr>
          <w:rFonts w:cs="Traditional Arabic" w:hint="cs"/>
          <w:sz w:val="22"/>
          <w:szCs w:val="32"/>
          <w:rtl/>
        </w:rPr>
        <w:t xml:space="preserve"> الحكومي</w:t>
      </w:r>
      <w:r w:rsidR="00E21FB4" w:rsidRPr="000A08EF">
        <w:rPr>
          <w:rFonts w:cs="Traditional Arabic" w:hint="cs"/>
          <w:sz w:val="22"/>
          <w:szCs w:val="32"/>
          <w:rtl/>
        </w:rPr>
        <w:t>ة</w:t>
      </w:r>
      <w:r w:rsidRPr="000A08EF">
        <w:rPr>
          <w:rFonts w:cs="Traditional Arabic" w:hint="cs"/>
          <w:sz w:val="22"/>
          <w:szCs w:val="32"/>
          <w:rtl/>
        </w:rPr>
        <w:t xml:space="preserve"> أساسي </w:t>
      </w:r>
      <w:r w:rsidR="00E21FB4" w:rsidRPr="000A08EF">
        <w:rPr>
          <w:rFonts w:cs="Traditional Arabic" w:hint="cs"/>
          <w:sz w:val="22"/>
          <w:szCs w:val="32"/>
          <w:rtl/>
        </w:rPr>
        <w:t>ل</w:t>
      </w:r>
      <w:r w:rsidRPr="000A08EF">
        <w:rPr>
          <w:rFonts w:cs="Traditional Arabic" w:hint="cs"/>
          <w:sz w:val="22"/>
          <w:szCs w:val="32"/>
          <w:rtl/>
        </w:rPr>
        <w:t>قيام حكم ديمقراطي.</w:t>
      </w:r>
    </w:p>
    <w:p w14:paraId="1AA1D163" w14:textId="214D46BE" w:rsidR="00B279F0" w:rsidRPr="000A08EF" w:rsidRDefault="00B279F0" w:rsidP="000A08EF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تنفيذ السياسة العامة</w:t>
      </w:r>
      <w:r w:rsidRPr="000A08EF">
        <w:rPr>
          <w:rFonts w:cs="Traditional Arabic" w:hint="cs"/>
          <w:sz w:val="22"/>
          <w:szCs w:val="32"/>
          <w:rtl/>
        </w:rPr>
        <w:t>: عملية سياسية وحكومية عامة لتنفيذ برامج بغية تحقيق أهداف محددة في السياسة العامة؛ وهي مسؤولية تتولاها أساسا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الأجهزة الإدارية.</w:t>
      </w:r>
    </w:p>
    <w:p w14:paraId="4CEA91DD" w14:textId="0CA04A8D" w:rsidR="00B279F0" w:rsidRPr="000A08EF" w:rsidRDefault="00C97A3D" w:rsidP="00C97A3D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sz w:val="22"/>
          <w:szCs w:val="32"/>
          <w:rtl/>
        </w:rPr>
      </w:pPr>
      <w:r>
        <w:rPr>
          <w:rFonts w:cs="Traditional Arabic" w:hint="cs"/>
          <w:bCs/>
          <w:sz w:val="22"/>
          <w:szCs w:val="32"/>
          <w:rtl/>
        </w:rPr>
        <w:t>رسم</w:t>
      </w:r>
      <w:r w:rsidR="00B279F0" w:rsidRPr="000A08EF">
        <w:rPr>
          <w:rFonts w:cs="Traditional Arabic" w:hint="cs"/>
          <w:bCs/>
          <w:sz w:val="22"/>
          <w:szCs w:val="32"/>
          <w:rtl/>
        </w:rPr>
        <w:t xml:space="preserve"> السياس</w:t>
      </w:r>
      <w:r>
        <w:rPr>
          <w:rFonts w:cs="Traditional Arabic" w:hint="cs"/>
          <w:bCs/>
          <w:sz w:val="22"/>
          <w:szCs w:val="32"/>
          <w:rtl/>
        </w:rPr>
        <w:t>ات المناصرة</w:t>
      </w:r>
      <w:r w:rsidR="00B279F0" w:rsidRPr="000A08EF">
        <w:rPr>
          <w:rFonts w:cs="Traditional Arabic" w:hint="cs"/>
          <w:bCs/>
          <w:sz w:val="22"/>
          <w:szCs w:val="32"/>
          <w:rtl/>
        </w:rPr>
        <w:t xml:space="preserve"> للفقراء: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عملية تركز على تصميم السياسة وتنفيذها </w:t>
      </w:r>
      <w:r>
        <w:rPr>
          <w:rFonts w:cs="Traditional Arabic" w:hint="cs"/>
          <w:sz w:val="22"/>
          <w:szCs w:val="32"/>
          <w:rtl/>
        </w:rPr>
        <w:t>بحيث تحقق</w:t>
      </w:r>
      <w:r w:rsidR="00B279F0" w:rsidRPr="000A08EF">
        <w:rPr>
          <w:rFonts w:cs="Traditional Arabic" w:hint="cs"/>
          <w:sz w:val="22"/>
          <w:szCs w:val="32"/>
          <w:rtl/>
        </w:rPr>
        <w:t xml:space="preserve"> أهداف </w:t>
      </w:r>
      <w:r>
        <w:rPr>
          <w:rFonts w:cs="Traditional Arabic" w:hint="cs"/>
          <w:sz w:val="22"/>
          <w:szCs w:val="32"/>
          <w:rtl/>
        </w:rPr>
        <w:t>مناصرة ا</w:t>
      </w:r>
      <w:r w:rsidR="00B279F0" w:rsidRPr="000A08EF">
        <w:rPr>
          <w:rFonts w:cs="Traditional Arabic" w:hint="cs"/>
          <w:sz w:val="22"/>
          <w:szCs w:val="32"/>
          <w:rtl/>
        </w:rPr>
        <w:t>لفقراء (</w:t>
      </w:r>
      <w:r>
        <w:rPr>
          <w:rFonts w:cs="Traditional Arabic" w:hint="cs"/>
          <w:sz w:val="22"/>
          <w:szCs w:val="32"/>
          <w:rtl/>
        </w:rPr>
        <w:t>ال</w:t>
      </w:r>
      <w:r w:rsidR="00B279F0" w:rsidRPr="000A08EF">
        <w:rPr>
          <w:rFonts w:cs="Traditional Arabic" w:hint="cs"/>
          <w:sz w:val="22"/>
          <w:szCs w:val="32"/>
          <w:rtl/>
        </w:rPr>
        <w:t>محددة في الأهداف الإنمائية للألفية).</w:t>
      </w:r>
    </w:p>
    <w:p w14:paraId="5DEAAF63" w14:textId="7BE8F1EB" w:rsidR="00B279F0" w:rsidRPr="000A08EF" w:rsidRDefault="00E55E32" w:rsidP="00C97A3D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مبدأ التناسب:</w:t>
      </w:r>
      <w:r w:rsidRPr="000A08EF">
        <w:rPr>
          <w:rFonts w:cs="Traditional Arabic" w:hint="cs"/>
          <w:sz w:val="22"/>
          <w:szCs w:val="32"/>
          <w:rtl/>
        </w:rPr>
        <w:t xml:space="preserve"> يجب أن يكون نطاق الإجراء متسقا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مع الغرض المنشود</w:t>
      </w:r>
      <w:r w:rsidR="00C97A3D">
        <w:rPr>
          <w:rFonts w:cs="Traditional Arabic" w:hint="cs"/>
          <w:sz w:val="22"/>
          <w:szCs w:val="32"/>
          <w:rtl/>
        </w:rPr>
        <w:t xml:space="preserve"> منه</w:t>
      </w:r>
      <w:r w:rsidRPr="000A08EF">
        <w:rPr>
          <w:rFonts w:cs="Traditional Arabic" w:hint="cs"/>
          <w:sz w:val="22"/>
          <w:szCs w:val="32"/>
          <w:rtl/>
        </w:rPr>
        <w:t xml:space="preserve">. وهذا يعني أنه عندما تتاح لمؤسسة </w:t>
      </w:r>
      <w:r w:rsidR="00C97A3D">
        <w:rPr>
          <w:rFonts w:cs="Traditional Arabic" w:hint="cs"/>
          <w:sz w:val="22"/>
          <w:szCs w:val="32"/>
          <w:rtl/>
        </w:rPr>
        <w:t>سبل</w:t>
      </w:r>
      <w:r w:rsidRPr="000A08EF">
        <w:rPr>
          <w:rFonts w:cs="Traditional Arabic" w:hint="cs"/>
          <w:sz w:val="22"/>
          <w:szCs w:val="32"/>
          <w:rtl/>
        </w:rPr>
        <w:t xml:space="preserve"> تدخل</w:t>
      </w:r>
      <w:r w:rsidR="00C97A3D" w:rsidRPr="00C97A3D">
        <w:rPr>
          <w:rFonts w:cs="Traditional Arabic" w:hint="cs"/>
          <w:sz w:val="22"/>
          <w:szCs w:val="32"/>
          <w:rtl/>
        </w:rPr>
        <w:t xml:space="preserve"> </w:t>
      </w:r>
      <w:r w:rsidR="00C97A3D">
        <w:rPr>
          <w:rFonts w:cs="Traditional Arabic" w:hint="cs"/>
          <w:sz w:val="22"/>
          <w:szCs w:val="32"/>
          <w:rtl/>
        </w:rPr>
        <w:t>متعددة</w:t>
      </w:r>
      <w:r w:rsidRPr="000A08EF">
        <w:rPr>
          <w:rFonts w:cs="Traditional Arabic" w:hint="cs"/>
          <w:sz w:val="22"/>
          <w:szCs w:val="32"/>
          <w:rtl/>
        </w:rPr>
        <w:t>، عليها أن تختار النهج الذي يف</w:t>
      </w:r>
      <w:r w:rsidR="00C97A3D">
        <w:rPr>
          <w:rFonts w:cs="Traditional Arabic" w:hint="cs"/>
          <w:sz w:val="22"/>
          <w:szCs w:val="32"/>
          <w:rtl/>
        </w:rPr>
        <w:t>سح أوسع هامش من ال</w:t>
      </w:r>
      <w:r w:rsidRPr="000A08EF">
        <w:rPr>
          <w:rFonts w:cs="Traditional Arabic" w:hint="cs"/>
          <w:sz w:val="22"/>
          <w:szCs w:val="32"/>
          <w:rtl/>
        </w:rPr>
        <w:t>حرية ل</w:t>
      </w:r>
      <w:r w:rsidR="00C97A3D">
        <w:rPr>
          <w:rFonts w:cs="Traditional Arabic" w:hint="cs"/>
          <w:sz w:val="22"/>
          <w:szCs w:val="32"/>
          <w:rtl/>
        </w:rPr>
        <w:t>سائر لوكالات</w:t>
      </w:r>
      <w:r w:rsidRPr="000A08EF">
        <w:rPr>
          <w:rFonts w:cs="Traditional Arabic" w:hint="cs"/>
          <w:sz w:val="22"/>
          <w:szCs w:val="32"/>
          <w:rtl/>
        </w:rPr>
        <w:t xml:space="preserve">، عندما يكون أثر </w:t>
      </w:r>
      <w:r w:rsidR="00C97A3D">
        <w:rPr>
          <w:rFonts w:cs="Traditional Arabic" w:hint="cs"/>
          <w:sz w:val="22"/>
          <w:szCs w:val="32"/>
          <w:rtl/>
        </w:rPr>
        <w:t xml:space="preserve">عمل تلك الوكالات </w:t>
      </w:r>
      <w:r w:rsidRPr="000A08EF">
        <w:rPr>
          <w:rFonts w:cs="Traditional Arabic" w:hint="cs"/>
          <w:sz w:val="22"/>
          <w:szCs w:val="32"/>
          <w:rtl/>
        </w:rPr>
        <w:t>مماثلا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>.</w:t>
      </w:r>
    </w:p>
    <w:p w14:paraId="0F575C95" w14:textId="093F0AB6" w:rsidR="00B279F0" w:rsidRPr="000A08EF" w:rsidRDefault="00E55E32" w:rsidP="004D0413">
      <w:pPr>
        <w:pStyle w:val="Texte1"/>
        <w:bidi/>
        <w:spacing w:after="200" w:line="240" w:lineRule="auto"/>
        <w:ind w:left="567"/>
        <w:rPr>
          <w:rFonts w:eastAsia="Times New Roman" w:cs="Traditional Arabic"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السياسة العامة:</w:t>
      </w:r>
      <w:r w:rsidRPr="000A08EF">
        <w:rPr>
          <w:rFonts w:cs="Traditional Arabic" w:hint="cs"/>
          <w:sz w:val="22"/>
          <w:szCs w:val="32"/>
          <w:rtl/>
        </w:rPr>
        <w:t xml:space="preserve"> الأهداف والأساليب والمبادئ ال</w:t>
      </w:r>
      <w:r w:rsidR="004D0413">
        <w:rPr>
          <w:rFonts w:cs="Traditional Arabic" w:hint="cs"/>
          <w:sz w:val="22"/>
          <w:szCs w:val="32"/>
          <w:rtl/>
        </w:rPr>
        <w:t>شاملة</w:t>
      </w:r>
      <w:r w:rsidRPr="000A08EF">
        <w:rPr>
          <w:rFonts w:cs="Traditional Arabic" w:hint="cs"/>
          <w:sz w:val="22"/>
          <w:szCs w:val="32"/>
          <w:rtl/>
        </w:rPr>
        <w:t xml:space="preserve"> التي تستخدمها </w:t>
      </w:r>
      <w:r w:rsidR="004D0413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حكومة لتوجيه إجراءات </w:t>
      </w:r>
      <w:r w:rsidR="004D0413">
        <w:rPr>
          <w:rFonts w:cs="Traditional Arabic" w:hint="cs"/>
          <w:sz w:val="22"/>
          <w:szCs w:val="32"/>
          <w:rtl/>
        </w:rPr>
        <w:t>تشمل</w:t>
      </w:r>
      <w:r w:rsidRPr="000A08EF">
        <w:rPr>
          <w:rFonts w:cs="Traditional Arabic" w:hint="cs"/>
          <w:sz w:val="22"/>
          <w:szCs w:val="32"/>
          <w:rtl/>
        </w:rPr>
        <w:t xml:space="preserve"> على سبيل المثال لا الحصر وضع تشريعات أو أنظمة أكثر تحديدا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>. وت</w:t>
      </w:r>
      <w:r w:rsidR="004D0413">
        <w:rPr>
          <w:rFonts w:cs="Traditional Arabic" w:hint="cs"/>
          <w:sz w:val="22"/>
          <w:szCs w:val="32"/>
          <w:rtl/>
        </w:rPr>
        <w:t>ُ</w:t>
      </w:r>
      <w:r w:rsidRPr="000A08EF">
        <w:rPr>
          <w:rFonts w:cs="Traditional Arabic" w:hint="cs"/>
          <w:sz w:val="22"/>
          <w:szCs w:val="32"/>
          <w:rtl/>
        </w:rPr>
        <w:t>ستخدم</w:t>
      </w:r>
      <w:r w:rsidR="004D0413">
        <w:rPr>
          <w:rFonts w:cs="Traditional Arabic" w:hint="cs"/>
          <w:sz w:val="22"/>
          <w:szCs w:val="32"/>
          <w:rtl/>
        </w:rPr>
        <w:t xml:space="preserve"> السياسة العامة</w:t>
      </w:r>
      <w:r w:rsidRPr="000A08EF">
        <w:rPr>
          <w:rFonts w:cs="Traditional Arabic" w:hint="cs"/>
          <w:sz w:val="22"/>
          <w:szCs w:val="32"/>
          <w:rtl/>
        </w:rPr>
        <w:t xml:space="preserve"> أيضا</w:t>
      </w:r>
      <w:r w:rsidR="00F24D62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في وصف مجموعة البرامج التي ت</w:t>
      </w:r>
      <w:r w:rsidR="004D0413">
        <w:rPr>
          <w:rFonts w:cs="Traditional Arabic" w:hint="cs"/>
          <w:sz w:val="22"/>
          <w:szCs w:val="32"/>
          <w:rtl/>
        </w:rPr>
        <w:t>ضع</w:t>
      </w:r>
      <w:r w:rsidRPr="000A08EF">
        <w:rPr>
          <w:rFonts w:cs="Traditional Arabic" w:hint="cs"/>
          <w:sz w:val="22"/>
          <w:szCs w:val="32"/>
          <w:rtl/>
        </w:rPr>
        <w:t>ها الحكومة وتنفذها.</w:t>
      </w:r>
    </w:p>
    <w:p w14:paraId="25877E06" w14:textId="34BB5711" w:rsidR="00B279F0" w:rsidRPr="000A08EF" w:rsidRDefault="00E55E32" w:rsidP="003624AE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lastRenderedPageBreak/>
        <w:t xml:space="preserve">الشراكة بين القطاعين </w:t>
      </w:r>
      <w:r w:rsidR="004D0413" w:rsidRPr="000A08EF">
        <w:rPr>
          <w:rFonts w:cs="Traditional Arabic" w:hint="cs"/>
          <w:b/>
          <w:bCs/>
          <w:sz w:val="22"/>
          <w:szCs w:val="32"/>
          <w:rtl/>
        </w:rPr>
        <w:t xml:space="preserve">الخاص </w:t>
      </w:r>
      <w:r w:rsidR="004D0413">
        <w:rPr>
          <w:rFonts w:cs="Traditional Arabic" w:hint="cs"/>
          <w:b/>
          <w:bCs/>
          <w:sz w:val="22"/>
          <w:szCs w:val="32"/>
          <w:rtl/>
        </w:rPr>
        <w:t>و</w:t>
      </w:r>
      <w:r w:rsidRPr="000A08EF">
        <w:rPr>
          <w:rFonts w:cs="Traditional Arabic" w:hint="cs"/>
          <w:b/>
          <w:bCs/>
          <w:sz w:val="22"/>
          <w:szCs w:val="32"/>
          <w:rtl/>
        </w:rPr>
        <w:t>العام</w:t>
      </w:r>
      <w:r w:rsidRPr="000A08EF">
        <w:rPr>
          <w:rFonts w:cs="Traditional Arabic" w:hint="cs"/>
          <w:sz w:val="22"/>
          <w:szCs w:val="32"/>
          <w:rtl/>
        </w:rPr>
        <w:t xml:space="preserve">: كل أنواع العلاقات ذات الطابع الرسمي بين القطاعين </w:t>
      </w:r>
      <w:r w:rsidR="004D0413" w:rsidRPr="000A08EF">
        <w:rPr>
          <w:rFonts w:cs="Traditional Arabic" w:hint="cs"/>
          <w:sz w:val="22"/>
          <w:szCs w:val="32"/>
          <w:rtl/>
        </w:rPr>
        <w:t xml:space="preserve">الخاص </w:t>
      </w:r>
      <w:r w:rsidR="004D0413"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 xml:space="preserve">العام التي ترمي إلى ضمان تحقيق </w:t>
      </w:r>
      <w:r w:rsidR="004D0413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>أهداف</w:t>
      </w:r>
      <w:r w:rsidR="004D0413">
        <w:rPr>
          <w:rFonts w:cs="Traditional Arabic" w:hint="cs"/>
          <w:sz w:val="22"/>
          <w:szCs w:val="32"/>
          <w:rtl/>
        </w:rPr>
        <w:t xml:space="preserve"> التي </w:t>
      </w:r>
      <w:r w:rsidR="003624AE">
        <w:rPr>
          <w:rFonts w:cs="Traditional Arabic" w:hint="cs"/>
          <w:sz w:val="22"/>
          <w:szCs w:val="32"/>
          <w:rtl/>
        </w:rPr>
        <w:t>تخدم المصلحة العامة، من قبيل البنى</w:t>
      </w:r>
      <w:r w:rsidRPr="000A08EF">
        <w:rPr>
          <w:rFonts w:cs="Traditional Arabic" w:hint="cs"/>
          <w:sz w:val="22"/>
          <w:szCs w:val="32"/>
          <w:rtl/>
        </w:rPr>
        <w:t xml:space="preserve"> التحتية والخدمات، عن طريق التمويل المشترك والتعاون بين السلطات العامة وهيئات القطاع الخاص. وإشراك مؤسسات القطاع الخاص (</w:t>
      </w:r>
      <w:r w:rsidR="003624AE">
        <w:rPr>
          <w:rFonts w:cs="Traditional Arabic" w:hint="cs"/>
          <w:sz w:val="22"/>
          <w:szCs w:val="32"/>
          <w:rtl/>
        </w:rPr>
        <w:t>عبر خدمات الخبراء في مجال</w:t>
      </w:r>
      <w:r w:rsidRPr="000A08EF">
        <w:rPr>
          <w:rFonts w:cs="Traditional Arabic" w:hint="cs"/>
          <w:sz w:val="22"/>
          <w:szCs w:val="32"/>
          <w:rtl/>
        </w:rPr>
        <w:t xml:space="preserve"> الإدارة </w:t>
      </w:r>
      <w:r w:rsidR="003624AE">
        <w:rPr>
          <w:rFonts w:cs="Traditional Arabic" w:hint="cs"/>
          <w:sz w:val="22"/>
          <w:szCs w:val="32"/>
          <w:rtl/>
        </w:rPr>
        <w:t>و/أو المساهمات النقدية) في المش</w:t>
      </w:r>
      <w:r w:rsidRPr="000A08EF">
        <w:rPr>
          <w:rFonts w:cs="Traditional Arabic" w:hint="cs"/>
          <w:sz w:val="22"/>
          <w:szCs w:val="32"/>
          <w:rtl/>
        </w:rPr>
        <w:t>ر</w:t>
      </w:r>
      <w:r w:rsidR="003624AE"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>ع</w:t>
      </w:r>
      <w:r w:rsidR="003624AE">
        <w:rPr>
          <w:rFonts w:cs="Traditional Arabic" w:hint="cs"/>
          <w:sz w:val="22"/>
          <w:szCs w:val="32"/>
          <w:rtl/>
        </w:rPr>
        <w:t>ات</w:t>
      </w:r>
      <w:r w:rsidRPr="000A08EF">
        <w:rPr>
          <w:rFonts w:cs="Traditional Arabic" w:hint="cs"/>
          <w:sz w:val="22"/>
          <w:szCs w:val="32"/>
          <w:rtl/>
        </w:rPr>
        <w:t xml:space="preserve"> الحكومية الرامية </w:t>
      </w:r>
      <w:r w:rsidR="003624AE">
        <w:rPr>
          <w:rFonts w:cs="Traditional Arabic" w:hint="cs"/>
          <w:sz w:val="22"/>
          <w:szCs w:val="32"/>
          <w:rtl/>
        </w:rPr>
        <w:t xml:space="preserve">إلى </w:t>
      </w:r>
      <w:r w:rsidRPr="000A08EF">
        <w:rPr>
          <w:rFonts w:cs="Traditional Arabic" w:hint="cs"/>
          <w:sz w:val="22"/>
          <w:szCs w:val="32"/>
          <w:rtl/>
        </w:rPr>
        <w:t>تحقيق منفعة عامة.</w:t>
      </w:r>
    </w:p>
    <w:p w14:paraId="59FA6101" w14:textId="3680EE20" w:rsidR="00B279F0" w:rsidRPr="000A08EF" w:rsidRDefault="00B279F0" w:rsidP="003624AE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sz w:val="22"/>
          <w:szCs w:val="32"/>
          <w:rtl/>
        </w:rPr>
      </w:pPr>
      <w:r w:rsidRPr="000A08EF">
        <w:rPr>
          <w:rFonts w:cs="Traditional Arabic" w:hint="cs"/>
          <w:bCs/>
          <w:sz w:val="22"/>
          <w:szCs w:val="32"/>
          <w:rtl/>
        </w:rPr>
        <w:t>الدولة ذات السيادة</w:t>
      </w:r>
      <w:r w:rsidR="003624AE">
        <w:rPr>
          <w:rFonts w:cs="Traditional Arabic" w:hint="cs"/>
          <w:b/>
          <w:sz w:val="22"/>
          <w:szCs w:val="32"/>
          <w:rtl/>
        </w:rPr>
        <w:t>: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3624AE" w:rsidRPr="000A08EF">
        <w:rPr>
          <w:rFonts w:cs="Traditional Arabic" w:hint="cs"/>
          <w:sz w:val="22"/>
          <w:szCs w:val="32"/>
          <w:rtl/>
        </w:rPr>
        <w:t xml:space="preserve">تعد الدولة ذات السيادة </w:t>
      </w:r>
      <w:r w:rsidRPr="000A08EF">
        <w:rPr>
          <w:rFonts w:cs="Traditional Arabic" w:hint="cs"/>
          <w:sz w:val="22"/>
          <w:szCs w:val="32"/>
          <w:rtl/>
        </w:rPr>
        <w:t>في القانون الدولي كيانا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6A3ADF" w:rsidRPr="000A08EF">
        <w:rPr>
          <w:rFonts w:cs="Traditional Arabic" w:hint="cs"/>
          <w:sz w:val="22"/>
          <w:szCs w:val="32"/>
          <w:rtl/>
        </w:rPr>
        <w:t>اعتباريا</w:t>
      </w:r>
      <w:r w:rsidR="007D7E54">
        <w:rPr>
          <w:rFonts w:cs="Traditional Arabic" w:hint="cs"/>
          <w:sz w:val="22"/>
          <w:szCs w:val="32"/>
          <w:rtl/>
        </w:rPr>
        <w:t>ً</w:t>
      </w:r>
      <w:r w:rsidRPr="000A08EF">
        <w:rPr>
          <w:rFonts w:cs="Traditional Arabic" w:hint="cs"/>
          <w:sz w:val="22"/>
          <w:szCs w:val="32"/>
          <w:rtl/>
        </w:rPr>
        <w:t xml:space="preserve"> غير مادي تمثله حكومة مركزية لها السيادة على منطقة جغرافية</w:t>
      </w:r>
      <w:r w:rsidR="003624AE">
        <w:rPr>
          <w:rFonts w:cs="Traditional Arabic" w:hint="cs"/>
          <w:sz w:val="22"/>
          <w:szCs w:val="32"/>
          <w:rtl/>
        </w:rPr>
        <w:t xml:space="preserve"> محددة</w:t>
      </w:r>
      <w:r w:rsidRPr="000A08EF">
        <w:rPr>
          <w:rFonts w:cs="Traditional Arabic" w:hint="cs"/>
          <w:sz w:val="22"/>
          <w:szCs w:val="32"/>
          <w:rtl/>
        </w:rPr>
        <w:t>.</w:t>
      </w:r>
    </w:p>
    <w:p w14:paraId="75683F5F" w14:textId="2BE1CCBB" w:rsidR="00B279F0" w:rsidRPr="000A08EF" w:rsidRDefault="003624AE" w:rsidP="00243CAC">
      <w:pPr>
        <w:pStyle w:val="Texte1"/>
        <w:bidi/>
        <w:spacing w:after="200" w:line="240" w:lineRule="auto"/>
        <w:ind w:left="567"/>
        <w:rPr>
          <w:rFonts w:eastAsia="Times New Roman" w:cs="Traditional Arabic"/>
          <w:bCs/>
          <w:sz w:val="22"/>
          <w:szCs w:val="32"/>
          <w:rtl/>
        </w:rPr>
      </w:pPr>
      <w:r>
        <w:rPr>
          <w:rFonts w:cs="Traditional Arabic" w:hint="cs"/>
          <w:bCs/>
          <w:sz w:val="22"/>
          <w:szCs w:val="32"/>
          <w:rtl/>
        </w:rPr>
        <w:t>تفويض السلطات</w:t>
      </w:r>
      <w:r w:rsidR="00B279F0" w:rsidRPr="000A08EF">
        <w:rPr>
          <w:rFonts w:cs="Traditional Arabic" w:hint="cs"/>
          <w:b/>
          <w:sz w:val="22"/>
          <w:szCs w:val="32"/>
          <w:rtl/>
        </w:rPr>
        <w:t>:</w:t>
      </w:r>
      <w:r w:rsidR="00B279F0" w:rsidRPr="000A08EF">
        <w:rPr>
          <w:rFonts w:cs="Traditional Arabic" w:hint="cs"/>
          <w:sz w:val="22"/>
          <w:szCs w:val="32"/>
          <w:rtl/>
        </w:rPr>
        <w:t xml:space="preserve"> </w:t>
      </w:r>
      <w:r>
        <w:rPr>
          <w:rFonts w:cs="Traditional Arabic" w:hint="cs"/>
          <w:sz w:val="22"/>
          <w:szCs w:val="32"/>
          <w:rtl/>
        </w:rPr>
        <w:t xml:space="preserve">يُقصد بهذا المصطلح مبدأ </w:t>
      </w:r>
      <w:r w:rsidR="00243CAC">
        <w:rPr>
          <w:rFonts w:cs="Traditional Arabic" w:hint="cs"/>
          <w:sz w:val="22"/>
          <w:szCs w:val="32"/>
          <w:rtl/>
        </w:rPr>
        <w:t>اضطلاع</w:t>
      </w:r>
      <w:r>
        <w:rPr>
          <w:rFonts w:cs="Traditional Arabic" w:hint="cs"/>
          <w:sz w:val="22"/>
          <w:szCs w:val="32"/>
          <w:rtl/>
        </w:rPr>
        <w:t xml:space="preserve"> </w:t>
      </w:r>
      <w:r w:rsidR="00A56C2A" w:rsidRPr="000A08EF">
        <w:rPr>
          <w:rFonts w:cs="Traditional Arabic" w:hint="cs"/>
          <w:sz w:val="22"/>
          <w:szCs w:val="32"/>
          <w:rtl/>
        </w:rPr>
        <w:t>ال</w:t>
      </w:r>
      <w:r w:rsidR="00B279F0" w:rsidRPr="000A08EF">
        <w:rPr>
          <w:rFonts w:cs="Traditional Arabic" w:hint="cs"/>
          <w:sz w:val="22"/>
          <w:szCs w:val="32"/>
          <w:rtl/>
        </w:rPr>
        <w:t xml:space="preserve">سلطة </w:t>
      </w:r>
      <w:r w:rsidR="00A56C2A" w:rsidRPr="000A08EF">
        <w:rPr>
          <w:rFonts w:cs="Traditional Arabic" w:hint="cs"/>
          <w:sz w:val="22"/>
          <w:szCs w:val="32"/>
          <w:rtl/>
        </w:rPr>
        <w:t>ال</w:t>
      </w:r>
      <w:r w:rsidR="00B279F0" w:rsidRPr="000A08EF">
        <w:rPr>
          <w:rFonts w:cs="Traditional Arabic" w:hint="cs"/>
          <w:sz w:val="22"/>
          <w:szCs w:val="32"/>
          <w:rtl/>
        </w:rPr>
        <w:t xml:space="preserve">مركزية </w:t>
      </w:r>
      <w:r w:rsidR="00243CAC">
        <w:rPr>
          <w:rFonts w:cs="Traditional Arabic" w:hint="cs"/>
          <w:sz w:val="22"/>
          <w:szCs w:val="32"/>
          <w:rtl/>
        </w:rPr>
        <w:t xml:space="preserve">بوظيفة ثانوية فحسب بحيث </w:t>
      </w:r>
      <w:r w:rsidR="00B279F0" w:rsidRPr="000A08EF">
        <w:rPr>
          <w:rFonts w:cs="Traditional Arabic" w:hint="cs"/>
          <w:sz w:val="22"/>
          <w:szCs w:val="32"/>
          <w:rtl/>
        </w:rPr>
        <w:t>لا</w:t>
      </w:r>
      <w:r w:rsidR="007D7E54">
        <w:rPr>
          <w:rFonts w:cs="Traditional Arabic" w:hint="eastAsia"/>
          <w:sz w:val="22"/>
          <w:szCs w:val="32"/>
          <w:rtl/>
        </w:rPr>
        <w:t> </w:t>
      </w:r>
      <w:r w:rsidR="00B279F0" w:rsidRPr="000A08EF">
        <w:rPr>
          <w:rFonts w:cs="Traditional Arabic" w:hint="cs"/>
          <w:sz w:val="22"/>
          <w:szCs w:val="32"/>
          <w:rtl/>
        </w:rPr>
        <w:t>تمارس إلا المهام التي لا يمكن ممارستها بفعالية على مستوى مباشر أو على مستوى محلي.</w:t>
      </w:r>
    </w:p>
    <w:p w14:paraId="3B5421D0" w14:textId="50C58D1C" w:rsidR="00B279F0" w:rsidRPr="000A08EF" w:rsidRDefault="00B279F0" w:rsidP="00243CAC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المعاهدة (القانون الدولي):</w:t>
      </w:r>
      <w:r w:rsidRPr="000A08EF">
        <w:rPr>
          <w:rFonts w:cs="Traditional Arabic" w:hint="cs"/>
          <w:sz w:val="22"/>
          <w:szCs w:val="32"/>
          <w:rtl/>
        </w:rPr>
        <w:t xml:space="preserve"> يضم لفظا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معاهدة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و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اتفاق دولي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جملة واسعة من الصكوك، </w:t>
      </w:r>
      <w:r w:rsidR="00243CAC">
        <w:rPr>
          <w:rFonts w:cs="Traditional Arabic" w:hint="cs"/>
          <w:sz w:val="22"/>
          <w:szCs w:val="32"/>
          <w:rtl/>
        </w:rPr>
        <w:t>ومن</w:t>
      </w:r>
      <w:r w:rsidRPr="000A08EF">
        <w:rPr>
          <w:rFonts w:cs="Traditional Arabic" w:hint="cs"/>
          <w:sz w:val="22"/>
          <w:szCs w:val="32"/>
          <w:rtl/>
        </w:rPr>
        <w:t xml:space="preserve">ها </w:t>
      </w:r>
      <w:r w:rsidR="00A56C2A" w:rsidRPr="000A08EF">
        <w:rPr>
          <w:rFonts w:cs="Traditional Arabic" w:hint="cs"/>
          <w:sz w:val="22"/>
          <w:szCs w:val="32"/>
          <w:rtl/>
        </w:rPr>
        <w:t>التعهدات</w:t>
      </w:r>
      <w:r w:rsidRPr="000A08EF">
        <w:rPr>
          <w:rFonts w:cs="Traditional Arabic" w:hint="cs"/>
          <w:sz w:val="22"/>
          <w:szCs w:val="32"/>
          <w:rtl/>
        </w:rPr>
        <w:t xml:space="preserve"> الانفرادية. وعادة ما يُحتفظ بمصطلح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معاهدة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للمسائل التي تتسم بقدر من الخطورة وتستلزم اتفاقات </w:t>
      </w:r>
      <w:r w:rsidR="00A56C2A" w:rsidRPr="000A08EF">
        <w:rPr>
          <w:rFonts w:cs="Traditional Arabic" w:hint="cs"/>
          <w:sz w:val="22"/>
          <w:szCs w:val="32"/>
          <w:rtl/>
        </w:rPr>
        <w:t>أكثر اتساما</w:t>
      </w:r>
      <w:r w:rsidR="007D7E54">
        <w:rPr>
          <w:rFonts w:cs="Traditional Arabic" w:hint="cs"/>
          <w:sz w:val="22"/>
          <w:szCs w:val="32"/>
          <w:rtl/>
        </w:rPr>
        <w:t>ً</w:t>
      </w:r>
      <w:r w:rsidR="00A56C2A" w:rsidRPr="000A08EF">
        <w:rPr>
          <w:rFonts w:cs="Traditional Arabic" w:hint="cs"/>
          <w:sz w:val="22"/>
          <w:szCs w:val="32"/>
          <w:rtl/>
        </w:rPr>
        <w:t xml:space="preserve"> بالطابع ال</w:t>
      </w:r>
      <w:r w:rsidRPr="000A08EF">
        <w:rPr>
          <w:rFonts w:cs="Traditional Arabic" w:hint="cs"/>
          <w:sz w:val="22"/>
          <w:szCs w:val="32"/>
          <w:rtl/>
        </w:rPr>
        <w:t>رسمي.</w:t>
      </w:r>
    </w:p>
    <w:p w14:paraId="25A1FD9C" w14:textId="462BA458" w:rsidR="007F185D" w:rsidRPr="000A08EF" w:rsidRDefault="007F185D" w:rsidP="0092525C">
      <w:pPr>
        <w:pStyle w:val="Texte1"/>
        <w:bidi/>
        <w:spacing w:after="200" w:line="240" w:lineRule="auto"/>
        <w:ind w:left="567"/>
        <w:rPr>
          <w:rFonts w:eastAsia="Times New Roman" w:cs="Traditional Arabic"/>
          <w:b/>
          <w:bCs/>
          <w:sz w:val="22"/>
          <w:szCs w:val="32"/>
          <w:rtl/>
        </w:rPr>
      </w:pPr>
      <w:r w:rsidRPr="000A08EF">
        <w:rPr>
          <w:rFonts w:cs="Traditional Arabic" w:hint="cs"/>
          <w:b/>
          <w:bCs/>
          <w:sz w:val="22"/>
          <w:szCs w:val="32"/>
          <w:rtl/>
        </w:rPr>
        <w:t>الموقعون والأطراف:</w:t>
      </w:r>
      <w:r w:rsidRPr="000A08EF">
        <w:rPr>
          <w:rFonts w:cs="Traditional Arabic" w:hint="cs"/>
          <w:sz w:val="22"/>
          <w:szCs w:val="32"/>
          <w:rtl/>
        </w:rPr>
        <w:t xml:space="preserve"> يشمل </w:t>
      </w:r>
      <w:r w:rsidR="00A56C2A" w:rsidRPr="000A08EF">
        <w:rPr>
          <w:rFonts w:cs="Traditional Arabic" w:hint="cs"/>
          <w:sz w:val="22"/>
          <w:szCs w:val="32"/>
          <w:rtl/>
        </w:rPr>
        <w:t>مصطلح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الأطراف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ال</w:t>
      </w:r>
      <w:r w:rsidR="00A56C2A" w:rsidRPr="000A08EF">
        <w:rPr>
          <w:rFonts w:cs="Traditional Arabic" w:hint="cs"/>
          <w:sz w:val="22"/>
          <w:szCs w:val="32"/>
          <w:rtl/>
        </w:rPr>
        <w:t>ذ</w:t>
      </w:r>
      <w:r w:rsidRPr="000A08EF">
        <w:rPr>
          <w:rFonts w:cs="Traditional Arabic" w:hint="cs"/>
          <w:sz w:val="22"/>
          <w:szCs w:val="32"/>
          <w:rtl/>
        </w:rPr>
        <w:t xml:space="preserve">ي </w:t>
      </w:r>
      <w:r w:rsidR="00A56C2A" w:rsidRPr="000A08EF">
        <w:rPr>
          <w:rFonts w:cs="Traditional Arabic" w:hint="cs"/>
          <w:sz w:val="22"/>
          <w:szCs w:val="32"/>
          <w:rtl/>
        </w:rPr>
        <w:t>ي</w:t>
      </w:r>
      <w:r w:rsidRPr="000A08EF">
        <w:rPr>
          <w:rFonts w:cs="Traditional Arabic" w:hint="cs"/>
          <w:sz w:val="22"/>
          <w:szCs w:val="32"/>
          <w:rtl/>
        </w:rPr>
        <w:t xml:space="preserve">رد في مقدمة كل معاهدة، وفي </w:t>
      </w:r>
      <w:r w:rsidR="0092525C">
        <w:rPr>
          <w:rFonts w:cs="Traditional Arabic" w:hint="cs"/>
          <w:sz w:val="22"/>
          <w:szCs w:val="32"/>
          <w:rtl/>
        </w:rPr>
        <w:t>البيان الخاص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92525C">
        <w:rPr>
          <w:rFonts w:cs="Traditional Arabic" w:hint="cs"/>
          <w:sz w:val="22"/>
          <w:szCs w:val="32"/>
          <w:rtl/>
        </w:rPr>
        <w:t>ب</w:t>
      </w:r>
      <w:r w:rsidRPr="000A08EF">
        <w:rPr>
          <w:rFonts w:cs="Traditional Arabic" w:hint="cs"/>
          <w:sz w:val="22"/>
          <w:szCs w:val="32"/>
          <w:rtl/>
        </w:rPr>
        <w:t>المعاهدات المتعددة الأطراف المودعة لدى الأمين العام،</w:t>
      </w:r>
      <w:r w:rsidR="00243CAC">
        <w:rPr>
          <w:rFonts w:cs="Traditional Arabic" w:hint="cs"/>
          <w:sz w:val="22"/>
          <w:szCs w:val="32"/>
          <w:rtl/>
        </w:rPr>
        <w:t xml:space="preserve">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الدول المتعاقدة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و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الأطراف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. </w:t>
      </w:r>
      <w:r w:rsidR="00243CAC">
        <w:rPr>
          <w:rFonts w:cs="Traditional Arabic" w:hint="cs"/>
          <w:sz w:val="22"/>
          <w:szCs w:val="32"/>
          <w:rtl/>
        </w:rPr>
        <w:t>و</w:t>
      </w:r>
      <w:r w:rsidRPr="000A08EF">
        <w:rPr>
          <w:rFonts w:cs="Traditional Arabic" w:hint="cs"/>
          <w:sz w:val="22"/>
          <w:szCs w:val="32"/>
          <w:rtl/>
        </w:rPr>
        <w:t xml:space="preserve">يقصد بمصطلح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الدول المتعاقدة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243CAC" w:rsidRPr="000A08EF">
        <w:rPr>
          <w:rFonts w:cs="Traditional Arabic" w:hint="cs"/>
          <w:sz w:val="22"/>
          <w:szCs w:val="32"/>
          <w:rtl/>
        </w:rPr>
        <w:t xml:space="preserve">بصفة </w:t>
      </w:r>
      <w:r w:rsidR="00243CAC">
        <w:rPr>
          <w:rFonts w:cs="Traditional Arabic" w:hint="cs"/>
          <w:sz w:val="22"/>
          <w:szCs w:val="32"/>
          <w:rtl/>
        </w:rPr>
        <w:t>عامة</w:t>
      </w:r>
      <w:r w:rsidR="00243CAC" w:rsidRPr="000A08EF">
        <w:rPr>
          <w:rFonts w:cs="Traditional Arabic" w:hint="cs"/>
          <w:sz w:val="22"/>
          <w:szCs w:val="32"/>
          <w:rtl/>
        </w:rPr>
        <w:t xml:space="preserve"> </w:t>
      </w:r>
      <w:r w:rsidRPr="000A08EF">
        <w:rPr>
          <w:rFonts w:cs="Traditional Arabic" w:hint="cs"/>
          <w:sz w:val="22"/>
          <w:szCs w:val="32"/>
          <w:rtl/>
        </w:rPr>
        <w:t>الدول و</w:t>
      </w:r>
      <w:r w:rsidR="00243CAC">
        <w:rPr>
          <w:rFonts w:cs="Traditional Arabic" w:hint="cs"/>
          <w:sz w:val="22"/>
          <w:szCs w:val="32"/>
          <w:rtl/>
        </w:rPr>
        <w:t xml:space="preserve">غيرها من </w:t>
      </w:r>
      <w:r w:rsidRPr="000A08EF">
        <w:rPr>
          <w:rFonts w:cs="Traditional Arabic" w:hint="cs"/>
          <w:sz w:val="22"/>
          <w:szCs w:val="32"/>
          <w:rtl/>
        </w:rPr>
        <w:t xml:space="preserve">الكيانات التي </w:t>
      </w:r>
      <w:r w:rsidR="00243CAC">
        <w:rPr>
          <w:rFonts w:cs="Traditional Arabic" w:hint="cs"/>
          <w:sz w:val="22"/>
          <w:szCs w:val="32"/>
          <w:rtl/>
        </w:rPr>
        <w:t>لدي</w:t>
      </w:r>
      <w:r w:rsidRPr="000A08EF">
        <w:rPr>
          <w:rFonts w:cs="Traditional Arabic" w:hint="cs"/>
          <w:sz w:val="22"/>
          <w:szCs w:val="32"/>
          <w:rtl/>
        </w:rPr>
        <w:t xml:space="preserve">ها </w:t>
      </w:r>
      <w:r w:rsidR="00243CAC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أهلية </w:t>
      </w:r>
      <w:r w:rsidR="00243CAC">
        <w:rPr>
          <w:rFonts w:cs="Traditional Arabic" w:hint="cs"/>
          <w:sz w:val="22"/>
          <w:szCs w:val="32"/>
          <w:rtl/>
        </w:rPr>
        <w:t>ل</w:t>
      </w:r>
      <w:r w:rsidRPr="000A08EF">
        <w:rPr>
          <w:rFonts w:cs="Traditional Arabic" w:hint="cs"/>
          <w:sz w:val="22"/>
          <w:szCs w:val="32"/>
          <w:rtl/>
        </w:rPr>
        <w:t>إبرام المعاهدا</w:t>
      </w:r>
      <w:r w:rsidR="00A56C2A" w:rsidRPr="000A08EF">
        <w:rPr>
          <w:rFonts w:cs="Traditional Arabic" w:hint="cs"/>
          <w:sz w:val="22"/>
          <w:szCs w:val="32"/>
          <w:rtl/>
        </w:rPr>
        <w:t>ت</w:t>
      </w:r>
      <w:r w:rsidRPr="000A08EF">
        <w:rPr>
          <w:rFonts w:cs="Traditional Arabic" w:hint="cs"/>
          <w:sz w:val="22"/>
          <w:szCs w:val="32"/>
          <w:rtl/>
        </w:rPr>
        <w:t xml:space="preserve"> والتي أعربت عن </w:t>
      </w:r>
      <w:r w:rsidR="00243CAC">
        <w:rPr>
          <w:rFonts w:cs="Traditional Arabic" w:hint="cs"/>
          <w:sz w:val="22"/>
          <w:szCs w:val="32"/>
          <w:rtl/>
        </w:rPr>
        <w:t>موافقتها على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243CAC">
        <w:rPr>
          <w:rFonts w:cs="Traditional Arabic" w:hint="cs"/>
          <w:sz w:val="22"/>
          <w:szCs w:val="32"/>
          <w:rtl/>
        </w:rPr>
        <w:t>ا</w:t>
      </w:r>
      <w:r w:rsidRPr="000A08EF">
        <w:rPr>
          <w:rFonts w:cs="Traditional Arabic" w:hint="cs"/>
          <w:sz w:val="22"/>
          <w:szCs w:val="32"/>
          <w:rtl/>
        </w:rPr>
        <w:t xml:space="preserve">لالتزام </w:t>
      </w:r>
      <w:r w:rsidR="00243CAC">
        <w:rPr>
          <w:rFonts w:cs="Traditional Arabic" w:hint="cs"/>
          <w:sz w:val="22"/>
          <w:szCs w:val="32"/>
          <w:rtl/>
        </w:rPr>
        <w:t xml:space="preserve">بمعاهدة </w:t>
      </w:r>
      <w:r w:rsidR="00A56C2A" w:rsidRPr="000A08EF">
        <w:rPr>
          <w:rFonts w:cs="Traditional Arabic" w:hint="cs"/>
          <w:sz w:val="22"/>
          <w:szCs w:val="32"/>
          <w:rtl/>
        </w:rPr>
        <w:t>غير نافذة بعدُ</w:t>
      </w:r>
      <w:r w:rsidRPr="000A08EF">
        <w:rPr>
          <w:rFonts w:cs="Traditional Arabic" w:hint="cs"/>
          <w:sz w:val="22"/>
          <w:szCs w:val="32"/>
          <w:rtl/>
        </w:rPr>
        <w:t xml:space="preserve"> أو لم تدخل حيز النفاذ </w:t>
      </w:r>
      <w:r w:rsidR="00E21230">
        <w:rPr>
          <w:rFonts w:cs="Traditional Arabic" w:hint="cs"/>
          <w:sz w:val="22"/>
          <w:szCs w:val="32"/>
          <w:rtl/>
        </w:rPr>
        <w:t>فيما يتعلق</w:t>
      </w:r>
      <w:r w:rsidRPr="000A08EF">
        <w:rPr>
          <w:rFonts w:cs="Traditional Arabic" w:hint="cs"/>
          <w:sz w:val="22"/>
          <w:szCs w:val="32"/>
          <w:rtl/>
        </w:rPr>
        <w:t xml:space="preserve"> </w:t>
      </w:r>
      <w:r w:rsidR="00E21230">
        <w:rPr>
          <w:rFonts w:cs="Traditional Arabic" w:hint="cs"/>
          <w:sz w:val="22"/>
          <w:szCs w:val="32"/>
          <w:rtl/>
        </w:rPr>
        <w:t>ب</w:t>
      </w:r>
      <w:r w:rsidRPr="000A08EF">
        <w:rPr>
          <w:rFonts w:cs="Traditional Arabic" w:hint="cs"/>
          <w:sz w:val="22"/>
          <w:szCs w:val="32"/>
          <w:rtl/>
        </w:rPr>
        <w:t>تلك الدول والكيانات؛ ويقصد بـ</w:t>
      </w:r>
      <w:r w:rsidR="00243CAC">
        <w:rPr>
          <w:rFonts w:cs="Traditional Arabic" w:hint="cs"/>
          <w:sz w:val="22"/>
          <w:szCs w:val="32"/>
          <w:rtl/>
        </w:rPr>
        <w:t xml:space="preserve">مصطلح 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>الأطراف</w:t>
      </w:r>
      <w:r w:rsidR="007D7E54">
        <w:rPr>
          <w:rFonts w:cs="Traditional Arabic" w:hint="cs"/>
          <w:sz w:val="22"/>
          <w:szCs w:val="32"/>
          <w:rtl/>
        </w:rPr>
        <w:t>"</w:t>
      </w:r>
      <w:r w:rsidRPr="000A08EF">
        <w:rPr>
          <w:rFonts w:cs="Traditional Arabic" w:hint="cs"/>
          <w:sz w:val="22"/>
          <w:szCs w:val="32"/>
          <w:rtl/>
        </w:rPr>
        <w:t xml:space="preserve"> الدول و</w:t>
      </w:r>
      <w:r w:rsidR="00243CAC">
        <w:rPr>
          <w:rFonts w:cs="Traditional Arabic" w:hint="cs"/>
          <w:sz w:val="22"/>
          <w:szCs w:val="32"/>
          <w:rtl/>
        </w:rPr>
        <w:t xml:space="preserve">غيرها من </w:t>
      </w:r>
      <w:r w:rsidRPr="000A08EF">
        <w:rPr>
          <w:rFonts w:cs="Traditional Arabic" w:hint="cs"/>
          <w:sz w:val="22"/>
          <w:szCs w:val="32"/>
          <w:rtl/>
        </w:rPr>
        <w:t xml:space="preserve">الكيانات التي </w:t>
      </w:r>
      <w:r w:rsidR="00243CAC">
        <w:rPr>
          <w:rFonts w:cs="Traditional Arabic" w:hint="cs"/>
          <w:sz w:val="22"/>
          <w:szCs w:val="32"/>
          <w:rtl/>
        </w:rPr>
        <w:t>لدي</w:t>
      </w:r>
      <w:r w:rsidRPr="000A08EF">
        <w:rPr>
          <w:rFonts w:cs="Traditional Arabic" w:hint="cs"/>
          <w:sz w:val="22"/>
          <w:szCs w:val="32"/>
          <w:rtl/>
        </w:rPr>
        <w:t xml:space="preserve">ها </w:t>
      </w:r>
      <w:r w:rsidR="00243CAC">
        <w:rPr>
          <w:rFonts w:cs="Traditional Arabic" w:hint="cs"/>
          <w:sz w:val="22"/>
          <w:szCs w:val="32"/>
          <w:rtl/>
        </w:rPr>
        <w:t>ال</w:t>
      </w:r>
      <w:r w:rsidRPr="000A08EF">
        <w:rPr>
          <w:rFonts w:cs="Traditional Arabic" w:hint="cs"/>
          <w:sz w:val="22"/>
          <w:szCs w:val="32"/>
          <w:rtl/>
        </w:rPr>
        <w:t xml:space="preserve">أهلية </w:t>
      </w:r>
      <w:r w:rsidR="00243CAC">
        <w:rPr>
          <w:rFonts w:cs="Traditional Arabic" w:hint="cs"/>
          <w:sz w:val="22"/>
          <w:szCs w:val="32"/>
          <w:rtl/>
        </w:rPr>
        <w:t>ل</w:t>
      </w:r>
      <w:r w:rsidRPr="000A08EF">
        <w:rPr>
          <w:rFonts w:cs="Traditional Arabic" w:hint="cs"/>
          <w:sz w:val="22"/>
          <w:szCs w:val="32"/>
          <w:rtl/>
        </w:rPr>
        <w:t xml:space="preserve">إبرام المعاهدات والتي أعربت عن </w:t>
      </w:r>
      <w:r w:rsidR="00243CAC">
        <w:rPr>
          <w:rFonts w:cs="Traditional Arabic" w:hint="cs"/>
          <w:sz w:val="22"/>
          <w:szCs w:val="32"/>
          <w:rtl/>
        </w:rPr>
        <w:t>موافقتها على</w:t>
      </w:r>
      <w:r w:rsidRPr="000A08EF">
        <w:rPr>
          <w:rFonts w:cs="Traditional Arabic" w:hint="cs"/>
          <w:sz w:val="22"/>
          <w:szCs w:val="32"/>
          <w:rtl/>
        </w:rPr>
        <w:t xml:space="preserve"> الالتزام بمعاهد</w:t>
      </w:r>
      <w:r w:rsidR="00A56C2A" w:rsidRPr="000A08EF">
        <w:rPr>
          <w:rFonts w:cs="Traditional Arabic" w:hint="cs"/>
          <w:sz w:val="22"/>
          <w:szCs w:val="32"/>
          <w:rtl/>
        </w:rPr>
        <w:t>ة</w:t>
      </w:r>
      <w:r w:rsidRPr="000A08EF">
        <w:rPr>
          <w:rFonts w:cs="Traditional Arabic" w:hint="cs"/>
          <w:sz w:val="22"/>
          <w:szCs w:val="32"/>
          <w:rtl/>
        </w:rPr>
        <w:t xml:space="preserve"> نافذة </w:t>
      </w:r>
      <w:r w:rsidR="00E21230">
        <w:rPr>
          <w:rFonts w:cs="Traditional Arabic" w:hint="cs"/>
          <w:sz w:val="22"/>
          <w:szCs w:val="32"/>
          <w:rtl/>
        </w:rPr>
        <w:t>فيما يتعلق</w:t>
      </w:r>
      <w:r w:rsidR="00243CAC" w:rsidRPr="000A08EF">
        <w:rPr>
          <w:rFonts w:cs="Traditional Arabic" w:hint="cs"/>
          <w:sz w:val="22"/>
          <w:szCs w:val="32"/>
          <w:rtl/>
        </w:rPr>
        <w:t xml:space="preserve"> </w:t>
      </w:r>
      <w:r w:rsidR="00E21230">
        <w:rPr>
          <w:rFonts w:cs="Traditional Arabic" w:hint="cs"/>
          <w:sz w:val="22"/>
          <w:szCs w:val="32"/>
          <w:rtl/>
        </w:rPr>
        <w:t>ب</w:t>
      </w:r>
      <w:r w:rsidRPr="000A08EF">
        <w:rPr>
          <w:rFonts w:cs="Traditional Arabic" w:hint="cs"/>
          <w:sz w:val="22"/>
          <w:szCs w:val="32"/>
          <w:rtl/>
        </w:rPr>
        <w:t>تلك الدول والكيانات.</w:t>
      </w:r>
    </w:p>
    <w:p w14:paraId="528B035E" w14:textId="695A4A63" w:rsidR="00D441DC" w:rsidRPr="000A08EF" w:rsidRDefault="00D441DC" w:rsidP="00E21230">
      <w:pPr>
        <w:pStyle w:val="Heading4"/>
        <w:tabs>
          <w:tab w:val="clear" w:pos="567"/>
        </w:tabs>
        <w:bidi/>
        <w:snapToGrid/>
        <w:spacing w:before="0" w:after="200"/>
        <w:jc w:val="left"/>
        <w:rPr>
          <w:rFonts w:ascii="Arial" w:eastAsia="SimSun" w:hAnsi="Arial" w:cs="Traditional Arabic"/>
          <w:b/>
          <w:bCs/>
          <w:i w:val="0"/>
          <w:iCs w:val="0"/>
          <w:caps/>
          <w:snapToGrid/>
          <w:color w:val="auto"/>
          <w:szCs w:val="32"/>
          <w:rtl/>
        </w:rPr>
      </w:pPr>
      <w:r w:rsidRPr="000A08EF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>المص</w:t>
      </w:r>
      <w:r w:rsidR="00E21230">
        <w:rPr>
          <w:rFonts w:ascii="Arial" w:hAnsi="Arial" w:cs="Traditional Arabic" w:hint="cs"/>
          <w:b/>
          <w:bCs/>
          <w:i w:val="0"/>
          <w:iCs w:val="0"/>
          <w:caps/>
          <w:snapToGrid/>
          <w:color w:val="auto"/>
          <w:szCs w:val="32"/>
          <w:rtl/>
        </w:rPr>
        <w:t>دران</w:t>
      </w:r>
    </w:p>
    <w:p w14:paraId="3A0D01BE" w14:textId="7DE89962" w:rsidR="003C0AE9" w:rsidRPr="000A08EF" w:rsidRDefault="00D441DC" w:rsidP="000A08EF">
      <w:pPr>
        <w:pStyle w:val="ListParagraph"/>
        <w:numPr>
          <w:ilvl w:val="0"/>
          <w:numId w:val="5"/>
        </w:numPr>
        <w:spacing w:before="0" w:after="200"/>
        <w:jc w:val="left"/>
        <w:rPr>
          <w:rFonts w:eastAsia="Times New Roman" w:cs="Traditional Arabic"/>
          <w:snapToGrid/>
          <w:szCs w:val="32"/>
          <w:rtl/>
        </w:rPr>
      </w:pPr>
      <w:r w:rsidRPr="000A08EF">
        <w:rPr>
          <w:rFonts w:cs="Traditional Arabic"/>
          <w:snapToGrid/>
          <w:szCs w:val="32"/>
        </w:rPr>
        <w:t xml:space="preserve">UN Public Administration Glossary </w:t>
      </w:r>
      <w:hyperlink r:id="rId8" w:history="1">
        <w:r w:rsidRPr="000A08EF">
          <w:rPr>
            <w:rFonts w:cs="Traditional Arabic"/>
            <w:snapToGrid/>
            <w:szCs w:val="32"/>
          </w:rPr>
          <w:t>http://www.unpan.org/DPADM/ProductsServices/Glossary/tabid/1395/language/en-US/Default.aspx</w:t>
        </w:r>
      </w:hyperlink>
    </w:p>
    <w:p w14:paraId="2008B2A3" w14:textId="5F514E2B" w:rsidR="00583689" w:rsidRPr="000A08EF" w:rsidRDefault="00583689" w:rsidP="000A08EF">
      <w:pPr>
        <w:pStyle w:val="ListParagraph"/>
        <w:numPr>
          <w:ilvl w:val="0"/>
          <w:numId w:val="5"/>
        </w:numPr>
        <w:spacing w:before="0" w:after="200"/>
        <w:jc w:val="left"/>
        <w:rPr>
          <w:rFonts w:eastAsia="Times New Roman" w:cs="Traditional Arabic"/>
          <w:snapToGrid/>
          <w:szCs w:val="32"/>
          <w:rtl/>
        </w:rPr>
      </w:pPr>
      <w:r w:rsidRPr="000A08EF">
        <w:rPr>
          <w:rFonts w:cs="Traditional Arabic"/>
          <w:snapToGrid/>
          <w:szCs w:val="32"/>
        </w:rPr>
        <w:t xml:space="preserve">Definition of key terms used in the UN Treaty Collection </w:t>
      </w:r>
      <w:hyperlink r:id="rId9" w:history="1">
        <w:r w:rsidRPr="000A08EF">
          <w:rPr>
            <w:rFonts w:cs="Traditional Arabic"/>
            <w:snapToGrid/>
            <w:szCs w:val="32"/>
          </w:rPr>
          <w:t>https://treaties.un.org/Pages/overview.aspx?path=overview/definition/page1_en.xml</w:t>
        </w:r>
      </w:hyperlink>
    </w:p>
    <w:sectPr w:rsidR="00583689" w:rsidRPr="000A08EF" w:rsidSect="000A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8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560A" w14:textId="77777777" w:rsidR="00E276E5" w:rsidRDefault="00E276E5" w:rsidP="00B4064F">
      <w:pPr>
        <w:spacing w:after="0"/>
      </w:pPr>
      <w:r>
        <w:separator/>
      </w:r>
    </w:p>
  </w:endnote>
  <w:endnote w:type="continuationSeparator" w:id="0">
    <w:p w14:paraId="3F004C40" w14:textId="77777777" w:rsidR="00E276E5" w:rsidRDefault="00E276E5" w:rsidP="00B40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A08EF" w14:paraId="0F0416F0" w14:textId="77777777" w:rsidTr="000A08EF">
      <w:tc>
        <w:tcPr>
          <w:tcW w:w="1667" w:type="pct"/>
          <w:vAlign w:val="center"/>
          <w:hideMark/>
        </w:tcPr>
        <w:p w14:paraId="5F669F63" w14:textId="77777777" w:rsidR="000A08EF" w:rsidRDefault="000A08EF" w:rsidP="000A08EF">
          <w:pPr>
            <w:tabs>
              <w:tab w:val="clear" w:pos="567"/>
              <w:tab w:val="left" w:pos="708"/>
            </w:tabs>
            <w:bidi/>
            <w:spacing w:before="0" w:after="60" w:line="216" w:lineRule="auto"/>
            <w:jc w:val="left"/>
            <w:rPr>
              <w:snapToGrid/>
              <w:sz w:val="18"/>
              <w:szCs w:val="18"/>
              <w:lang w:val="en-GB"/>
            </w:rPr>
          </w:pPr>
          <w:r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sz w:val="18"/>
              <w:szCs w:val="18"/>
            </w:rPr>
            <w:t>2-AR</w:t>
          </w:r>
        </w:p>
      </w:tc>
      <w:tc>
        <w:tcPr>
          <w:tcW w:w="1667" w:type="pct"/>
          <w:vAlign w:val="center"/>
          <w:hideMark/>
        </w:tcPr>
        <w:p w14:paraId="7EFD81B6" w14:textId="0C8FC05F" w:rsidR="000A08EF" w:rsidRDefault="000A08EF" w:rsidP="000A08EF">
          <w:pPr>
            <w:tabs>
              <w:tab w:val="clear" w:pos="567"/>
              <w:tab w:val="left" w:pos="708"/>
            </w:tabs>
            <w:bidi/>
            <w:spacing w:before="0" w:after="60" w:line="216" w:lineRule="auto"/>
            <w:jc w:val="center"/>
            <w:rPr>
              <w:rFonts w:ascii="Traditional Arabic" w:hAnsi="Traditional Arabic" w:cs="Traditional Arabic"/>
              <w:sz w:val="32"/>
              <w:szCs w:val="32"/>
              <w:lang w:val="en-GB" w:bidi="ar-SY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80768" behindDoc="0" locked="0" layoutInCell="1" allowOverlap="1" wp14:anchorId="1F13216B" wp14:editId="3A5C9368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5E6620C5" w14:textId="01C398A7" w:rsidR="000A08EF" w:rsidRDefault="000A08EF" w:rsidP="000A08EF">
          <w:pPr>
            <w:tabs>
              <w:tab w:val="clear" w:pos="567"/>
              <w:tab w:val="left" w:pos="708"/>
            </w:tabs>
            <w:bidi/>
            <w:spacing w:before="0" w:after="60" w:line="216" w:lineRule="auto"/>
            <w:jc w:val="left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1792" behindDoc="0" locked="0" layoutInCell="1" allowOverlap="1" wp14:anchorId="3BF5CA82" wp14:editId="00A2D49F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4" name="Image 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FC03C83" w14:textId="77777777" w:rsidR="003E2772" w:rsidRPr="000A08EF" w:rsidRDefault="003E2772" w:rsidP="000A08EF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961FC1" w14:paraId="364FFFF2" w14:textId="77777777" w:rsidTr="00961FC1">
      <w:tc>
        <w:tcPr>
          <w:tcW w:w="1667" w:type="pct"/>
          <w:vAlign w:val="center"/>
          <w:hideMark/>
        </w:tcPr>
        <w:p w14:paraId="23729C34" w14:textId="77777777" w:rsidR="00961FC1" w:rsidRDefault="00961FC1" w:rsidP="00961FC1">
          <w:pPr>
            <w:tabs>
              <w:tab w:val="clear" w:pos="567"/>
              <w:tab w:val="left" w:pos="708"/>
            </w:tabs>
            <w:bidi/>
            <w:spacing w:before="0" w:after="60" w:line="216" w:lineRule="auto"/>
            <w:jc w:val="left"/>
            <w:rPr>
              <w:snapToGrid/>
              <w:sz w:val="18"/>
              <w:szCs w:val="18"/>
              <w:lang w:val="en-GB"/>
            </w:rPr>
          </w:pPr>
          <w:r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sz w:val="18"/>
              <w:szCs w:val="18"/>
            </w:rPr>
            <w:t>2-AR</w:t>
          </w:r>
        </w:p>
      </w:tc>
      <w:tc>
        <w:tcPr>
          <w:tcW w:w="1667" w:type="pct"/>
          <w:vAlign w:val="center"/>
          <w:hideMark/>
        </w:tcPr>
        <w:p w14:paraId="7EDF4E8E" w14:textId="1757F76A" w:rsidR="00961FC1" w:rsidRDefault="00961FC1" w:rsidP="00961FC1">
          <w:pPr>
            <w:tabs>
              <w:tab w:val="clear" w:pos="567"/>
              <w:tab w:val="left" w:pos="708"/>
            </w:tabs>
            <w:bidi/>
            <w:spacing w:before="0" w:after="60" w:line="216" w:lineRule="auto"/>
            <w:jc w:val="center"/>
            <w:rPr>
              <w:rFonts w:ascii="Traditional Arabic" w:hAnsi="Traditional Arabic" w:cs="Traditional Arabic"/>
              <w:sz w:val="32"/>
              <w:szCs w:val="32"/>
              <w:lang w:val="en-GB" w:bidi="ar-SY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83840" behindDoc="0" locked="0" layoutInCell="1" allowOverlap="1" wp14:anchorId="415E4EE6" wp14:editId="3D1CDD06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57D58B5B" w14:textId="444B2DF5" w:rsidR="00961FC1" w:rsidRDefault="00961FC1" w:rsidP="00961FC1">
          <w:pPr>
            <w:tabs>
              <w:tab w:val="clear" w:pos="567"/>
              <w:tab w:val="left" w:pos="708"/>
            </w:tabs>
            <w:bidi/>
            <w:spacing w:before="0" w:after="60" w:line="216" w:lineRule="auto"/>
            <w:jc w:val="left"/>
            <w:rPr>
              <w:rFonts w:ascii="Traditional Arabic" w:hAnsi="Traditional Arabic" w:cs="Traditional Arabic"/>
              <w:sz w:val="32"/>
              <w:szCs w:val="32"/>
              <w:lang w:val="en-GB" w:bidi="ar-SY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84864" behindDoc="0" locked="0" layoutInCell="1" allowOverlap="1" wp14:anchorId="5A0596AF" wp14:editId="0BA7ED6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6" name="Image 6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547D67" w14:textId="30706D92" w:rsidR="003E2772" w:rsidRPr="005E0B92" w:rsidRDefault="003E2772" w:rsidP="00961FC1">
    <w:pPr>
      <w:tabs>
        <w:tab w:val="clear" w:pos="567"/>
      </w:tabs>
      <w:bidi/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A08EF" w:rsidRPr="001F7228" w14:paraId="32A0D93E" w14:textId="77777777" w:rsidTr="00624200">
      <w:tc>
        <w:tcPr>
          <w:tcW w:w="1667" w:type="pct"/>
          <w:vAlign w:val="center"/>
          <w:hideMark/>
        </w:tcPr>
        <w:p w14:paraId="581F75BB" w14:textId="5733B891" w:rsidR="000A08EF" w:rsidRPr="001F7228" w:rsidRDefault="000A08EF" w:rsidP="000A08EF">
          <w:pPr>
            <w:tabs>
              <w:tab w:val="clear" w:pos="567"/>
            </w:tabs>
            <w:bidi/>
            <w:spacing w:before="0" w:after="60" w:line="216" w:lineRule="auto"/>
            <w:jc w:val="left"/>
            <w:rPr>
              <w:sz w:val="18"/>
              <w:szCs w:val="18"/>
              <w:lang w:val="en-GB"/>
            </w:rPr>
          </w:pPr>
          <w:r w:rsidRPr="001F7228"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sz w:val="18"/>
              <w:szCs w:val="18"/>
            </w:rPr>
            <w:t>2</w:t>
          </w:r>
          <w:r w:rsidRPr="001F7228">
            <w:rPr>
              <w:sz w:val="18"/>
              <w:szCs w:val="18"/>
            </w:rPr>
            <w:t>-AR</w:t>
          </w:r>
        </w:p>
      </w:tc>
      <w:tc>
        <w:tcPr>
          <w:tcW w:w="1667" w:type="pct"/>
          <w:vAlign w:val="center"/>
          <w:hideMark/>
        </w:tcPr>
        <w:p w14:paraId="49F46186" w14:textId="77777777" w:rsidR="000A08EF" w:rsidRPr="001F7228" w:rsidRDefault="000A08EF" w:rsidP="000A08EF">
          <w:pPr>
            <w:tabs>
              <w:tab w:val="clear" w:pos="567"/>
            </w:tabs>
            <w:bidi/>
            <w:spacing w:before="0" w:after="60" w:line="216" w:lineRule="auto"/>
            <w:jc w:val="center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 w:rsidRPr="001F7228">
            <w:rPr>
              <w:rFonts w:ascii="Calibri" w:eastAsia="Calibri" w:hAnsi="Calibri" w:cs="Traditional Arabic"/>
              <w:noProof/>
              <w:sz w:val="20"/>
              <w:szCs w:val="20"/>
              <w:rtl/>
              <w:lang w:val="fr-FR" w:eastAsia="ja-JP"/>
            </w:rPr>
            <w:drawing>
              <wp:anchor distT="0" distB="0" distL="114300" distR="114300" simplePos="0" relativeHeight="251677696" behindDoc="0" locked="0" layoutInCell="1" allowOverlap="1" wp14:anchorId="5FBAF17E" wp14:editId="21CF640A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3F4E1C4F" w14:textId="77777777" w:rsidR="000A08EF" w:rsidRPr="001F7228" w:rsidRDefault="000A08EF" w:rsidP="000A08EF">
          <w:pPr>
            <w:tabs>
              <w:tab w:val="clear" w:pos="567"/>
            </w:tabs>
            <w:bidi/>
            <w:spacing w:before="0" w:after="60" w:line="216" w:lineRule="auto"/>
            <w:jc w:val="left"/>
            <w:rPr>
              <w:rFonts w:ascii="Traditional Arabic" w:hAnsi="Traditional Arabic" w:cs="Traditional Arabic"/>
              <w:sz w:val="32"/>
              <w:szCs w:val="32"/>
              <w:rtl/>
              <w:lang w:val="en-GB" w:bidi="ar-SY"/>
            </w:rPr>
          </w:pPr>
          <w:r w:rsidRPr="001F7228">
            <w:rPr>
              <w:rFonts w:ascii="Calibri" w:eastAsia="Calibri" w:hAnsi="Calibri" w:cs="Traditional Arabic"/>
              <w:noProof/>
              <w:sz w:val="20"/>
              <w:szCs w:val="20"/>
              <w:rtl/>
              <w:lang w:val="fr-FR" w:eastAsia="ja-JP"/>
            </w:rPr>
            <w:drawing>
              <wp:anchor distT="0" distB="0" distL="114300" distR="114300" simplePos="0" relativeHeight="251678720" behindDoc="0" locked="0" layoutInCell="1" allowOverlap="1" wp14:anchorId="2C3D9160" wp14:editId="50FEDD2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14" name="Image 1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023928" w14:textId="4F96BF79" w:rsidR="003E2772" w:rsidRPr="000A08EF" w:rsidRDefault="003E2772" w:rsidP="000A08EF">
    <w:pPr>
      <w:pStyle w:val="Footer"/>
      <w:tabs>
        <w:tab w:val="clear" w:pos="4513"/>
        <w:tab w:val="clear" w:pos="9026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3D0C" w14:textId="77777777" w:rsidR="00E276E5" w:rsidRDefault="00E276E5" w:rsidP="00091839">
      <w:pPr>
        <w:bidi/>
        <w:spacing w:after="0"/>
      </w:pPr>
      <w:r>
        <w:separator/>
      </w:r>
    </w:p>
  </w:footnote>
  <w:footnote w:type="continuationSeparator" w:id="0">
    <w:p w14:paraId="78CE0CD2" w14:textId="77777777" w:rsidR="00E276E5" w:rsidRDefault="00E276E5" w:rsidP="00B4064F">
      <w:pPr>
        <w:spacing w:after="0"/>
      </w:pPr>
      <w:r>
        <w:continuationSeparator/>
      </w:r>
    </w:p>
  </w:footnote>
  <w:footnote w:id="1">
    <w:p w14:paraId="306B38C2" w14:textId="38A8F2E9" w:rsidR="00091839" w:rsidRPr="00091839" w:rsidRDefault="00091839" w:rsidP="00091839">
      <w:pPr>
        <w:pStyle w:val="FootnoteText"/>
        <w:bidi/>
        <w:spacing w:before="0" w:line="204" w:lineRule="auto"/>
        <w:ind w:left="397" w:hanging="397"/>
        <w:rPr>
          <w:rFonts w:ascii="Arial" w:hAnsi="Arial" w:cs="Traditional Arabic"/>
          <w:sz w:val="18"/>
          <w:szCs w:val="26"/>
          <w:rtl/>
        </w:rPr>
      </w:pPr>
      <w:r w:rsidRPr="00091839">
        <w:rPr>
          <w:rStyle w:val="FootnoteReference"/>
          <w:rFonts w:ascii="Arial" w:hAnsi="Arial" w:cs="Traditional Arabic"/>
          <w:sz w:val="18"/>
          <w:szCs w:val="26"/>
        </w:rPr>
        <w:footnoteRef/>
      </w:r>
      <w:r w:rsidRPr="00091839">
        <w:rPr>
          <w:rFonts w:ascii="Arial" w:hAnsi="Arial" w:cs="Traditional Arabic"/>
          <w:sz w:val="18"/>
          <w:szCs w:val="26"/>
          <w:rtl/>
        </w:rPr>
        <w:tab/>
      </w:r>
      <w:proofErr w:type="spellStart"/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>Antons</w:t>
      </w:r>
      <w:proofErr w:type="spellEnd"/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 xml:space="preserve">,  C. ‘Asian Borderlands and the Legal Protection of Traditional Knowledge and Traditional Cultural Expressions’, Modern Asian Studies, Volume 47, Issue 04, July 2013, pp.1403-1433 </w:t>
      </w:r>
      <w:hyperlink r:id="rId1" w:history="1">
        <w:r w:rsidRPr="00091839">
          <w:rPr>
            <w:rStyle w:val="FootnoteReference"/>
            <w:rFonts w:ascii="Arial" w:hAnsi="Arial" w:cs="Traditional Arabic"/>
            <w:sz w:val="18"/>
            <w:szCs w:val="26"/>
            <w:vertAlign w:val="baseline"/>
          </w:rPr>
          <w:t>http://dro.deakin.edu.au/eserv/DU:30054576/antons-asianborderlands-2013.pdf</w:t>
        </w:r>
      </w:hyperlink>
    </w:p>
  </w:footnote>
  <w:footnote w:id="2">
    <w:p w14:paraId="364EDA3F" w14:textId="762478DD" w:rsidR="00091839" w:rsidRPr="00091839" w:rsidRDefault="00091839" w:rsidP="00091839">
      <w:pPr>
        <w:pStyle w:val="FootnoteText"/>
        <w:tabs>
          <w:tab w:val="left" w:pos="284"/>
        </w:tabs>
        <w:bidi/>
        <w:spacing w:before="0" w:line="204" w:lineRule="auto"/>
        <w:ind w:left="397" w:hanging="397"/>
        <w:rPr>
          <w:rFonts w:ascii="Arial" w:hAnsi="Arial" w:cs="Traditional Arabic"/>
          <w:sz w:val="18"/>
          <w:szCs w:val="26"/>
          <w:rtl/>
          <w:lang w:val="fr-FR"/>
        </w:rPr>
      </w:pPr>
      <w:r w:rsidRPr="00091839">
        <w:rPr>
          <w:rStyle w:val="FootnoteReference"/>
          <w:rFonts w:ascii="Arial" w:hAnsi="Arial" w:cs="Traditional Arabic"/>
          <w:sz w:val="18"/>
          <w:szCs w:val="26"/>
        </w:rPr>
        <w:footnoteRef/>
      </w:r>
      <w:r w:rsidRPr="00091839">
        <w:rPr>
          <w:rFonts w:ascii="Arial" w:hAnsi="Arial" w:cs="Traditional Arabic"/>
          <w:sz w:val="18"/>
          <w:szCs w:val="26"/>
          <w:lang w:val="fr-FR"/>
        </w:rPr>
        <w:tab/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 xml:space="preserve">Gilbert, J. 2011. </w:t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  <w:rtl/>
        </w:rPr>
        <w:t>‘</w:t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>Indigenous peoples’ human rights in Africa: the pragmatic revolution of the African Commission on Human and People’s Rights</w:t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  <w:rtl/>
        </w:rPr>
        <w:t xml:space="preserve">’. </w:t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>International and Comparative Law Quarterly, 60, pp.245-270.</w:t>
      </w:r>
    </w:p>
  </w:footnote>
  <w:footnote w:id="3">
    <w:p w14:paraId="7EDEA585" w14:textId="46F85A7B" w:rsidR="00091839" w:rsidRPr="00091839" w:rsidRDefault="00091839" w:rsidP="00091839">
      <w:pPr>
        <w:pStyle w:val="FootnoteText"/>
        <w:bidi/>
        <w:spacing w:before="0" w:line="204" w:lineRule="auto"/>
        <w:ind w:left="397" w:hanging="397"/>
        <w:rPr>
          <w:rFonts w:ascii="Arial" w:hAnsi="Arial" w:cs="Traditional Arabic"/>
          <w:sz w:val="18"/>
          <w:szCs w:val="26"/>
          <w:rtl/>
          <w:lang w:val="fr-FR"/>
        </w:rPr>
      </w:pPr>
      <w:r w:rsidRPr="00091839">
        <w:rPr>
          <w:rStyle w:val="FootnoteReference"/>
          <w:rFonts w:ascii="Arial" w:hAnsi="Arial" w:cs="Traditional Arabic"/>
          <w:sz w:val="18"/>
          <w:szCs w:val="26"/>
        </w:rPr>
        <w:footnoteRef/>
      </w:r>
      <w:r w:rsidRPr="00091839">
        <w:rPr>
          <w:rFonts w:ascii="Arial" w:hAnsi="Arial" w:cs="Traditional Arabic"/>
          <w:sz w:val="18"/>
          <w:szCs w:val="26"/>
          <w:lang w:val="fr-FR"/>
        </w:rPr>
        <w:tab/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 xml:space="preserve">Report of the African Commission’s Working Group of Experts on Indigenous Populations/Communities 2005 cited in Gilbert, J. 2011. </w:t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  <w:rtl/>
        </w:rPr>
        <w:t>‘</w:t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</w:rPr>
        <w:t>Indigenous peoples’ human rights in Africa’, p.250</w:t>
      </w:r>
    </w:p>
  </w:footnote>
  <w:footnote w:id="4">
    <w:p w14:paraId="157C3042" w14:textId="28EC8556" w:rsidR="00091839" w:rsidRDefault="00091839" w:rsidP="00091839">
      <w:pPr>
        <w:pStyle w:val="FootnoteText"/>
        <w:bidi/>
        <w:spacing w:before="0" w:line="204" w:lineRule="auto"/>
        <w:ind w:left="397" w:hanging="397"/>
        <w:rPr>
          <w:rFonts w:ascii="Arial" w:hAnsi="Arial" w:cs="Traditional Arabic"/>
          <w:sz w:val="18"/>
          <w:szCs w:val="26"/>
          <w:rtl/>
          <w:lang w:val="fr-FR"/>
        </w:rPr>
      </w:pPr>
      <w:r w:rsidRPr="00091839">
        <w:rPr>
          <w:rStyle w:val="FootnoteReference"/>
          <w:rFonts w:ascii="Arial" w:hAnsi="Arial" w:cs="Traditional Arabic"/>
          <w:sz w:val="18"/>
          <w:szCs w:val="26"/>
        </w:rPr>
        <w:footnoteRef/>
      </w:r>
      <w:r w:rsidRPr="00091839">
        <w:rPr>
          <w:rFonts w:ascii="Arial" w:hAnsi="Arial" w:cs="Traditional Arabic"/>
          <w:sz w:val="18"/>
          <w:szCs w:val="26"/>
          <w:lang w:val="fr-FR"/>
        </w:rPr>
        <w:tab/>
      </w:r>
      <w:r w:rsidRPr="00091839">
        <w:rPr>
          <w:rStyle w:val="FootnoteReference"/>
          <w:rFonts w:ascii="Arial" w:hAnsi="Arial" w:cs="Traditional Arabic"/>
          <w:sz w:val="18"/>
          <w:szCs w:val="26"/>
          <w:vertAlign w:val="baseline"/>
          <w:rtl/>
        </w:rPr>
        <w:t>انظر</w:t>
      </w:r>
      <w:hyperlink r:id="rId2" w:history="1">
        <w:r w:rsidRPr="00091839">
          <w:rPr>
            <w:rStyle w:val="FootnoteReference"/>
            <w:rFonts w:ascii="Arial" w:hAnsi="Arial" w:cs="Traditional Arabic"/>
            <w:sz w:val="18"/>
            <w:szCs w:val="26"/>
            <w:vertAlign w:val="baseline"/>
          </w:rPr>
          <w:t>http://www.ohchr.org/EN/Issues/Minorities/Pages/internationallaw.aspx</w:t>
        </w:r>
      </w:hyperlink>
      <w:r>
        <w:rPr>
          <w:rFonts w:ascii="Arial" w:hAnsi="Arial" w:cs="Traditional Arabic" w:hint="cs"/>
          <w:sz w:val="18"/>
          <w:szCs w:val="26"/>
          <w:rtl/>
          <w:lang w:val="fr-FR"/>
        </w:rPr>
        <w:t>.</w:t>
      </w:r>
    </w:p>
    <w:p w14:paraId="14C40B03" w14:textId="77777777" w:rsidR="00091839" w:rsidRPr="00091839" w:rsidRDefault="00091839" w:rsidP="00091839">
      <w:pPr>
        <w:pStyle w:val="FootnoteText"/>
        <w:bidi/>
        <w:spacing w:before="0" w:line="204" w:lineRule="auto"/>
        <w:ind w:left="397" w:hanging="397"/>
        <w:rPr>
          <w:rFonts w:ascii="Arial" w:hAnsi="Arial" w:cs="Traditional Arabic"/>
          <w:sz w:val="18"/>
          <w:szCs w:val="26"/>
          <w:rtl/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2"/>
      <w:bidiVisual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0A08EF" w14:paraId="72E85302" w14:textId="77777777" w:rsidTr="000A08EF">
      <w:trPr>
        <w:jc w:val="center"/>
      </w:trPr>
      <w:tc>
        <w:tcPr>
          <w:tcW w:w="1294" w:type="pct"/>
          <w:vAlign w:val="center"/>
          <w:hideMark/>
        </w:tcPr>
        <w:p w14:paraId="0019B845" w14:textId="6ABE5BBF" w:rsidR="000A08EF" w:rsidRDefault="000A08EF" w:rsidP="000A08EF">
          <w:pPr>
            <w:tabs>
              <w:tab w:val="clear" w:pos="567"/>
              <w:tab w:val="left" w:pos="708"/>
            </w:tabs>
            <w:snapToGrid/>
            <w:spacing w:before="60" w:after="200" w:line="256" w:lineRule="auto"/>
            <w:jc w:val="right"/>
            <w:rPr>
              <w:rFonts w:eastAsia="Calibri"/>
              <w:snapToGrid/>
              <w:sz w:val="20"/>
              <w:szCs w:val="20"/>
              <w:lang w:val="it-IT" w:eastAsia="en-US"/>
            </w:rPr>
          </w:pPr>
          <w:r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4A2D31">
            <w:rPr>
              <w:rFonts w:eastAsia="Calibri"/>
              <w:noProof/>
              <w:sz w:val="20"/>
              <w:szCs w:val="20"/>
              <w:lang w:val="it-IT" w:eastAsia="en-US"/>
            </w:rPr>
            <w:t>4</w:t>
          </w:r>
          <w:r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75BED8CC" w14:textId="77777777" w:rsidR="000A08EF" w:rsidRDefault="000A08EF" w:rsidP="000A08EF">
          <w:pPr>
            <w:tabs>
              <w:tab w:val="clear" w:pos="567"/>
              <w:tab w:val="left" w:pos="708"/>
            </w:tabs>
            <w:bidi/>
            <w:snapToGrid/>
            <w:spacing w:before="0" w:after="0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>
            <w:rPr>
              <w:rFonts w:cs="Traditional Arabic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359010FC" w14:textId="067EA53B" w:rsidR="000A08EF" w:rsidRDefault="000A08EF" w:rsidP="000A08EF">
          <w:pPr>
            <w:tabs>
              <w:tab w:val="clear" w:pos="567"/>
              <w:tab w:val="left" w:pos="708"/>
            </w:tabs>
            <w:bidi/>
            <w:snapToGrid/>
            <w:spacing w:before="0" w:after="0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>
            <w:rPr>
              <w:rFonts w:cs="Traditional Arabic"/>
              <w:sz w:val="16"/>
              <w:szCs w:val="22"/>
              <w:rtl/>
            </w:rPr>
            <w:t xml:space="preserve">المطبوع المعد للتوزيع رقم </w:t>
          </w:r>
          <w:r>
            <w:rPr>
              <w:rFonts w:cs="Traditional Arabic" w:hint="cs"/>
              <w:sz w:val="16"/>
              <w:szCs w:val="22"/>
              <w:rtl/>
            </w:rPr>
            <w:t>2</w:t>
          </w:r>
        </w:p>
      </w:tc>
    </w:tr>
  </w:tbl>
  <w:p w14:paraId="563D7179" w14:textId="2F9AD434" w:rsidR="003E2772" w:rsidRPr="005E0B92" w:rsidRDefault="003E2772" w:rsidP="000A08EF">
    <w:pPr>
      <w:tabs>
        <w:tab w:val="clear" w:pos="567"/>
      </w:tabs>
      <w:bidi/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2"/>
      <w:bidiVisual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0A08EF" w:rsidRPr="000A08EF" w14:paraId="2B3FDE95" w14:textId="77777777" w:rsidTr="00624200">
      <w:trPr>
        <w:jc w:val="center"/>
      </w:trPr>
      <w:tc>
        <w:tcPr>
          <w:tcW w:w="1294" w:type="pct"/>
          <w:vAlign w:val="center"/>
        </w:tcPr>
        <w:p w14:paraId="0E0CA28C" w14:textId="48BC8B1C" w:rsidR="000A08EF" w:rsidRPr="000A08EF" w:rsidRDefault="000A08EF" w:rsidP="000A08EF">
          <w:pPr>
            <w:tabs>
              <w:tab w:val="clear" w:pos="567"/>
            </w:tabs>
            <w:snapToGrid/>
            <w:spacing w:before="60" w:after="200"/>
            <w:jc w:val="right"/>
            <w:rPr>
              <w:rFonts w:eastAsia="Calibri"/>
              <w:sz w:val="20"/>
              <w:szCs w:val="20"/>
              <w:rtl/>
              <w:lang w:val="it-IT" w:eastAsia="en-US"/>
            </w:rPr>
          </w:pPr>
          <w:r w:rsidRPr="000A08EF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0A08EF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0A08EF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4A2D31">
            <w:rPr>
              <w:rFonts w:eastAsia="Calibri"/>
              <w:noProof/>
              <w:sz w:val="20"/>
              <w:szCs w:val="20"/>
              <w:lang w:val="it-IT" w:eastAsia="en-US"/>
            </w:rPr>
            <w:t>3</w:t>
          </w:r>
          <w:r w:rsidRPr="000A08EF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</w:tcPr>
        <w:p w14:paraId="15C47D40" w14:textId="77777777" w:rsidR="000A08EF" w:rsidRPr="000A08EF" w:rsidRDefault="000A08EF" w:rsidP="000A08EF">
          <w:pPr>
            <w:tabs>
              <w:tab w:val="clear" w:pos="567"/>
            </w:tabs>
            <w:bidi/>
            <w:snapToGrid/>
            <w:spacing w:before="0" w:after="0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0A08EF">
            <w:rPr>
              <w:rFonts w:cs="Traditional Arabic" w:hint="cs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</w:tcPr>
        <w:p w14:paraId="2E05B00E" w14:textId="56F597D0" w:rsidR="000A08EF" w:rsidRPr="000A08EF" w:rsidRDefault="000A08EF" w:rsidP="000A08EF">
          <w:pPr>
            <w:tabs>
              <w:tab w:val="clear" w:pos="567"/>
            </w:tabs>
            <w:bidi/>
            <w:snapToGrid/>
            <w:spacing w:before="0" w:after="0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0A08EF">
            <w:rPr>
              <w:rFonts w:cs="Traditional Arabic" w:hint="cs"/>
              <w:sz w:val="16"/>
              <w:szCs w:val="22"/>
              <w:rtl/>
            </w:rPr>
            <w:t xml:space="preserve">المطبوع المعد للتوزيع رقم </w:t>
          </w:r>
          <w:r>
            <w:rPr>
              <w:rFonts w:cs="Traditional Arabic" w:hint="cs"/>
              <w:sz w:val="16"/>
              <w:szCs w:val="22"/>
              <w:rtl/>
            </w:rPr>
            <w:t>2</w:t>
          </w:r>
        </w:p>
      </w:tc>
    </w:tr>
  </w:tbl>
  <w:p w14:paraId="71000447" w14:textId="419CAD3F" w:rsidR="003E2772" w:rsidRPr="000A08EF" w:rsidRDefault="003E2772" w:rsidP="000A08EF">
    <w:pPr>
      <w:pStyle w:val="Header"/>
      <w:tabs>
        <w:tab w:val="clear" w:pos="4513"/>
        <w:tab w:val="clear" w:pos="9026"/>
      </w:tabs>
      <w:spacing w:after="120"/>
      <w:rPr>
        <w:szCs w:val="22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29CB" w14:textId="76596445" w:rsidR="003E2772" w:rsidRPr="000A08EF" w:rsidRDefault="000A08EF" w:rsidP="000A08EF">
    <w:pPr>
      <w:pStyle w:val="Header"/>
      <w:tabs>
        <w:tab w:val="clear" w:pos="4513"/>
        <w:tab w:val="clear" w:pos="9026"/>
      </w:tabs>
      <w:bidi/>
      <w:snapToGrid/>
      <w:spacing w:after="200" w:line="276" w:lineRule="auto"/>
      <w:jc w:val="center"/>
      <w:rPr>
        <w:rFonts w:ascii="Traditional Arabic" w:eastAsia="Calibri" w:hAnsi="Traditional Arabic" w:cs="Traditional Arabic"/>
        <w:color w:val="000000" w:themeColor="text1"/>
        <w:sz w:val="24"/>
        <w:rtl/>
        <w:lang w:val="it-IT" w:eastAsia="en-US" w:bidi="ar-OM"/>
      </w:rPr>
    </w:pPr>
    <w:r>
      <w:rPr>
        <w:rFonts w:ascii="Traditional Arabic" w:eastAsia="Calibri" w:hAnsi="Traditional Arabic" w:cs="Traditional Arabic" w:hint="cs"/>
        <w:color w:val="000000" w:themeColor="text1"/>
        <w:sz w:val="24"/>
        <w:rtl/>
        <w:lang w:val="it-IT" w:eastAsia="en-US" w:bidi="ar-OM"/>
      </w:rPr>
      <w:t>المطبوع المعد للتوزيع رقم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11F"/>
    <w:multiLevelType w:val="hybridMultilevel"/>
    <w:tmpl w:val="C82E1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91"/>
    <w:rsid w:val="00003644"/>
    <w:rsid w:val="000274D8"/>
    <w:rsid w:val="0008355F"/>
    <w:rsid w:val="00091839"/>
    <w:rsid w:val="000A08EF"/>
    <w:rsid w:val="000D0F33"/>
    <w:rsid w:val="000E2A09"/>
    <w:rsid w:val="000F54FE"/>
    <w:rsid w:val="001015C1"/>
    <w:rsid w:val="001D62BF"/>
    <w:rsid w:val="001E3A2C"/>
    <w:rsid w:val="00243CAC"/>
    <w:rsid w:val="00244456"/>
    <w:rsid w:val="003102FB"/>
    <w:rsid w:val="003624AE"/>
    <w:rsid w:val="00363584"/>
    <w:rsid w:val="003C0AE9"/>
    <w:rsid w:val="003E2772"/>
    <w:rsid w:val="004A2D31"/>
    <w:rsid w:val="004D0413"/>
    <w:rsid w:val="004E1A91"/>
    <w:rsid w:val="00515F5D"/>
    <w:rsid w:val="00583689"/>
    <w:rsid w:val="005D5548"/>
    <w:rsid w:val="005E0B92"/>
    <w:rsid w:val="00621874"/>
    <w:rsid w:val="00623E55"/>
    <w:rsid w:val="00653CD8"/>
    <w:rsid w:val="006A3ADF"/>
    <w:rsid w:val="006C70C4"/>
    <w:rsid w:val="007630CB"/>
    <w:rsid w:val="00777221"/>
    <w:rsid w:val="007C4935"/>
    <w:rsid w:val="007C522B"/>
    <w:rsid w:val="007D352E"/>
    <w:rsid w:val="007D7E54"/>
    <w:rsid w:val="007E55B0"/>
    <w:rsid w:val="007F042A"/>
    <w:rsid w:val="007F185D"/>
    <w:rsid w:val="00817594"/>
    <w:rsid w:val="0082134F"/>
    <w:rsid w:val="00853BE7"/>
    <w:rsid w:val="008B1899"/>
    <w:rsid w:val="008B7421"/>
    <w:rsid w:val="008E378F"/>
    <w:rsid w:val="008E7BDC"/>
    <w:rsid w:val="0092525C"/>
    <w:rsid w:val="00925DDA"/>
    <w:rsid w:val="00940CA5"/>
    <w:rsid w:val="00961FC1"/>
    <w:rsid w:val="00972B69"/>
    <w:rsid w:val="00980BC1"/>
    <w:rsid w:val="00A1207B"/>
    <w:rsid w:val="00A56C2A"/>
    <w:rsid w:val="00AB7EC9"/>
    <w:rsid w:val="00B279F0"/>
    <w:rsid w:val="00B4064F"/>
    <w:rsid w:val="00B52C8A"/>
    <w:rsid w:val="00B57B3B"/>
    <w:rsid w:val="00B6053A"/>
    <w:rsid w:val="00B82EA2"/>
    <w:rsid w:val="00B93C7F"/>
    <w:rsid w:val="00BD5F0F"/>
    <w:rsid w:val="00BF51CB"/>
    <w:rsid w:val="00C243E5"/>
    <w:rsid w:val="00C55EFA"/>
    <w:rsid w:val="00C5682F"/>
    <w:rsid w:val="00C97A3D"/>
    <w:rsid w:val="00CB60D2"/>
    <w:rsid w:val="00CC44C2"/>
    <w:rsid w:val="00D441DC"/>
    <w:rsid w:val="00D7632C"/>
    <w:rsid w:val="00D85593"/>
    <w:rsid w:val="00E21230"/>
    <w:rsid w:val="00E21FB4"/>
    <w:rsid w:val="00E276E5"/>
    <w:rsid w:val="00E55E32"/>
    <w:rsid w:val="00E56FF8"/>
    <w:rsid w:val="00EC1AD4"/>
    <w:rsid w:val="00EC7028"/>
    <w:rsid w:val="00EF1FF6"/>
    <w:rsid w:val="00F21102"/>
    <w:rsid w:val="00F24D62"/>
    <w:rsid w:val="00F41519"/>
    <w:rsid w:val="00F41577"/>
    <w:rsid w:val="00F54321"/>
    <w:rsid w:val="00F600F6"/>
    <w:rsid w:val="00F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0732C4"/>
  <w15:docId w15:val="{6BF1E3C4-6853-4299-9B11-BF7EAB9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3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3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3A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60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4E1A91"/>
  </w:style>
  <w:style w:type="paragraph" w:styleId="NormalWeb">
    <w:name w:val="Normal (Web)"/>
    <w:basedOn w:val="Normal"/>
    <w:uiPriority w:val="99"/>
    <w:semiHidden/>
    <w:unhideWhenUsed/>
    <w:rsid w:val="00A1207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defnumber">
    <w:name w:val="def_number"/>
    <w:basedOn w:val="DefaultParagraphFont"/>
    <w:rsid w:val="00A1207B"/>
  </w:style>
  <w:style w:type="character" w:styleId="Hyperlink">
    <w:name w:val="Hyperlink"/>
    <w:basedOn w:val="DefaultParagraphFont"/>
    <w:uiPriority w:val="99"/>
    <w:unhideWhenUsed/>
    <w:rsid w:val="00363584"/>
    <w:rPr>
      <w:color w:val="0000FF"/>
      <w:u w:val="single"/>
    </w:rPr>
  </w:style>
  <w:style w:type="character" w:customStyle="1" w:styleId="transparenttitle">
    <w:name w:val="transparenttitle"/>
    <w:basedOn w:val="DefaultParagraphFont"/>
    <w:rsid w:val="00C243E5"/>
  </w:style>
  <w:style w:type="character" w:customStyle="1" w:styleId="Heading1Char">
    <w:name w:val="Heading 1 Char"/>
    <w:link w:val="Heading1"/>
    <w:uiPriority w:val="9"/>
    <w:rsid w:val="00B6053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6053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B4064F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064F"/>
    <w:rPr>
      <w:rFonts w:ascii="Calibri" w:hAnsi="Calibri" w:cs="Arial"/>
      <w:sz w:val="20"/>
      <w:szCs w:val="20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6053A"/>
    <w:rPr>
      <w:rFonts w:ascii="Calibri" w:hAnsi="Calibri" w:cs="Arial"/>
      <w:sz w:val="20"/>
      <w:szCs w:val="20"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6053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eastAsiaTheme="minorHAnsi"/>
      <w:snapToGrid/>
      <w:lang w:val="en-GB" w:eastAsia="en-US"/>
    </w:rPr>
  </w:style>
  <w:style w:type="character" w:styleId="FootnoteReference">
    <w:name w:val="footnote reference"/>
    <w:basedOn w:val="DefaultParagraphFont"/>
    <w:unhideWhenUsed/>
    <w:rsid w:val="00B4064F"/>
    <w:rPr>
      <w:vertAlign w:val="superscript"/>
    </w:rPr>
  </w:style>
  <w:style w:type="paragraph" w:customStyle="1" w:styleId="1">
    <w:name w:val="1."/>
    <w:basedOn w:val="Normal"/>
    <w:link w:val="1Char"/>
    <w:qFormat/>
    <w:rsid w:val="00B6053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6053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6053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6053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6053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6053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6053A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6053A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6053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6053A"/>
    <w:rPr>
      <w:rFonts w:ascii="Arial" w:eastAsia="SimSun" w:hAnsi="Arial" w:cs="Arial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B6053A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3A"/>
    <w:rPr>
      <w:rFonts w:ascii="Arial" w:eastAsia="SimSun" w:hAnsi="Arial" w:cs="Arial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B6053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605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B6053A"/>
    <w:rPr>
      <w:b/>
      <w:bCs/>
    </w:rPr>
  </w:style>
  <w:style w:type="character" w:styleId="Emphasis">
    <w:name w:val="Emphasis"/>
    <w:basedOn w:val="DefaultParagraphFont"/>
    <w:uiPriority w:val="20"/>
    <w:qFormat/>
    <w:rsid w:val="00B6053A"/>
    <w:rPr>
      <w:i/>
      <w:iCs/>
    </w:rPr>
  </w:style>
  <w:style w:type="paragraph" w:styleId="ListParagraph">
    <w:name w:val="List Paragraph"/>
    <w:basedOn w:val="Normal"/>
    <w:uiPriority w:val="34"/>
    <w:qFormat/>
    <w:rsid w:val="00B6053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6053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053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3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3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53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st">
    <w:name w:val="st"/>
    <w:basedOn w:val="DefaultParagraphFont"/>
    <w:rsid w:val="00623E55"/>
  </w:style>
  <w:style w:type="character" w:customStyle="1" w:styleId="tgc">
    <w:name w:val="_tgc"/>
    <w:basedOn w:val="DefaultParagraphFont"/>
    <w:rsid w:val="00623E55"/>
  </w:style>
  <w:style w:type="paragraph" w:styleId="Header">
    <w:name w:val="header"/>
    <w:basedOn w:val="Normal"/>
    <w:link w:val="Head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3E2772"/>
  </w:style>
  <w:style w:type="paragraph" w:customStyle="1" w:styleId="HO1">
    <w:name w:val="HO1"/>
    <w:basedOn w:val="Normal"/>
    <w:link w:val="HO1Car"/>
    <w:rsid w:val="007E55B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E55B0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E55B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E55B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Heading1"/>
    <w:link w:val="ChapitreCar"/>
    <w:rsid w:val="007E55B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7E55B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Texte1">
    <w:name w:val="Texte1"/>
    <w:basedOn w:val="Normal"/>
    <w:link w:val="Texte1Car"/>
    <w:rsid w:val="007E55B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E55B0"/>
    <w:rPr>
      <w:rFonts w:ascii="Arial" w:eastAsia="SimSun" w:hAnsi="Arial" w:cs="Arial"/>
      <w:sz w:val="20"/>
      <w:szCs w:val="24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02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02"/>
    <w:rPr>
      <w:rFonts w:ascii="Tahoma" w:eastAsia="SimSun" w:hAnsi="Tahoma" w:cs="Arial"/>
      <w:snapToGrid w:val="0"/>
      <w:sz w:val="16"/>
      <w:szCs w:val="16"/>
      <w:lang w:val="en-US" w:eastAsia="zh-CN"/>
    </w:rPr>
  </w:style>
  <w:style w:type="table" w:customStyle="1" w:styleId="Grilledutableau1">
    <w:name w:val="Grille du tableau1"/>
    <w:basedOn w:val="TableNormal"/>
    <w:next w:val="TableGrid"/>
    <w:rsid w:val="000A08EF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0A08EF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an.org/DPADM/ProductsServices/Glossary/tabid/1395/language/en-US/Default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aties.un.org/Pages/overview.aspx?path=overview/definition/page1_en.x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chr.org/EN/Issues/Minorities/Pages/internationallaw.aspx" TargetMode="External"/><Relationship Id="rId1" Type="http://schemas.openxmlformats.org/officeDocument/2006/relationships/hyperlink" Target="http://dro.deakin.edu.au/eserv/DU:30054576/antons-asianborderlands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3C12-713E-4232-A122-91076BBC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1080</Words>
  <Characters>5943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Kim, Dain</cp:lastModifiedBy>
  <cp:revision>14</cp:revision>
  <cp:lastPrinted>2018-04-26T20:34:00Z</cp:lastPrinted>
  <dcterms:created xsi:type="dcterms:W3CDTF">2018-05-09T07:53:00Z</dcterms:created>
  <dcterms:modified xsi:type="dcterms:W3CDTF">2018-06-25T14:42:00Z</dcterms:modified>
</cp:coreProperties>
</file>