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899" w:rsidRPr="007E55B0" w:rsidRDefault="0082134F" w:rsidP="007E55B0">
      <w:pPr>
        <w:pStyle w:val="Chapitre"/>
      </w:pPr>
      <w:r>
        <w:t>Unidad 55</w:t>
      </w:r>
    </w:p>
    <w:p w:rsidR="0082134F" w:rsidRPr="007E55B0" w:rsidRDefault="0082134F" w:rsidP="007E55B0">
      <w:pPr>
        <w:pStyle w:val="HO1"/>
      </w:pPr>
      <w:r>
        <w:t>Folleto 2:</w:t>
      </w:r>
    </w:p>
    <w:p w:rsidR="00C243E5" w:rsidRDefault="000E2A09" w:rsidP="007E55B0">
      <w:pPr>
        <w:pStyle w:val="HO2"/>
      </w:pPr>
      <w:r>
        <w:t>Glosario</w:t>
      </w:r>
    </w:p>
    <w:p w:rsidR="00B279F0" w:rsidRPr="007E55B0" w:rsidRDefault="00B279F0" w:rsidP="007E55B0">
      <w:pPr>
        <w:pStyle w:val="Texte1"/>
        <w:rPr>
          <w:rFonts w:eastAsia="Times New Roman"/>
        </w:rPr>
      </w:pPr>
      <w:r>
        <w:rPr>
          <w:b/>
        </w:rPr>
        <w:t>Rendición de cuentas</w:t>
      </w:r>
      <w:r>
        <w:t>: Obligación de informar sobre el uso de los recursos públicos</w:t>
      </w:r>
      <w:r w:rsidR="00B646A1">
        <w:t>,</w:t>
      </w:r>
      <w:r>
        <w:t xml:space="preserve"> que recae sobre los funcionarios públicos y la responsabilidad que les cabe por el incumplimiento de los objetivos de desempeño fijados.</w:t>
      </w:r>
    </w:p>
    <w:p w:rsidR="00B279F0" w:rsidRPr="007E55B0" w:rsidRDefault="00B279F0" w:rsidP="007E55B0">
      <w:pPr>
        <w:pStyle w:val="Texte1"/>
        <w:rPr>
          <w:rFonts w:eastAsia="Times New Roman"/>
        </w:rPr>
      </w:pPr>
      <w:r>
        <w:rPr>
          <w:b/>
        </w:rPr>
        <w:t>Acuerdo (derecho internacional)</w:t>
      </w:r>
      <w:r>
        <w:t xml:space="preserve">: Estos instrumentos jurídicos son en general menos formales y se ocupan de un universo </w:t>
      </w:r>
      <w:r w:rsidR="00034DF7">
        <w:t>más pequeño de asuntos que los “</w:t>
      </w:r>
      <w:r>
        <w:t>tratados</w:t>
      </w:r>
      <w:r w:rsidR="00034DF7">
        <w:t>”</w:t>
      </w:r>
      <w:r>
        <w:t xml:space="preserve">. Existe una tendencia general a </w:t>
      </w:r>
      <w:r w:rsidR="00034DF7">
        <w:t>aplicar</w:t>
      </w:r>
      <w:r>
        <w:t xml:space="preserve"> el término </w:t>
      </w:r>
      <w:r w:rsidR="00034DF7">
        <w:t>“</w:t>
      </w:r>
      <w:r>
        <w:t>acuerdo</w:t>
      </w:r>
      <w:r w:rsidR="00034DF7">
        <w:t xml:space="preserve">” </w:t>
      </w:r>
      <w:r>
        <w:t>a aquellos tratados de carácter bilateral, o multilateral limitado.</w:t>
      </w:r>
    </w:p>
    <w:p w:rsidR="00B279F0" w:rsidRPr="007E55B0" w:rsidRDefault="00B279F0" w:rsidP="007E55B0">
      <w:pPr>
        <w:pStyle w:val="Texte1"/>
        <w:rPr>
          <w:rFonts w:eastAsia="Times New Roman"/>
        </w:rPr>
      </w:pPr>
      <w:r>
        <w:rPr>
          <w:b/>
        </w:rPr>
        <w:t>Organizaciones bilaterales</w:t>
      </w:r>
      <w:r w:rsidRPr="00034DF7">
        <w:t>:</w:t>
      </w:r>
      <w:r w:rsidR="00034DF7">
        <w:t xml:space="preserve"> S</w:t>
      </w:r>
      <w:r>
        <w:t>on aquéllas que reciben financiamiento de Gobiernos en sus países de origen y que emplean los fondos para asistir a países en desarrollo.</w:t>
      </w:r>
    </w:p>
    <w:p w:rsidR="00B279F0" w:rsidRPr="007E55B0" w:rsidRDefault="00B279F0" w:rsidP="007E55B0">
      <w:pPr>
        <w:pStyle w:val="Texte1"/>
        <w:rPr>
          <w:rFonts w:eastAsia="Times New Roman"/>
        </w:rPr>
      </w:pPr>
      <w:r>
        <w:rPr>
          <w:b/>
        </w:rPr>
        <w:t>Carta (derecho internacional)</w:t>
      </w:r>
      <w:r>
        <w:t xml:space="preserve">: El término </w:t>
      </w:r>
      <w:r w:rsidR="00034DF7">
        <w:t>“</w:t>
      </w:r>
      <w:r>
        <w:t>carta</w:t>
      </w:r>
      <w:r w:rsidR="00034DF7">
        <w:t>”</w:t>
      </w:r>
      <w:r>
        <w:t xml:space="preserve"> se utiliza para determinados instrumentos de carácter formal y solemne, como el tratado constitutivo de una organización internacional.</w:t>
      </w:r>
    </w:p>
    <w:p w:rsidR="00B279F0" w:rsidRPr="007E55B0" w:rsidRDefault="00B279F0" w:rsidP="007E55B0">
      <w:pPr>
        <w:pStyle w:val="Texte1"/>
        <w:rPr>
          <w:rFonts w:eastAsia="Times New Roman"/>
        </w:rPr>
      </w:pPr>
      <w:r>
        <w:rPr>
          <w:b/>
        </w:rPr>
        <w:t>Patrimonio común / Dominio público</w:t>
      </w:r>
      <w:r>
        <w:t>: Recursos de libre disponibilidad para todas las personas, por ejemplo, el aire, los océanos y parques públicos, así como los recursos culturales que son de libre disponibilidad para todas las personas. La existencia de un patrimonio común es un asunto que concierne a la política: ¿hay determinados recursos que deberían pertenecer a las entidades privadas o a las públicas? Las regulaciones del patrimonio común también presentan dilemas políticos: ¿el uso que un individuo hace del patrimonio común debería estar restringido, o se debería permitir el acceso sin regulaciones</w:t>
      </w:r>
      <w:r w:rsidR="00034DF7">
        <w:t>? y, en ese</w:t>
      </w:r>
      <w:r>
        <w:t xml:space="preserve"> caso</w:t>
      </w:r>
      <w:r w:rsidR="00034DF7">
        <w:t>, ¿</w:t>
      </w:r>
      <w:r>
        <w:t xml:space="preserve">el recurso podría agotarse? Otro dilema se presenta con aquellos usos que entran en conflicto y podrían </w:t>
      </w:r>
      <w:r w:rsidR="00034DF7">
        <w:t>convertir</w:t>
      </w:r>
      <w:r>
        <w:t xml:space="preserve"> al patrimonio común en un bien inutilizable</w:t>
      </w:r>
      <w:r w:rsidR="00B646A1">
        <w:t>, por ejemplo, dos o más personas que utilizan la misma frecuencia de radio para sus transmisiones</w:t>
      </w:r>
      <w:r>
        <w:t>.</w:t>
      </w:r>
    </w:p>
    <w:p w:rsidR="00B279F0" w:rsidRPr="007E55B0" w:rsidRDefault="00B279F0" w:rsidP="007E55B0">
      <w:pPr>
        <w:pStyle w:val="Texte1"/>
        <w:rPr>
          <w:rFonts w:eastAsia="Times New Roman"/>
        </w:rPr>
      </w:pPr>
      <w:r>
        <w:rPr>
          <w:b/>
        </w:rPr>
        <w:t>Convenio (derecho internacional)</w:t>
      </w:r>
      <w:r>
        <w:t>: Término empleado en general para tratados multilaterales de carácter formal a los que suscriben múltiples partes. Los convenios suelen ser abiertos a la participación de la comunidad internacional en su conjunto, o a la de un gran número de Estados.</w:t>
      </w:r>
    </w:p>
    <w:p w:rsidR="00B279F0" w:rsidRPr="007E55B0" w:rsidRDefault="00B279F0" w:rsidP="007E55B0">
      <w:pPr>
        <w:pStyle w:val="Texte1"/>
        <w:rPr>
          <w:rFonts w:eastAsia="Times New Roman"/>
        </w:rPr>
      </w:pPr>
      <w:r>
        <w:rPr>
          <w:b/>
        </w:rPr>
        <w:t>Declaración (derecho internacional)</w:t>
      </w:r>
      <w:r w:rsidR="00034DF7">
        <w:t>:</w:t>
      </w:r>
      <w:r>
        <w:t xml:space="preserve"> </w:t>
      </w:r>
      <w:r w:rsidR="00034DF7">
        <w:t xml:space="preserve">El </w:t>
      </w:r>
      <w:r>
        <w:t xml:space="preserve">término </w:t>
      </w:r>
      <w:r w:rsidR="00034DF7">
        <w:t>“declaración”</w:t>
      </w:r>
      <w:r>
        <w:t xml:space="preserve"> se aplica a varios instrumentos internacionales. Sin embargo, las declaraciones no siempre son jurídicamente vinculantes. A menudo se elige este término deliberadamente para indicar que las partes no tienen la intención de crear obligaciones vinculantes, sino que simplemente quieren declarar ciertas intenciones. Ciertos instrumentos denominados </w:t>
      </w:r>
      <w:r w:rsidR="00034DF7">
        <w:t>“</w:t>
      </w:r>
      <w:r>
        <w:t>declaraciones</w:t>
      </w:r>
      <w:r w:rsidR="00034DF7">
        <w:t>”</w:t>
      </w:r>
      <w:r>
        <w:t xml:space="preserve"> no fueron pensados originalmente para tener efecto obligatorio, pero sus disposiciones pueden haber reflejado el derecho internacional consuetudinario o haber adquirido carácter vinculante como derecho consuetudinario en una etapa posterior Tal fue el caso de la Declaración Universal de los Derechos Humanos de 1948.</w:t>
      </w:r>
    </w:p>
    <w:p w:rsidR="00B279F0" w:rsidRPr="007E55B0" w:rsidRDefault="00B279F0" w:rsidP="007E55B0">
      <w:pPr>
        <w:pStyle w:val="Texte1"/>
        <w:rPr>
          <w:rFonts w:eastAsia="Times New Roman"/>
        </w:rPr>
      </w:pPr>
      <w:r>
        <w:rPr>
          <w:b/>
        </w:rPr>
        <w:lastRenderedPageBreak/>
        <w:t>Comunidades indígenas</w:t>
      </w:r>
      <w:r w:rsidRPr="00B01F69">
        <w:t>:</w:t>
      </w:r>
      <w:r>
        <w:rPr>
          <w:b/>
        </w:rPr>
        <w:t xml:space="preserve"> </w:t>
      </w:r>
      <w:r w:rsidR="00034DF7">
        <w:t>E</w:t>
      </w:r>
      <w:r>
        <w:t>n general se entiende por comunidades indígenas aquellos grupos especificos de personas definidos en términos étnicos y culturales que tienen un vínculo con un territorio determinado que han ocupado antes de la colonialización u ocupaciones territoriales similares y que a menudo comparten una historia común de opresión o marginación. En Asia</w:t>
      </w:r>
      <w:r>
        <w:rPr>
          <w:vertAlign w:val="superscript"/>
        </w:rPr>
        <w:footnoteReference w:id="1"/>
      </w:r>
      <w:r>
        <w:t xml:space="preserve"> y África</w:t>
      </w:r>
      <w:r>
        <w:rPr>
          <w:vertAlign w:val="superscript"/>
        </w:rPr>
        <w:footnoteReference w:id="2"/>
      </w:r>
      <w:r>
        <w:t xml:space="preserve"> se ha debatido extensamente sobre la utilidad de una definición de este tipo, por ejemplo</w:t>
      </w:r>
      <w:r w:rsidR="00034DF7">
        <w:t>,</w:t>
      </w:r>
      <w:r>
        <w:t xml:space="preserve"> en las reuniones preparatorias para la Declaración de las Naciones Unidas sobre los derechos de los pueblos indígenas de 2007. El Grupo de Trabajo de la Comisión Africana reconoció que la mayoría de los</w:t>
      </w:r>
      <w:r w:rsidR="00034DF7">
        <w:t xml:space="preserve"> africanos se podrían describir</w:t>
      </w:r>
      <w:r>
        <w:t xml:space="preserve"> a sí mismos como indígenas, y definió a los grupos indígenas como aquellos grupos (en especial las comunidades de cazadores, recolectores y pastores) vinculados con un territorio en particular, que se autoidentifican con una cultura específica, se identifican como grupo y son identificados por otros como grupo, y comparten una experiencia común de marginación.</w:t>
      </w:r>
      <w:r>
        <w:rPr>
          <w:vertAlign w:val="superscript"/>
        </w:rPr>
        <w:footnoteReference w:id="3"/>
      </w:r>
    </w:p>
    <w:p w:rsidR="00B279F0" w:rsidRPr="007E55B0" w:rsidRDefault="00B279F0" w:rsidP="007E55B0">
      <w:pPr>
        <w:pStyle w:val="Texte1"/>
        <w:rPr>
          <w:rFonts w:eastAsia="Times New Roman"/>
          <w:b/>
          <w:bCs/>
        </w:rPr>
      </w:pPr>
      <w:r>
        <w:rPr>
          <w:b/>
        </w:rPr>
        <w:t>Instrumento (instrumento jurídico)</w:t>
      </w:r>
      <w:r w:rsidRPr="00B01F69">
        <w:t>:</w:t>
      </w:r>
      <w:r>
        <w:rPr>
          <w:b/>
        </w:rPr>
        <w:t xml:space="preserve"> </w:t>
      </w:r>
      <w:r>
        <w:t>En términos jurídicos, significa una ley, regulación o acuerdo, tratado, declaración o cualquier otro documento de orden jurídico que prescribe determinado comportamiento.</w:t>
      </w:r>
    </w:p>
    <w:p w:rsidR="00B279F0" w:rsidRPr="007E55B0" w:rsidRDefault="00B279F0" w:rsidP="007E55B0">
      <w:pPr>
        <w:pStyle w:val="Texte1"/>
        <w:rPr>
          <w:rFonts w:eastAsia="Times New Roman"/>
          <w:b/>
          <w:bCs/>
        </w:rPr>
      </w:pPr>
      <w:r>
        <w:rPr>
          <w:b/>
        </w:rPr>
        <w:t>Derecho internacional</w:t>
      </w:r>
      <w:r w:rsidR="00B01F69">
        <w:t>: H</w:t>
      </w:r>
      <w:r>
        <w:t xml:space="preserve">ace alusión al derecho convencional celebrado entre Estados soberanos. Incluye tratados, acuerdos, convenios, cartas, protocolos, declaraciones, memorandos de entendimiento, </w:t>
      </w:r>
      <w:r>
        <w:rPr>
          <w:i/>
        </w:rPr>
        <w:t>modus vivendi</w:t>
      </w:r>
      <w:r>
        <w:t xml:space="preserve"> y canje de notas entre Estados.</w:t>
      </w:r>
    </w:p>
    <w:p w:rsidR="00B279F0" w:rsidRPr="007E55B0" w:rsidRDefault="00B279F0" w:rsidP="007E55B0">
      <w:pPr>
        <w:pStyle w:val="Texte1"/>
        <w:rPr>
          <w:rFonts w:eastAsia="Times New Roman"/>
          <w:b/>
          <w:bCs/>
        </w:rPr>
      </w:pPr>
      <w:r>
        <w:rPr>
          <w:b/>
        </w:rPr>
        <w:t>Legislación</w:t>
      </w:r>
      <w:r w:rsidRPr="00B01F69">
        <w:t>:</w:t>
      </w:r>
      <w:r>
        <w:t xml:space="preserve"> </w:t>
      </w:r>
      <w:r w:rsidR="00B01F69">
        <w:t>T</w:t>
      </w:r>
      <w:r>
        <w:t xml:space="preserve">érmino utilizado para toda ley sancionada por un cuerpo legislativo u otra autoridad competente. Incluye legislación de orden nacional o subnacional (por ejemplo, provincial), así como leyes internacionales. El derecho escrito o la ley escrita (a diferencia del derecho oral o consuetudinario) establecido por un cuerpo </w:t>
      </w:r>
      <w:r w:rsidRPr="00B01F69">
        <w:t xml:space="preserve">legislativo (a diferencia de las leyes reguladoras promulgadas por el poder ejecutivo o el derecho consuetudinario o </w:t>
      </w:r>
      <w:r w:rsidRPr="00B01F69">
        <w:rPr>
          <w:i/>
        </w:rPr>
        <w:t xml:space="preserve">common law </w:t>
      </w:r>
      <w:r w:rsidRPr="00B01F69">
        <w:t xml:space="preserve">del poder judicial) </w:t>
      </w:r>
      <w:r w:rsidR="00B01F69" w:rsidRPr="00B01F69">
        <w:t xml:space="preserve">o </w:t>
      </w:r>
      <w:r w:rsidRPr="00B01F69">
        <w:t>por un legislador, en el caso de las monarquías</w:t>
      </w:r>
      <w:r>
        <w:t xml:space="preserve"> absolutas.</w:t>
      </w:r>
    </w:p>
    <w:p w:rsidR="00B279F0" w:rsidRPr="007E55B0" w:rsidRDefault="00B279F0" w:rsidP="007E55B0">
      <w:pPr>
        <w:pStyle w:val="Texte1"/>
        <w:rPr>
          <w:rFonts w:eastAsia="Times New Roman"/>
          <w:b/>
          <w:bCs/>
        </w:rPr>
      </w:pPr>
      <w:r>
        <w:rPr>
          <w:b/>
        </w:rPr>
        <w:t>Minoría</w:t>
      </w:r>
      <w:r>
        <w:t xml:space="preserve"> o </w:t>
      </w:r>
      <w:r>
        <w:rPr>
          <w:b/>
        </w:rPr>
        <w:t>grupo minoritario</w:t>
      </w:r>
      <w:r w:rsidRPr="00B00BA1">
        <w:t>:</w:t>
      </w:r>
      <w:r w:rsidR="00B00BA1" w:rsidRPr="00B00BA1">
        <w:t xml:space="preserve"> H</w:t>
      </w:r>
      <w:r>
        <w:t>abitualmente hace alusión a grupos definidos en términos de su identidad nacional o étnica, religiosa o lingüïstica (Declaración de las Naciones Unidas sobre los Derechos de las Minorías, 1992), a menudo sin reclamaciones territoriales específicas, cuya identidad nacional o étnica, lingüística o religiosa difiere de la de la mayoría de la población.</w:t>
      </w:r>
      <w:r>
        <w:rPr>
          <w:vertAlign w:val="superscript"/>
        </w:rPr>
        <w:footnoteReference w:id="4"/>
      </w:r>
    </w:p>
    <w:p w:rsidR="00B279F0" w:rsidRPr="007E55B0" w:rsidRDefault="00B279F0" w:rsidP="007E55B0">
      <w:pPr>
        <w:pStyle w:val="Texte1"/>
        <w:rPr>
          <w:rFonts w:eastAsia="Times New Roman"/>
          <w:b/>
          <w:bCs/>
        </w:rPr>
      </w:pPr>
      <w:r>
        <w:rPr>
          <w:b/>
        </w:rPr>
        <w:t>Organizaciones multilaterales</w:t>
      </w:r>
      <w:r w:rsidR="00B00BA1">
        <w:t>: E</w:t>
      </w:r>
      <w:r>
        <w:t>stas organizaciones obtienen</w:t>
      </w:r>
      <w:r w:rsidR="000E070D">
        <w:t xml:space="preserve"> su financiamiento de diversos G</w:t>
      </w:r>
      <w:r>
        <w:t>obiernos y lo destinan a proyectos ejecutados en varios países, por ejemplo, el Programa de las Naciones Unidas para el Desarrollo (PNUD).</w:t>
      </w:r>
    </w:p>
    <w:p w:rsidR="00B279F0" w:rsidRPr="007E55B0" w:rsidRDefault="00B279F0" w:rsidP="007E55B0">
      <w:pPr>
        <w:pStyle w:val="Texte1"/>
        <w:rPr>
          <w:rFonts w:eastAsia="Times New Roman"/>
          <w:b/>
          <w:bCs/>
        </w:rPr>
      </w:pPr>
      <w:r>
        <w:rPr>
          <w:b/>
        </w:rPr>
        <w:t>Protocolo facultativo:</w:t>
      </w:r>
      <w:r>
        <w:t xml:space="preserve"> El protocolo facultativo de un tratado es un instrumento que establece derechos y obligaciones adicionales a un tratado, pero es de carácter independiente y está sujeto a una ratificación aparte. El Protocolo Facultativo del Pacto Internacional de Derechos Civiles y Políticos de 1966 es un buen ejemplo de este instrumento.</w:t>
      </w:r>
    </w:p>
    <w:p w:rsidR="00B279F0" w:rsidRPr="007E55B0" w:rsidRDefault="00B279F0" w:rsidP="007E55B0">
      <w:pPr>
        <w:pStyle w:val="Texte1"/>
        <w:rPr>
          <w:rFonts w:eastAsia="Times New Roman"/>
          <w:bCs/>
        </w:rPr>
      </w:pPr>
      <w:r>
        <w:rPr>
          <w:b/>
        </w:rPr>
        <w:lastRenderedPageBreak/>
        <w:t>Democracia participativa</w:t>
      </w:r>
      <w:r>
        <w:t>: Convicción política y filosófica en la participación directa de la ciudadanía afectada en los procesos de adopción de decisiones gubernamentales esenciales para la existencia de un gobierno democrático.</w:t>
      </w:r>
    </w:p>
    <w:p w:rsidR="00B279F0" w:rsidRPr="007E55B0" w:rsidRDefault="00B279F0" w:rsidP="007E55B0">
      <w:pPr>
        <w:pStyle w:val="Texte1"/>
        <w:rPr>
          <w:rFonts w:eastAsia="Times New Roman"/>
          <w:b/>
        </w:rPr>
      </w:pPr>
      <w:r>
        <w:rPr>
          <w:b/>
        </w:rPr>
        <w:t>Aplicación de políticas</w:t>
      </w:r>
      <w:r w:rsidR="00B00BA1">
        <w:t>: P</w:t>
      </w:r>
      <w:r>
        <w:t>roceso político o gubernamental de carácter general que consiste en llevar adelante programas para el logro de determinados objetivos de las políticas y su responsabilidad atañe primordialmente a los órganos de administración.</w:t>
      </w:r>
    </w:p>
    <w:p w:rsidR="00B279F0" w:rsidRPr="007E55B0" w:rsidRDefault="00B646A1" w:rsidP="007E55B0">
      <w:pPr>
        <w:pStyle w:val="Texte1"/>
        <w:rPr>
          <w:rFonts w:eastAsia="Times New Roman"/>
          <w:b/>
        </w:rPr>
      </w:pPr>
      <w:r>
        <w:rPr>
          <w:b/>
        </w:rPr>
        <w:t>Elaboración</w:t>
      </w:r>
      <w:r w:rsidR="00B279F0">
        <w:rPr>
          <w:b/>
        </w:rPr>
        <w:t xml:space="preserve"> de políticas en favor de los pobres</w:t>
      </w:r>
      <w:r w:rsidR="00B279F0" w:rsidRPr="00B00BA1">
        <w:t xml:space="preserve">: </w:t>
      </w:r>
      <w:r w:rsidR="00B00BA1" w:rsidRPr="00B00BA1">
        <w:t>P</w:t>
      </w:r>
      <w:r w:rsidR="00B279F0">
        <w:t>roceso centrado en el diseño y aplicación de políticas para el logro de objetivos en favor de las personas pobres (enunciados en los Objetivos de Desarrollo del Milenio).</w:t>
      </w:r>
    </w:p>
    <w:p w:rsidR="00B279F0" w:rsidRPr="007E55B0" w:rsidRDefault="00E55E32" w:rsidP="007E55B0">
      <w:pPr>
        <w:pStyle w:val="Texte1"/>
        <w:rPr>
          <w:rFonts w:eastAsia="Times New Roman"/>
          <w:b/>
          <w:bCs/>
        </w:rPr>
      </w:pPr>
      <w:r>
        <w:rPr>
          <w:b/>
        </w:rPr>
        <w:t>Principio de proporcionalidad</w:t>
      </w:r>
      <w:r w:rsidRPr="00B00BA1">
        <w:t xml:space="preserve">: </w:t>
      </w:r>
      <w:r w:rsidR="00B00BA1">
        <w:t>E</w:t>
      </w:r>
      <w:r>
        <w:t>l alcance de una medida debe ser acorde al objetivo que se persigue. Esto significa que cuando hay varias formas de intervención al alcance de una institución, ésta debe, cuando el efecto sea el mismo, optar por el enfoque que otorgue la mayor libertad de acción a otros organismos.</w:t>
      </w:r>
    </w:p>
    <w:p w:rsidR="00B279F0" w:rsidRPr="007E55B0" w:rsidRDefault="00E55E32" w:rsidP="007E55B0">
      <w:pPr>
        <w:pStyle w:val="Texte1"/>
        <w:rPr>
          <w:rFonts w:eastAsia="Times New Roman"/>
        </w:rPr>
      </w:pPr>
      <w:r>
        <w:rPr>
          <w:b/>
        </w:rPr>
        <w:t>Política pública</w:t>
      </w:r>
      <w:r w:rsidRPr="00A54D69">
        <w:t xml:space="preserve">: </w:t>
      </w:r>
      <w:r w:rsidR="00A54D69">
        <w:t>M</w:t>
      </w:r>
      <w:r>
        <w:t>etas, métodos y princip</w:t>
      </w:r>
      <w:r w:rsidR="000E070D">
        <w:t>ios generales que utilizará un G</w:t>
      </w:r>
      <w:r>
        <w:t>obierno para orientar sus acciones</w:t>
      </w:r>
      <w:r w:rsidR="00D04555">
        <w:t>,</w:t>
      </w:r>
      <w:r>
        <w:t xml:space="preserve"> incluida, entre otros, la </w:t>
      </w:r>
      <w:r w:rsidR="00B646A1">
        <w:t>elaboración</w:t>
      </w:r>
      <w:r>
        <w:t xml:space="preserve"> de una legislación y regulaciones más específicas. Se emplea también para describir el conjunto de programas establecidos y </w:t>
      </w:r>
      <w:r w:rsidR="000E070D">
        <w:t>aplicados por un G</w:t>
      </w:r>
      <w:r>
        <w:t>obierno.</w:t>
      </w:r>
    </w:p>
    <w:p w:rsidR="00B279F0" w:rsidRPr="007E55B0" w:rsidRDefault="00E55E32" w:rsidP="007E55B0">
      <w:pPr>
        <w:pStyle w:val="Texte1"/>
        <w:rPr>
          <w:rFonts w:eastAsia="Times New Roman"/>
          <w:b/>
          <w:bCs/>
        </w:rPr>
      </w:pPr>
      <w:r>
        <w:rPr>
          <w:b/>
        </w:rPr>
        <w:t>Alianza público-privada</w:t>
      </w:r>
      <w:r w:rsidR="00D04555">
        <w:t>: T</w:t>
      </w:r>
      <w:r>
        <w:t xml:space="preserve">odos los tipos de relaciones formalizadas entre los sectores público y privado que se proponen garantizar el cumplimiento de las metas de interés general, como infraestructura y servicios, a través del financiamiento conjunto y la cooperación de autoridades públicas con entidades privadas. La participación de la empresa privada (en la forma de conocimiento especializado en gestión o de contribuciones monetarias) en los proyectos de un </w:t>
      </w:r>
      <w:r w:rsidR="000E070D">
        <w:t>G</w:t>
      </w:r>
      <w:r>
        <w:t>obierno para beneficio público.</w:t>
      </w:r>
    </w:p>
    <w:p w:rsidR="00B279F0" w:rsidRPr="00BD5F0F" w:rsidRDefault="00B279F0" w:rsidP="00BD5F0F">
      <w:pPr>
        <w:pStyle w:val="Texte1"/>
        <w:rPr>
          <w:rFonts w:eastAsia="Times New Roman"/>
          <w:b/>
        </w:rPr>
      </w:pPr>
      <w:r>
        <w:rPr>
          <w:b/>
        </w:rPr>
        <w:t>Estado soberano</w:t>
      </w:r>
      <w:r w:rsidRPr="00D04555">
        <w:t>:</w:t>
      </w:r>
      <w:r>
        <w:rPr>
          <w:b/>
        </w:rPr>
        <w:t xml:space="preserve"> </w:t>
      </w:r>
      <w:r>
        <w:t xml:space="preserve">En derecho internacional, un </w:t>
      </w:r>
      <w:r w:rsidR="00D04555">
        <w:t>E</w:t>
      </w:r>
      <w:r>
        <w:t>stado soberano es una entidad jurídica no física que se</w:t>
      </w:r>
      <w:r w:rsidR="00D04555">
        <w:t xml:space="preserve"> encuentra representado por un G</w:t>
      </w:r>
      <w:r>
        <w:t>obierno central que ejerce soberanía sobre un área geográfica determinada.</w:t>
      </w:r>
    </w:p>
    <w:p w:rsidR="00B279F0" w:rsidRPr="00BD5F0F" w:rsidRDefault="00B279F0" w:rsidP="00BD5F0F">
      <w:pPr>
        <w:pStyle w:val="Texte1"/>
        <w:rPr>
          <w:rFonts w:eastAsia="Times New Roman"/>
          <w:bCs/>
        </w:rPr>
      </w:pPr>
      <w:r>
        <w:rPr>
          <w:b/>
        </w:rPr>
        <w:t>Subsidiariedad</w:t>
      </w:r>
      <w:r w:rsidRPr="00D04555">
        <w:t>:</w:t>
      </w:r>
      <w:r>
        <w:rPr>
          <w:b/>
        </w:rPr>
        <w:t xml:space="preserve"> </w:t>
      </w:r>
      <w:r w:rsidR="00D04555">
        <w:t>I</w:t>
      </w:r>
      <w:r>
        <w:t>dea según la cual una autoridad central debe tener una función subsidiaria y desempeñar sólo aquellas tareas que no pueden ser asumidas de manera efectiva en un ámbito más inmediato o local.</w:t>
      </w:r>
    </w:p>
    <w:p w:rsidR="00B279F0" w:rsidRPr="00BD5F0F" w:rsidRDefault="00B279F0" w:rsidP="00BD5F0F">
      <w:pPr>
        <w:pStyle w:val="Texte1"/>
        <w:rPr>
          <w:rFonts w:eastAsia="Times New Roman"/>
          <w:b/>
          <w:bCs/>
        </w:rPr>
      </w:pPr>
      <w:r>
        <w:rPr>
          <w:b/>
        </w:rPr>
        <w:t>Tratado (derecho internacional)</w:t>
      </w:r>
      <w:r w:rsidRPr="00D04555">
        <w:t xml:space="preserve">: </w:t>
      </w:r>
      <w:r w:rsidR="00D04555">
        <w:t>Las expresiones “tratado”</w:t>
      </w:r>
      <w:r>
        <w:t xml:space="preserve"> y </w:t>
      </w:r>
      <w:r w:rsidR="00D04555">
        <w:t>“</w:t>
      </w:r>
      <w:r>
        <w:t>acuerdo internacion</w:t>
      </w:r>
      <w:r w:rsidR="00D04555">
        <w:t>al”</w:t>
      </w:r>
      <w:r>
        <w:t xml:space="preserve"> abarca una multiplicidad de instrumentos, incluidos los compromisos unilaterales. Por lo general, el término </w:t>
      </w:r>
      <w:r w:rsidR="00D04555">
        <w:t>“tratado”</w:t>
      </w:r>
      <w:r>
        <w:t xml:space="preserve"> se reserva para cuestiones de cierta seriedad que requieran acuerdos más solemnes.</w:t>
      </w:r>
    </w:p>
    <w:p w:rsidR="007F185D" w:rsidRPr="00BD5F0F" w:rsidRDefault="007F185D" w:rsidP="00BD5F0F">
      <w:pPr>
        <w:pStyle w:val="Texte1"/>
        <w:rPr>
          <w:rFonts w:eastAsia="Times New Roman"/>
          <w:b/>
          <w:bCs/>
        </w:rPr>
      </w:pPr>
      <w:r>
        <w:rPr>
          <w:b/>
        </w:rPr>
        <w:t>Signatarios y Partes</w:t>
      </w:r>
      <w:r w:rsidRPr="00D04555">
        <w:t xml:space="preserve">: </w:t>
      </w:r>
      <w:r>
        <w:t xml:space="preserve">El término </w:t>
      </w:r>
      <w:r w:rsidR="00D04555">
        <w:t>“</w:t>
      </w:r>
      <w:r>
        <w:t>Partes</w:t>
      </w:r>
      <w:r w:rsidR="00D04555">
        <w:t>”</w:t>
      </w:r>
      <w:r>
        <w:t xml:space="preserve">, que aparece en el encabezado de cada tratado, en la publicación de los tratados multilaterales depositados en poder del Secretario General, incluye igualmente a los </w:t>
      </w:r>
      <w:r w:rsidR="00D04555">
        <w:t>“</w:t>
      </w:r>
      <w:r>
        <w:t>Estados Contratantes</w:t>
      </w:r>
      <w:r w:rsidR="00D04555">
        <w:t>” y “</w:t>
      </w:r>
      <w:r>
        <w:t>Partes</w:t>
      </w:r>
      <w:r w:rsidR="00D04555">
        <w:t>”</w:t>
      </w:r>
      <w:r>
        <w:t xml:space="preserve">. Como </w:t>
      </w:r>
      <w:r w:rsidR="00D04555">
        <w:t>referencia general, el término “</w:t>
      </w:r>
      <w:r>
        <w:t>Estados contratantes</w:t>
      </w:r>
      <w:r w:rsidR="00D04555">
        <w:t>”</w:t>
      </w:r>
      <w:r>
        <w:t xml:space="preserve"> se refiere a los Estados y otras entidades con capacidad para elaborar tratados que hayan expresado su consentimiento a quedar vinculados por un tratado en los casos en que éste aún no ha entrado en vigor, o cuando no haya entrado en vigor para esos Estados o entidades en particular.</w:t>
      </w:r>
    </w:p>
    <w:p w:rsidR="00D441DC" w:rsidRPr="00BD5F0F" w:rsidRDefault="00D441DC" w:rsidP="00BD5F0F">
      <w:pPr>
        <w:pStyle w:val="Heading4"/>
        <w:tabs>
          <w:tab w:val="clear" w:pos="567"/>
        </w:tabs>
        <w:snapToGrid/>
        <w:spacing w:before="360" w:after="120" w:line="300" w:lineRule="exact"/>
        <w:jc w:val="left"/>
        <w:rPr>
          <w:rFonts w:ascii="Arial" w:eastAsia="SimSun" w:hAnsi="Arial" w:cs="Times New Roman"/>
          <w:b/>
          <w:bCs/>
          <w:i w:val="0"/>
          <w:iCs w:val="0"/>
          <w:caps/>
          <w:snapToGrid/>
          <w:color w:val="auto"/>
          <w:sz w:val="20"/>
        </w:rPr>
      </w:pPr>
      <w:r>
        <w:rPr>
          <w:rFonts w:ascii="Arial" w:hAnsi="Arial"/>
          <w:b/>
          <w:i w:val="0"/>
          <w:caps/>
          <w:snapToGrid/>
          <w:color w:val="auto"/>
          <w:sz w:val="20"/>
        </w:rPr>
        <w:t>Fuentes</w:t>
      </w:r>
      <w:bookmarkStart w:id="0" w:name="_GoBack"/>
      <w:bookmarkEnd w:id="0"/>
    </w:p>
    <w:p w:rsidR="003C0AE9" w:rsidRPr="00BD5F0F" w:rsidRDefault="00D441DC" w:rsidP="00BD5F0F">
      <w:pPr>
        <w:pStyle w:val="ListParagraph"/>
        <w:numPr>
          <w:ilvl w:val="0"/>
          <w:numId w:val="5"/>
        </w:numPr>
        <w:jc w:val="left"/>
        <w:rPr>
          <w:rFonts w:eastAsia="Times New Roman"/>
          <w:snapToGrid/>
          <w:sz w:val="20"/>
        </w:rPr>
      </w:pPr>
      <w:r>
        <w:rPr>
          <w:snapToGrid/>
          <w:sz w:val="20"/>
        </w:rPr>
        <w:t xml:space="preserve">UN Public Administration Glossary [Glosario de administración pública de las Naciones Unidas] </w:t>
      </w:r>
      <w:hyperlink r:id="rId7">
        <w:r>
          <w:rPr>
            <w:snapToGrid/>
            <w:sz w:val="20"/>
          </w:rPr>
          <w:t>http://www.unpan.org/DPADM/ProductsServices/Glossary/tabid/1395/language/en-US/Default.aspx</w:t>
        </w:r>
      </w:hyperlink>
    </w:p>
    <w:p w:rsidR="00583689" w:rsidRPr="00BD5F0F" w:rsidRDefault="00583689" w:rsidP="00BD5F0F">
      <w:pPr>
        <w:pStyle w:val="ListParagraph"/>
        <w:numPr>
          <w:ilvl w:val="0"/>
          <w:numId w:val="5"/>
        </w:numPr>
        <w:jc w:val="left"/>
        <w:rPr>
          <w:rFonts w:eastAsia="Times New Roman"/>
          <w:snapToGrid/>
          <w:sz w:val="20"/>
        </w:rPr>
      </w:pPr>
      <w:r>
        <w:rPr>
          <w:snapToGrid/>
          <w:sz w:val="20"/>
        </w:rPr>
        <w:t xml:space="preserve">Definición de términos clave empleados en la Colección de Tratados de las Naciones Unidas </w:t>
      </w:r>
      <w:hyperlink r:id="rId8">
        <w:r>
          <w:rPr>
            <w:snapToGrid/>
            <w:sz w:val="20"/>
          </w:rPr>
          <w:t>https://treaties.un.org/Pages/overview.aspx?path=overview/definition/page1_en.xml</w:t>
        </w:r>
      </w:hyperlink>
    </w:p>
    <w:sectPr w:rsidR="00583689" w:rsidRPr="00BD5F0F" w:rsidSect="00CB460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0B1" w:rsidRDefault="00F370B1" w:rsidP="00B4064F">
      <w:pPr>
        <w:spacing w:after="0"/>
      </w:pPr>
      <w:r>
        <w:separator/>
      </w:r>
    </w:p>
  </w:endnote>
  <w:endnote w:type="continuationSeparator" w:id="0">
    <w:p w:rsidR="00F370B1" w:rsidRDefault="00F370B1" w:rsidP="00B406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72" w:rsidRPr="00CB4601" w:rsidRDefault="007A297C" w:rsidP="00CB4601">
    <w:pPr>
      <w:tabs>
        <w:tab w:val="clear" w:pos="567"/>
        <w:tab w:val="center" w:pos="4423"/>
        <w:tab w:val="right" w:pos="9000"/>
      </w:tabs>
      <w:snapToGrid/>
      <w:spacing w:before="0" w:after="0" w:line="240" w:lineRule="exact"/>
      <w:jc w:val="left"/>
      <w:rPr>
        <w:rFonts w:eastAsia="Calibri" w:cs="Times New Roman"/>
        <w:snapToGrid/>
        <w:sz w:val="16"/>
        <w:szCs w:val="22"/>
      </w:rPr>
    </w:pPr>
    <w:r>
      <w:rPr>
        <w:noProof/>
        <w:lang w:val="fr-FR" w:eastAsia="ja-JP"/>
      </w:rPr>
      <w:drawing>
        <wp:anchor distT="0" distB="0" distL="114300" distR="114300" simplePos="0" relativeHeight="251678720" behindDoc="0" locked="0" layoutInCell="1" allowOverlap="1" wp14:anchorId="1522C554" wp14:editId="71F8E734">
          <wp:simplePos x="0" y="0"/>
          <wp:positionH relativeFrom="column">
            <wp:posOffset>2593074</wp:posOffset>
          </wp:positionH>
          <wp:positionV relativeFrom="paragraph">
            <wp:posOffset>12748</wp:posOffset>
          </wp:positionV>
          <wp:extent cx="542290" cy="189230"/>
          <wp:effectExtent l="0" t="0" r="0" b="127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CB4601">
      <w:rPr>
        <w:rFonts w:eastAsia="Calibri" w:cs="Times New Roman"/>
        <w:noProof/>
        <w:snapToGrid/>
        <w:sz w:val="16"/>
        <w:szCs w:val="22"/>
        <w:lang w:val="fr-FR" w:eastAsia="ja-JP" w:bidi="ar-SA"/>
      </w:rPr>
      <w:drawing>
        <wp:anchor distT="0" distB="0" distL="114300" distR="114300" simplePos="0" relativeHeight="251666432" behindDoc="0" locked="0" layoutInCell="1" allowOverlap="1" wp14:anchorId="7DE1148A" wp14:editId="3EDDFE66">
          <wp:simplePos x="0" y="0"/>
          <wp:positionH relativeFrom="column">
            <wp:posOffset>-111760</wp:posOffset>
          </wp:positionH>
          <wp:positionV relativeFrom="paragraph">
            <wp:posOffset>-225548</wp:posOffset>
          </wp:positionV>
          <wp:extent cx="912755" cy="662283"/>
          <wp:effectExtent l="0" t="0" r="1905"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2755" cy="662283"/>
                  </a:xfrm>
                  <a:prstGeom prst="rect">
                    <a:avLst/>
                  </a:prstGeom>
                </pic:spPr>
              </pic:pic>
            </a:graphicData>
          </a:graphic>
          <wp14:sizeRelH relativeFrom="page">
            <wp14:pctWidth>0</wp14:pctWidth>
          </wp14:sizeRelH>
          <wp14:sizeRelV relativeFrom="page">
            <wp14:pctHeight>0</wp14:pctHeight>
          </wp14:sizeRelV>
        </wp:anchor>
      </w:drawing>
    </w:r>
    <w:r w:rsidR="005E0B92">
      <w:tab/>
    </w:r>
    <w:r w:rsidR="005E0B92">
      <w:tab/>
    </w:r>
    <w:r w:rsidR="005E0B92">
      <w:rPr>
        <w:snapToGrid/>
        <w:sz w:val="16"/>
      </w:rPr>
      <w:t>U055-v1.0-HO2-ES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72" w:rsidRPr="005E0B92" w:rsidRDefault="007A297C" w:rsidP="005E0B92">
    <w:pPr>
      <w:tabs>
        <w:tab w:val="clear" w:pos="567"/>
        <w:tab w:val="left" w:pos="2880"/>
        <w:tab w:val="center" w:pos="4423"/>
        <w:tab w:val="right" w:pos="9000"/>
      </w:tabs>
      <w:snapToGrid/>
      <w:spacing w:before="0" w:after="0" w:line="240" w:lineRule="exact"/>
      <w:jc w:val="left"/>
      <w:rPr>
        <w:rFonts w:eastAsia="Calibri" w:cs="Times New Roman"/>
        <w:snapToGrid/>
        <w:sz w:val="16"/>
        <w:szCs w:val="22"/>
      </w:rPr>
    </w:pPr>
    <w:r>
      <w:rPr>
        <w:noProof/>
        <w:lang w:val="fr-FR" w:eastAsia="ja-JP"/>
      </w:rPr>
      <w:drawing>
        <wp:anchor distT="0" distB="0" distL="114300" distR="114300" simplePos="0" relativeHeight="251680768" behindDoc="0" locked="0" layoutInCell="1" allowOverlap="1" wp14:anchorId="1522C554" wp14:editId="71F8E734">
          <wp:simplePos x="0" y="0"/>
          <wp:positionH relativeFrom="column">
            <wp:posOffset>2593075</wp:posOffset>
          </wp:positionH>
          <wp:positionV relativeFrom="paragraph">
            <wp:posOffset>12747</wp:posOffset>
          </wp:positionV>
          <wp:extent cx="542290" cy="189230"/>
          <wp:effectExtent l="0" t="0" r="0" b="127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CB4601">
      <w:rPr>
        <w:rFonts w:eastAsia="Calibri" w:cs="Times New Roman"/>
        <w:noProof/>
        <w:snapToGrid/>
        <w:sz w:val="16"/>
        <w:szCs w:val="22"/>
        <w:lang w:val="fr-FR" w:eastAsia="ja-JP" w:bidi="ar-SA"/>
      </w:rPr>
      <w:drawing>
        <wp:anchor distT="0" distB="0" distL="114300" distR="114300" simplePos="0" relativeHeight="251668480" behindDoc="0" locked="0" layoutInCell="1" allowOverlap="1" wp14:anchorId="52577755" wp14:editId="0089D58B">
          <wp:simplePos x="0" y="0"/>
          <wp:positionH relativeFrom="column">
            <wp:posOffset>5081905</wp:posOffset>
          </wp:positionH>
          <wp:positionV relativeFrom="paragraph">
            <wp:posOffset>-209102</wp:posOffset>
          </wp:positionV>
          <wp:extent cx="912495" cy="661670"/>
          <wp:effectExtent l="0" t="0" r="1905"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2495" cy="661670"/>
                  </a:xfrm>
                  <a:prstGeom prst="rect">
                    <a:avLst/>
                  </a:prstGeom>
                </pic:spPr>
              </pic:pic>
            </a:graphicData>
          </a:graphic>
          <wp14:sizeRelH relativeFrom="page">
            <wp14:pctWidth>0</wp14:pctWidth>
          </wp14:sizeRelH>
          <wp14:sizeRelV relativeFrom="page">
            <wp14:pctHeight>0</wp14:pctHeight>
          </wp14:sizeRelV>
        </wp:anchor>
      </w:drawing>
    </w:r>
    <w:r w:rsidR="005E0B92">
      <w:rPr>
        <w:snapToGrid/>
        <w:sz w:val="16"/>
      </w:rPr>
      <w:t>U055-v1.0-HO2-ES</w:t>
    </w:r>
    <w:r w:rsidR="005E0B92">
      <w:tab/>
    </w:r>
    <w:r w:rsidR="0077285E">
      <w:tab/>
    </w:r>
    <w:r w:rsidR="005E0B92">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72" w:rsidRPr="005E0B92" w:rsidRDefault="007A297C" w:rsidP="005E0B92">
    <w:pPr>
      <w:tabs>
        <w:tab w:val="clear" w:pos="567"/>
        <w:tab w:val="left" w:pos="2520"/>
        <w:tab w:val="center" w:pos="4680"/>
        <w:tab w:val="right" w:pos="8845"/>
      </w:tabs>
      <w:snapToGrid/>
      <w:spacing w:before="0" w:after="0" w:line="240" w:lineRule="exact"/>
      <w:jc w:val="left"/>
      <w:rPr>
        <w:rFonts w:eastAsia="Calibri" w:cs="Times New Roman"/>
        <w:snapToGrid/>
        <w:sz w:val="16"/>
        <w:szCs w:val="22"/>
      </w:rPr>
    </w:pPr>
    <w:r>
      <w:rPr>
        <w:noProof/>
        <w:lang w:val="fr-FR" w:eastAsia="ja-JP"/>
      </w:rPr>
      <w:drawing>
        <wp:anchor distT="0" distB="0" distL="114300" distR="114300" simplePos="0" relativeHeight="251676672" behindDoc="0" locked="0" layoutInCell="1" allowOverlap="1" wp14:anchorId="1522C554" wp14:editId="71F8E734">
          <wp:simplePos x="0" y="0"/>
          <wp:positionH relativeFrom="column">
            <wp:posOffset>2593074</wp:posOffset>
          </wp:positionH>
          <wp:positionV relativeFrom="paragraph">
            <wp:posOffset>12748</wp:posOffset>
          </wp:positionV>
          <wp:extent cx="542290" cy="189230"/>
          <wp:effectExtent l="0" t="0" r="0" b="127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CB4601">
      <w:rPr>
        <w:rFonts w:eastAsia="Calibri" w:cs="Times New Roman"/>
        <w:noProof/>
        <w:snapToGrid/>
        <w:sz w:val="16"/>
        <w:szCs w:val="22"/>
        <w:lang w:val="fr-FR" w:eastAsia="ja-JP" w:bidi="ar-SA"/>
      </w:rPr>
      <w:drawing>
        <wp:anchor distT="0" distB="0" distL="114300" distR="114300" simplePos="0" relativeHeight="251664384" behindDoc="0" locked="0" layoutInCell="1" allowOverlap="1" wp14:anchorId="705F2C79" wp14:editId="0E3A1AA4">
          <wp:simplePos x="0" y="0"/>
          <wp:positionH relativeFrom="column">
            <wp:posOffset>4929505</wp:posOffset>
          </wp:positionH>
          <wp:positionV relativeFrom="paragraph">
            <wp:posOffset>-209682</wp:posOffset>
          </wp:positionV>
          <wp:extent cx="912755" cy="662283"/>
          <wp:effectExtent l="0" t="0" r="190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2755" cy="662283"/>
                  </a:xfrm>
                  <a:prstGeom prst="rect">
                    <a:avLst/>
                  </a:prstGeom>
                </pic:spPr>
              </pic:pic>
            </a:graphicData>
          </a:graphic>
          <wp14:sizeRelH relativeFrom="page">
            <wp14:pctWidth>0</wp14:pctWidth>
          </wp14:sizeRelH>
          <wp14:sizeRelV relativeFrom="page">
            <wp14:pctHeight>0</wp14:pctHeight>
          </wp14:sizeRelV>
        </wp:anchor>
      </w:drawing>
    </w:r>
    <w:r w:rsidR="005E0B92">
      <w:rPr>
        <w:snapToGrid/>
        <w:sz w:val="16"/>
      </w:rPr>
      <w:t>U055-v1.0-HO2-ES</w:t>
    </w:r>
    <w:r w:rsidR="005E0B92">
      <w:tab/>
    </w:r>
    <w:r w:rsidR="0077285E">
      <w:tab/>
    </w:r>
    <w:r w:rsidR="005E0B92">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0B1" w:rsidRDefault="00F370B1" w:rsidP="00B4064F">
      <w:pPr>
        <w:spacing w:after="0"/>
      </w:pPr>
      <w:r>
        <w:separator/>
      </w:r>
    </w:p>
  </w:footnote>
  <w:footnote w:type="continuationSeparator" w:id="0">
    <w:p w:rsidR="00F370B1" w:rsidRDefault="00F370B1" w:rsidP="00B4064F">
      <w:pPr>
        <w:spacing w:after="0"/>
      </w:pPr>
      <w:r>
        <w:continuationSeparator/>
      </w:r>
    </w:p>
  </w:footnote>
  <w:footnote w:id="1">
    <w:p w:rsidR="00B279F0" w:rsidRPr="007E55B0" w:rsidRDefault="00B279F0" w:rsidP="007E55B0">
      <w:pPr>
        <w:pStyle w:val="FootnoteText"/>
        <w:tabs>
          <w:tab w:val="clear" w:pos="567"/>
          <w:tab w:val="left" w:pos="284"/>
        </w:tabs>
        <w:spacing w:before="0" w:after="60" w:line="180" w:lineRule="exact"/>
        <w:ind w:left="284" w:hanging="284"/>
        <w:rPr>
          <w:rStyle w:val="FootnoteReference"/>
          <w:rFonts w:ascii="Arial" w:hAnsi="Arial" w:cs="Arial"/>
          <w:sz w:val="16"/>
          <w:vertAlign w:val="baseline"/>
        </w:rPr>
      </w:pPr>
      <w:r>
        <w:rPr>
          <w:rStyle w:val="FootnoteReference"/>
          <w:rFonts w:ascii="Arial" w:hAnsi="Arial"/>
          <w:sz w:val="16"/>
          <w:vertAlign w:val="baseline"/>
        </w:rPr>
        <w:footnoteRef/>
      </w:r>
      <w:r>
        <w:rPr>
          <w:rStyle w:val="FootnoteReference"/>
          <w:rFonts w:ascii="Arial" w:hAnsi="Arial"/>
          <w:sz w:val="16"/>
          <w:vertAlign w:val="baseline"/>
        </w:rPr>
        <w:t>.</w:t>
      </w:r>
      <w:r>
        <w:tab/>
      </w:r>
      <w:r>
        <w:rPr>
          <w:rStyle w:val="FootnoteReference"/>
          <w:rFonts w:ascii="Arial" w:hAnsi="Arial"/>
          <w:sz w:val="16"/>
          <w:vertAlign w:val="baseline"/>
        </w:rPr>
        <w:t xml:space="preserve">Antons, C. </w:t>
      </w:r>
      <w:r w:rsidR="00B00BA1">
        <w:rPr>
          <w:rFonts w:ascii="Arial" w:hAnsi="Arial"/>
          <w:sz w:val="16"/>
        </w:rPr>
        <w:t>“</w:t>
      </w:r>
      <w:r>
        <w:rPr>
          <w:rStyle w:val="FootnoteReference"/>
          <w:rFonts w:ascii="Arial" w:hAnsi="Arial"/>
          <w:sz w:val="16"/>
          <w:vertAlign w:val="baseline"/>
        </w:rPr>
        <w:t>Asian Borderlands and the Legal Protection of Traditional Knowledge and Traditional Cultural Expressions</w:t>
      </w:r>
      <w:r w:rsidR="00B00BA1">
        <w:rPr>
          <w:rFonts w:ascii="Arial" w:hAnsi="Arial"/>
          <w:sz w:val="16"/>
        </w:rPr>
        <w:t>”</w:t>
      </w:r>
      <w:r>
        <w:rPr>
          <w:rStyle w:val="FootnoteReference"/>
          <w:rFonts w:ascii="Arial" w:hAnsi="Arial"/>
          <w:sz w:val="16"/>
          <w:vertAlign w:val="baseline"/>
        </w:rPr>
        <w:t xml:space="preserve"> [Fronteras asiáticas y la protección jurídica de los conocimientos tradicionales y las expresiones culturales tradicionales], Modern Asian Studies, Volume 47, Issue 04, julio de 2013, págs.1403</w:t>
      </w:r>
      <w:r>
        <w:softHyphen/>
      </w:r>
      <w:r>
        <w:rPr>
          <w:rStyle w:val="FootnoteReference"/>
          <w:rFonts w:ascii="Arial" w:hAnsi="Arial"/>
          <w:sz w:val="16"/>
          <w:vertAlign w:val="baseline"/>
        </w:rPr>
        <w:t xml:space="preserve">-1433 </w:t>
      </w:r>
      <w:hyperlink r:id="rId1">
        <w:r>
          <w:rPr>
            <w:rStyle w:val="FootnoteReference"/>
            <w:rFonts w:ascii="Arial" w:hAnsi="Arial"/>
            <w:sz w:val="16"/>
            <w:vertAlign w:val="baseline"/>
          </w:rPr>
          <w:t>http://dro.deakin.edu.au/eserv/DU:30054576/antons-asianborderlands-2013.pdf</w:t>
        </w:r>
      </w:hyperlink>
    </w:p>
  </w:footnote>
  <w:footnote w:id="2">
    <w:p w:rsidR="00B279F0" w:rsidRDefault="00B279F0" w:rsidP="007E55B0">
      <w:pPr>
        <w:pStyle w:val="FootnoteText"/>
        <w:tabs>
          <w:tab w:val="clear" w:pos="567"/>
          <w:tab w:val="left" w:pos="284"/>
        </w:tabs>
        <w:spacing w:before="0" w:after="60" w:line="180" w:lineRule="exact"/>
        <w:ind w:left="284" w:hanging="284"/>
      </w:pPr>
      <w:r>
        <w:rPr>
          <w:rStyle w:val="FootnoteReference"/>
          <w:rFonts w:ascii="Arial" w:hAnsi="Arial"/>
          <w:sz w:val="16"/>
          <w:vertAlign w:val="baseline"/>
        </w:rPr>
        <w:footnoteRef/>
      </w:r>
      <w:r>
        <w:rPr>
          <w:rStyle w:val="FootnoteReference"/>
          <w:rFonts w:ascii="Arial" w:hAnsi="Arial"/>
          <w:sz w:val="16"/>
          <w:vertAlign w:val="baseline"/>
        </w:rPr>
        <w:t>.</w:t>
      </w:r>
      <w:r>
        <w:tab/>
      </w:r>
      <w:r>
        <w:rPr>
          <w:rStyle w:val="FootnoteReference"/>
          <w:rFonts w:ascii="Arial" w:hAnsi="Arial"/>
          <w:sz w:val="16"/>
          <w:vertAlign w:val="baseline"/>
        </w:rPr>
        <w:t xml:space="preserve">Gilbert, J. 2011. </w:t>
      </w:r>
      <w:r w:rsidR="00B00BA1">
        <w:rPr>
          <w:rFonts w:ascii="Arial" w:hAnsi="Arial"/>
          <w:sz w:val="16"/>
        </w:rPr>
        <w:t>“</w:t>
      </w:r>
      <w:r>
        <w:rPr>
          <w:rStyle w:val="FootnoteReference"/>
          <w:rFonts w:ascii="Arial" w:hAnsi="Arial"/>
          <w:sz w:val="16"/>
          <w:vertAlign w:val="baseline"/>
        </w:rPr>
        <w:t>Indigenous peoples’ human rights in Africa: the pragmatic revolution of the African Commission on Human and People’s Rights</w:t>
      </w:r>
      <w:r w:rsidR="00B00BA1">
        <w:rPr>
          <w:rFonts w:ascii="Arial" w:hAnsi="Arial"/>
          <w:sz w:val="16"/>
        </w:rPr>
        <w:t>”</w:t>
      </w:r>
      <w:r>
        <w:rPr>
          <w:rStyle w:val="FootnoteReference"/>
          <w:rFonts w:ascii="Arial" w:hAnsi="Arial"/>
          <w:sz w:val="16"/>
          <w:vertAlign w:val="baseline"/>
        </w:rPr>
        <w:t xml:space="preserve"> [Derechos humanos de los pueblos indígenas en África: la revolución paradigmática de la Comisión Africana en materia de derechos humanos y de los pueblos]. International and Comparative Law Quarterly, 60, págs.245-270.</w:t>
      </w:r>
    </w:p>
  </w:footnote>
  <w:footnote w:id="3">
    <w:p w:rsidR="00B279F0" w:rsidRPr="007E55B0" w:rsidRDefault="00B279F0" w:rsidP="007E55B0">
      <w:pPr>
        <w:pStyle w:val="FootnoteText"/>
        <w:tabs>
          <w:tab w:val="clear" w:pos="567"/>
          <w:tab w:val="left" w:pos="284"/>
        </w:tabs>
        <w:spacing w:before="0" w:after="60" w:line="180" w:lineRule="exact"/>
        <w:ind w:left="284" w:hanging="284"/>
        <w:rPr>
          <w:rStyle w:val="FootnoteReference"/>
          <w:rFonts w:ascii="Arial" w:hAnsi="Arial" w:cs="Arial"/>
          <w:sz w:val="16"/>
          <w:vertAlign w:val="baseline"/>
        </w:rPr>
      </w:pPr>
      <w:r>
        <w:rPr>
          <w:rStyle w:val="FootnoteReference"/>
          <w:rFonts w:ascii="Arial" w:hAnsi="Arial"/>
          <w:sz w:val="16"/>
          <w:vertAlign w:val="baseline"/>
        </w:rPr>
        <w:footnoteRef/>
      </w:r>
      <w:r>
        <w:rPr>
          <w:rStyle w:val="FootnoteReference"/>
          <w:rFonts w:ascii="Arial" w:hAnsi="Arial"/>
          <w:sz w:val="16"/>
          <w:vertAlign w:val="baseline"/>
        </w:rPr>
        <w:t>.</w:t>
      </w:r>
      <w:r>
        <w:tab/>
      </w:r>
      <w:r>
        <w:rPr>
          <w:rStyle w:val="FootnoteReference"/>
          <w:rFonts w:ascii="Arial" w:hAnsi="Arial"/>
          <w:sz w:val="16"/>
          <w:vertAlign w:val="baseline"/>
        </w:rPr>
        <w:t xml:space="preserve">Report of the African Commission’s Working Group of Experts on Indigenous Populations/Communities 2005 [Informe del Grupo de Trabajo Experto de la Comisión Africana sobre población y comunidades indígenas] citado en Gilbert, J. 2011. </w:t>
      </w:r>
      <w:r w:rsidR="00B00BA1">
        <w:rPr>
          <w:rFonts w:ascii="Arial" w:hAnsi="Arial"/>
          <w:sz w:val="16"/>
        </w:rPr>
        <w:t>“</w:t>
      </w:r>
      <w:r>
        <w:rPr>
          <w:rStyle w:val="FootnoteReference"/>
          <w:rFonts w:ascii="Arial" w:hAnsi="Arial"/>
          <w:sz w:val="16"/>
          <w:vertAlign w:val="baseline"/>
        </w:rPr>
        <w:t>Indigenous peoples’ human rights in Africa</w:t>
      </w:r>
      <w:r w:rsidR="00B00BA1">
        <w:rPr>
          <w:rFonts w:ascii="Arial" w:hAnsi="Arial"/>
          <w:sz w:val="16"/>
        </w:rPr>
        <w:t>”</w:t>
      </w:r>
      <w:r>
        <w:rPr>
          <w:rStyle w:val="FootnoteReference"/>
          <w:rFonts w:ascii="Arial" w:hAnsi="Arial"/>
          <w:sz w:val="16"/>
          <w:vertAlign w:val="baseline"/>
        </w:rPr>
        <w:t xml:space="preserve"> [Derechos humanos de los pueblos indígenas en África], pág.250.</w:t>
      </w:r>
    </w:p>
  </w:footnote>
  <w:footnote w:id="4">
    <w:p w:rsidR="00B279F0" w:rsidRPr="007E55B0" w:rsidRDefault="00B279F0" w:rsidP="007E55B0">
      <w:pPr>
        <w:pStyle w:val="FootnoteText"/>
        <w:tabs>
          <w:tab w:val="clear" w:pos="567"/>
          <w:tab w:val="left" w:pos="284"/>
        </w:tabs>
        <w:spacing w:before="0" w:after="60" w:line="180" w:lineRule="exact"/>
        <w:ind w:left="284" w:hanging="284"/>
        <w:rPr>
          <w:rStyle w:val="FootnoteReference"/>
          <w:rFonts w:ascii="Arial" w:hAnsi="Arial" w:cs="Arial"/>
          <w:sz w:val="16"/>
          <w:vertAlign w:val="baseline"/>
        </w:rPr>
      </w:pPr>
      <w:r>
        <w:rPr>
          <w:rStyle w:val="FootnoteReference"/>
          <w:rFonts w:ascii="Arial" w:hAnsi="Arial"/>
          <w:sz w:val="16"/>
          <w:vertAlign w:val="baseline"/>
        </w:rPr>
        <w:footnoteRef/>
      </w:r>
      <w:r>
        <w:rPr>
          <w:rStyle w:val="FootnoteReference"/>
          <w:rFonts w:ascii="Arial" w:hAnsi="Arial"/>
          <w:sz w:val="16"/>
          <w:vertAlign w:val="baseline"/>
        </w:rPr>
        <w:t>.</w:t>
      </w:r>
      <w:r>
        <w:tab/>
      </w:r>
      <w:r>
        <w:rPr>
          <w:rStyle w:val="FootnoteReference"/>
          <w:rFonts w:ascii="Arial" w:hAnsi="Arial"/>
          <w:sz w:val="16"/>
          <w:vertAlign w:val="baseline"/>
        </w:rPr>
        <w:t xml:space="preserve">Véase </w:t>
      </w:r>
      <w:hyperlink r:id="rId2">
        <w:r>
          <w:rPr>
            <w:rStyle w:val="FootnoteReference"/>
            <w:rFonts w:ascii="Arial" w:hAnsi="Arial"/>
            <w:sz w:val="16"/>
            <w:vertAlign w:val="baseline"/>
          </w:rPr>
          <w:t>http://www.ohchr.org/EN/Issues/Minorities/Pages/internationallaw.aspx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72" w:rsidRPr="005E0B92" w:rsidRDefault="005E0B92" w:rsidP="005E0B92">
    <w:pPr>
      <w:tabs>
        <w:tab w:val="clear" w:pos="567"/>
        <w:tab w:val="center" w:pos="4423"/>
        <w:tab w:val="right" w:pos="9000"/>
      </w:tabs>
      <w:snapToGrid/>
      <w:spacing w:before="0" w:after="200" w:line="276" w:lineRule="auto"/>
      <w:jc w:val="left"/>
      <w:rPr>
        <w:rFonts w:eastAsia="Calibri" w:cs="Times New Roman"/>
        <w:snapToGrid/>
        <w:sz w:val="16"/>
        <w:szCs w:val="22"/>
      </w:rPr>
    </w:pPr>
    <w:r w:rsidRPr="005E0B92">
      <w:rPr>
        <w:rFonts w:eastAsia="Calibri" w:cs="Times New Roman"/>
        <w:snapToGrid/>
        <w:sz w:val="16"/>
        <w:szCs w:val="22"/>
      </w:rPr>
      <w:fldChar w:fldCharType="begin"/>
    </w:r>
    <w:r w:rsidRPr="005E0B92">
      <w:rPr>
        <w:rFonts w:eastAsia="Calibri" w:cs="Times New Roman"/>
        <w:snapToGrid/>
        <w:sz w:val="16"/>
        <w:szCs w:val="22"/>
      </w:rPr>
      <w:instrText xml:space="preserve"> PAGE </w:instrText>
    </w:r>
    <w:r w:rsidRPr="005E0B92">
      <w:rPr>
        <w:rFonts w:eastAsia="Calibri" w:cs="Times New Roman"/>
        <w:snapToGrid/>
        <w:sz w:val="16"/>
        <w:szCs w:val="22"/>
      </w:rPr>
      <w:fldChar w:fldCharType="separate"/>
    </w:r>
    <w:r w:rsidR="007A297C">
      <w:rPr>
        <w:rFonts w:eastAsia="Calibri" w:cs="Times New Roman"/>
        <w:noProof/>
        <w:snapToGrid/>
        <w:sz w:val="16"/>
        <w:szCs w:val="22"/>
      </w:rPr>
      <w:t>2</w:t>
    </w:r>
    <w:r w:rsidRPr="005E0B92">
      <w:rPr>
        <w:rFonts w:eastAsia="Calibri" w:cs="Times New Roman"/>
        <w:snapToGrid/>
        <w:sz w:val="16"/>
        <w:szCs w:val="22"/>
      </w:rPr>
      <w:fldChar w:fldCharType="end"/>
    </w:r>
    <w:r>
      <w:tab/>
    </w:r>
    <w:r>
      <w:rPr>
        <w:snapToGrid/>
        <w:sz w:val="16"/>
      </w:rPr>
      <w:t>Unidad 55: Taller sobre elaboración de políticas para la salvaguardia del PCI</w:t>
    </w:r>
    <w:r>
      <w:tab/>
    </w:r>
    <w:r>
      <w:rPr>
        <w:snapToGrid/>
        <w:sz w:val="16"/>
      </w:rPr>
      <w:t>Folleto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72" w:rsidRPr="005E0B92" w:rsidRDefault="005E0B92" w:rsidP="00CB4601">
    <w:pPr>
      <w:tabs>
        <w:tab w:val="clear" w:pos="567"/>
        <w:tab w:val="center" w:pos="4680"/>
        <w:tab w:val="right" w:pos="9000"/>
      </w:tabs>
      <w:snapToGrid/>
      <w:spacing w:before="0" w:after="200" w:line="276" w:lineRule="auto"/>
      <w:jc w:val="left"/>
      <w:rPr>
        <w:rFonts w:eastAsia="Calibri" w:cs="Times New Roman"/>
        <w:snapToGrid/>
        <w:sz w:val="16"/>
        <w:szCs w:val="22"/>
      </w:rPr>
    </w:pPr>
    <w:r>
      <w:rPr>
        <w:snapToGrid/>
        <w:sz w:val="16"/>
      </w:rPr>
      <w:t>Folleto 2</w:t>
    </w:r>
    <w:r>
      <w:tab/>
    </w:r>
    <w:r>
      <w:rPr>
        <w:snapToGrid/>
        <w:sz w:val="16"/>
      </w:rPr>
      <w:t>Unidad 55: Taller sobre elaboración de políticas para la salvaguardia del PCI</w:t>
    </w:r>
    <w:r>
      <w:tab/>
    </w:r>
    <w:r w:rsidRPr="005E0B92">
      <w:rPr>
        <w:rFonts w:eastAsia="Calibri" w:cs="Times New Roman"/>
        <w:snapToGrid/>
        <w:sz w:val="16"/>
        <w:szCs w:val="22"/>
      </w:rPr>
      <w:fldChar w:fldCharType="begin"/>
    </w:r>
    <w:r w:rsidRPr="005E0B92">
      <w:rPr>
        <w:rFonts w:eastAsia="Calibri" w:cs="Times New Roman"/>
        <w:snapToGrid/>
        <w:sz w:val="16"/>
        <w:szCs w:val="22"/>
      </w:rPr>
      <w:instrText xml:space="preserve"> PAGE </w:instrText>
    </w:r>
    <w:r w:rsidRPr="005E0B92">
      <w:rPr>
        <w:rFonts w:eastAsia="Calibri" w:cs="Times New Roman"/>
        <w:snapToGrid/>
        <w:sz w:val="16"/>
        <w:szCs w:val="22"/>
      </w:rPr>
      <w:fldChar w:fldCharType="separate"/>
    </w:r>
    <w:r w:rsidR="007A297C">
      <w:rPr>
        <w:rFonts w:eastAsia="Calibri" w:cs="Times New Roman"/>
        <w:noProof/>
        <w:snapToGrid/>
        <w:sz w:val="16"/>
        <w:szCs w:val="22"/>
      </w:rPr>
      <w:t>3</w:t>
    </w:r>
    <w:r w:rsidRPr="005E0B92">
      <w:rPr>
        <w:rFonts w:eastAsia="Calibri" w:cs="Times New Roman"/>
        <w:snapToGrid/>
        <w:sz w:val="16"/>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72" w:rsidRPr="005E0B92" w:rsidRDefault="005E0B92" w:rsidP="005E0B92">
    <w:pPr>
      <w:tabs>
        <w:tab w:val="clear" w:pos="567"/>
        <w:tab w:val="center" w:pos="4513"/>
        <w:tab w:val="right" w:pos="9026"/>
      </w:tabs>
      <w:spacing w:before="0" w:after="0"/>
      <w:jc w:val="center"/>
      <w:rPr>
        <w:sz w:val="16"/>
        <w:szCs w:val="16"/>
      </w:rPr>
    </w:pPr>
    <w:r>
      <w:rPr>
        <w:sz w:val="16"/>
      </w:rPr>
      <w:t>Folleto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 w15:restartNumberingAfterBreak="0">
    <w:nsid w:val="5DC778C2"/>
    <w:multiLevelType w:val="hybridMultilevel"/>
    <w:tmpl w:val="6A525CD2"/>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E5C511F"/>
    <w:multiLevelType w:val="hybridMultilevel"/>
    <w:tmpl w:val="C82E1B1C"/>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91"/>
    <w:rsid w:val="00034DF7"/>
    <w:rsid w:val="0008355F"/>
    <w:rsid w:val="000D0F33"/>
    <w:rsid w:val="000E070D"/>
    <w:rsid w:val="000E2A09"/>
    <w:rsid w:val="000F22DF"/>
    <w:rsid w:val="001E3A2C"/>
    <w:rsid w:val="00244456"/>
    <w:rsid w:val="003102FB"/>
    <w:rsid w:val="00363584"/>
    <w:rsid w:val="003C0AE9"/>
    <w:rsid w:val="003E2772"/>
    <w:rsid w:val="004E1A91"/>
    <w:rsid w:val="0053635D"/>
    <w:rsid w:val="00583689"/>
    <w:rsid w:val="005D5548"/>
    <w:rsid w:val="005E0B92"/>
    <w:rsid w:val="00623E55"/>
    <w:rsid w:val="006C70C4"/>
    <w:rsid w:val="0077285E"/>
    <w:rsid w:val="007A297C"/>
    <w:rsid w:val="007E55B0"/>
    <w:rsid w:val="007F042A"/>
    <w:rsid w:val="007F185D"/>
    <w:rsid w:val="00817594"/>
    <w:rsid w:val="0082134F"/>
    <w:rsid w:val="008B1899"/>
    <w:rsid w:val="008B7421"/>
    <w:rsid w:val="008E378F"/>
    <w:rsid w:val="008E7BDC"/>
    <w:rsid w:val="00925DDA"/>
    <w:rsid w:val="009425E7"/>
    <w:rsid w:val="00965F22"/>
    <w:rsid w:val="009B5E1C"/>
    <w:rsid w:val="009E6B4D"/>
    <w:rsid w:val="00A07286"/>
    <w:rsid w:val="00A1207B"/>
    <w:rsid w:val="00A54D69"/>
    <w:rsid w:val="00AA069C"/>
    <w:rsid w:val="00B00BA1"/>
    <w:rsid w:val="00B01F69"/>
    <w:rsid w:val="00B279F0"/>
    <w:rsid w:val="00B4064F"/>
    <w:rsid w:val="00B57B3B"/>
    <w:rsid w:val="00B6053A"/>
    <w:rsid w:val="00B646A1"/>
    <w:rsid w:val="00B93C7F"/>
    <w:rsid w:val="00BD5F0F"/>
    <w:rsid w:val="00C243E5"/>
    <w:rsid w:val="00C55EFA"/>
    <w:rsid w:val="00CB4601"/>
    <w:rsid w:val="00CB60D2"/>
    <w:rsid w:val="00D04555"/>
    <w:rsid w:val="00D441DC"/>
    <w:rsid w:val="00D7632C"/>
    <w:rsid w:val="00D85593"/>
    <w:rsid w:val="00E478F3"/>
    <w:rsid w:val="00E55E32"/>
    <w:rsid w:val="00EC1AD4"/>
    <w:rsid w:val="00EC7028"/>
    <w:rsid w:val="00EF1FF6"/>
    <w:rsid w:val="00F15E4C"/>
    <w:rsid w:val="00F370B1"/>
    <w:rsid w:val="00F41577"/>
    <w:rsid w:val="00F54321"/>
    <w:rsid w:val="00F600F6"/>
    <w:rsid w:val="00F962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50C162"/>
  <w15:docId w15:val="{1F05B0B3-C55F-4E2E-B1E1-B783E06F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53A"/>
    <w:pPr>
      <w:tabs>
        <w:tab w:val="left" w:pos="567"/>
      </w:tabs>
      <w:snapToGrid w:val="0"/>
      <w:spacing w:before="120" w:after="120" w:line="240" w:lineRule="auto"/>
      <w:jc w:val="both"/>
    </w:pPr>
    <w:rPr>
      <w:rFonts w:ascii="Arial" w:eastAsia="SimSun" w:hAnsi="Arial" w:cs="Arial"/>
      <w:snapToGrid w:val="0"/>
      <w:szCs w:val="24"/>
    </w:rPr>
  </w:style>
  <w:style w:type="paragraph" w:styleId="Heading1">
    <w:name w:val="heading 1"/>
    <w:basedOn w:val="Normal"/>
    <w:next w:val="Normal"/>
    <w:link w:val="Heading1Char"/>
    <w:uiPriority w:val="9"/>
    <w:qFormat/>
    <w:rsid w:val="00B6053A"/>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B6053A"/>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B6053A"/>
    <w:pPr>
      <w:tabs>
        <w:tab w:val="clear" w:pos="567"/>
      </w:tabs>
      <w:snapToGrid/>
      <w:spacing w:before="360" w:after="120" w:line="300" w:lineRule="exact"/>
      <w:jc w:val="left"/>
      <w:outlineLvl w:val="2"/>
    </w:pPr>
    <w:rPr>
      <w:rFonts w:ascii="Arial" w:eastAsia="SimSun" w:hAnsi="Arial" w:cs="Times New Roman"/>
      <w:b/>
      <w:bCs/>
      <w:i w:val="0"/>
      <w:iCs w:val="0"/>
      <w:caps/>
      <w:snapToGrid/>
      <w:color w:val="auto"/>
      <w:sz w:val="24"/>
    </w:rPr>
  </w:style>
  <w:style w:type="paragraph" w:styleId="Heading4">
    <w:name w:val="heading 4"/>
    <w:basedOn w:val="Normal"/>
    <w:next w:val="Normal"/>
    <w:link w:val="Heading4Char"/>
    <w:unhideWhenUsed/>
    <w:rsid w:val="00B6053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uiPriority w:val="9"/>
    <w:semiHidden/>
    <w:unhideWhenUsed/>
    <w:qFormat/>
    <w:rsid w:val="00B6053A"/>
    <w:pPr>
      <w:tabs>
        <w:tab w:val="clear" w:pos="567"/>
      </w:tabs>
      <w:snapToGrid/>
      <w:spacing w:before="360" w:after="120" w:line="300" w:lineRule="exact"/>
      <w:jc w:val="left"/>
      <w:outlineLvl w:val="4"/>
    </w:pPr>
    <w:rPr>
      <w:rFonts w:ascii="Arial" w:eastAsia="SimSun" w:hAnsi="Arial" w:cs="Times New Roman"/>
      <w:b/>
      <w:bCs/>
      <w:i w:val="0"/>
      <w:iCs w:val="0"/>
      <w:caps/>
      <w:snapToGrid/>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
    <w:name w:val="def"/>
    <w:basedOn w:val="DefaultParagraphFont"/>
    <w:rsid w:val="004E1A91"/>
  </w:style>
  <w:style w:type="paragraph" w:styleId="NormalWeb">
    <w:name w:val="Normal (Web)"/>
    <w:basedOn w:val="Normal"/>
    <w:uiPriority w:val="99"/>
    <w:semiHidden/>
    <w:unhideWhenUsed/>
    <w:rsid w:val="00A1207B"/>
    <w:pPr>
      <w:spacing w:before="100" w:beforeAutospacing="1" w:after="100" w:afterAutospacing="1"/>
    </w:pPr>
    <w:rPr>
      <w:rFonts w:ascii="Times New Roman" w:eastAsia="Times New Roman" w:hAnsi="Times New Roman" w:cs="Times New Roman"/>
      <w:sz w:val="24"/>
    </w:rPr>
  </w:style>
  <w:style w:type="character" w:customStyle="1" w:styleId="defnumber">
    <w:name w:val="def_number"/>
    <w:basedOn w:val="DefaultParagraphFont"/>
    <w:rsid w:val="00A1207B"/>
  </w:style>
  <w:style w:type="character" w:styleId="Hyperlink">
    <w:name w:val="Hyperlink"/>
    <w:basedOn w:val="DefaultParagraphFont"/>
    <w:uiPriority w:val="99"/>
    <w:unhideWhenUsed/>
    <w:rsid w:val="00363584"/>
    <w:rPr>
      <w:color w:val="0000FF"/>
      <w:u w:val="single"/>
    </w:rPr>
  </w:style>
  <w:style w:type="character" w:customStyle="1" w:styleId="transparenttitle">
    <w:name w:val="transparenttitle"/>
    <w:basedOn w:val="DefaultParagraphFont"/>
    <w:rsid w:val="00C243E5"/>
  </w:style>
  <w:style w:type="character" w:customStyle="1" w:styleId="Heading1Char">
    <w:name w:val="Heading 1 Char"/>
    <w:link w:val="Heading1"/>
    <w:uiPriority w:val="9"/>
    <w:rsid w:val="00B6053A"/>
    <w:rPr>
      <w:rFonts w:ascii="Arial" w:eastAsiaTheme="majorEastAsia" w:hAnsi="Arial" w:cs="Arial"/>
      <w:b/>
      <w:bCs/>
      <w:caps/>
      <w:noProof/>
      <w:snapToGrid w:val="0"/>
      <w:color w:val="3366FF"/>
      <w:kern w:val="28"/>
      <w:sz w:val="32"/>
      <w:szCs w:val="32"/>
      <w:lang w:val="es-ES" w:eastAsia="es-ES"/>
    </w:rPr>
  </w:style>
  <w:style w:type="character" w:customStyle="1" w:styleId="Heading2Char">
    <w:name w:val="Heading 2 Char"/>
    <w:basedOn w:val="DefaultParagraphFont"/>
    <w:link w:val="Heading2"/>
    <w:uiPriority w:val="9"/>
    <w:rsid w:val="00B6053A"/>
    <w:rPr>
      <w:rFonts w:ascii="Arial" w:eastAsiaTheme="majorEastAsia" w:hAnsi="Arial" w:cs="Arial"/>
      <w:bCs/>
      <w:noProof/>
      <w:snapToGrid w:val="0"/>
      <w:color w:val="3366FF"/>
      <w:kern w:val="28"/>
      <w:sz w:val="32"/>
      <w:szCs w:val="32"/>
      <w:lang w:val="es-ES" w:eastAsia="es-ES"/>
    </w:rPr>
  </w:style>
  <w:style w:type="paragraph" w:styleId="FootnoteText">
    <w:name w:val="footnote text"/>
    <w:basedOn w:val="Normal"/>
    <w:link w:val="FootnoteTextChar"/>
    <w:unhideWhenUsed/>
    <w:rsid w:val="00B4064F"/>
    <w:pPr>
      <w:spacing w:after="0"/>
    </w:pPr>
    <w:rPr>
      <w:rFonts w:ascii="Calibri" w:hAnsi="Calibri" w:cs="Times New Roman"/>
      <w:sz w:val="20"/>
      <w:szCs w:val="20"/>
    </w:rPr>
  </w:style>
  <w:style w:type="character" w:customStyle="1" w:styleId="FootnoteTextChar">
    <w:name w:val="Footnote Text Char"/>
    <w:basedOn w:val="DefaultParagraphFont"/>
    <w:link w:val="FootnoteText"/>
    <w:rsid w:val="00B4064F"/>
    <w:rPr>
      <w:rFonts w:ascii="Calibri" w:hAnsi="Calibri" w:cs="Times New Roman"/>
      <w:sz w:val="20"/>
      <w:szCs w:val="20"/>
    </w:rPr>
  </w:style>
  <w:style w:type="character" w:customStyle="1" w:styleId="NoSpacingChar">
    <w:name w:val="No Spacing Char"/>
    <w:aliases w:val="Title Ed Char"/>
    <w:basedOn w:val="DefaultParagraphFont"/>
    <w:link w:val="NoSpacing"/>
    <w:uiPriority w:val="1"/>
    <w:locked/>
    <w:rsid w:val="00B6053A"/>
    <w:rPr>
      <w:rFonts w:ascii="Calibri" w:hAnsi="Calibri" w:cs="Arial"/>
      <w:sz w:val="20"/>
      <w:szCs w:val="20"/>
    </w:rPr>
  </w:style>
  <w:style w:type="paragraph" w:styleId="NoSpacing">
    <w:name w:val="No Spacing"/>
    <w:aliases w:val="Title Ed"/>
    <w:basedOn w:val="FootnoteText"/>
    <w:link w:val="NoSpacingChar"/>
    <w:uiPriority w:val="1"/>
    <w:qFormat/>
    <w:rsid w:val="00B6053A"/>
    <w:pPr>
      <w:tabs>
        <w:tab w:val="clear" w:pos="567"/>
        <w:tab w:val="left" w:pos="369"/>
      </w:tabs>
      <w:spacing w:before="0" w:after="60" w:line="180" w:lineRule="exact"/>
      <w:ind w:left="284" w:hanging="284"/>
      <w:jc w:val="left"/>
    </w:pPr>
    <w:rPr>
      <w:rFonts w:eastAsiaTheme="minorHAnsi" w:cs="Arial"/>
      <w:snapToGrid/>
    </w:rPr>
  </w:style>
  <w:style w:type="character" w:styleId="FootnoteReference">
    <w:name w:val="footnote reference"/>
    <w:basedOn w:val="DefaultParagraphFont"/>
    <w:unhideWhenUsed/>
    <w:rsid w:val="00B4064F"/>
    <w:rPr>
      <w:vertAlign w:val="superscript"/>
    </w:rPr>
  </w:style>
  <w:style w:type="paragraph" w:customStyle="1" w:styleId="1">
    <w:name w:val="1."/>
    <w:basedOn w:val="Normal"/>
    <w:link w:val="1Char"/>
    <w:qFormat/>
    <w:rsid w:val="00B6053A"/>
    <w:pPr>
      <w:widowControl w:val="0"/>
      <w:tabs>
        <w:tab w:val="clear" w:pos="567"/>
        <w:tab w:val="left" w:pos="1134"/>
      </w:tabs>
      <w:autoSpaceDE w:val="0"/>
      <w:autoSpaceDN w:val="0"/>
      <w:adjustRightInd w:val="0"/>
      <w:snapToGrid/>
      <w:ind w:left="1134" w:hanging="567"/>
      <w:jc w:val="left"/>
    </w:pPr>
    <w:rPr>
      <w:snapToGrid/>
      <w:w w:val="96"/>
      <w:szCs w:val="22"/>
    </w:rPr>
  </w:style>
  <w:style w:type="character" w:customStyle="1" w:styleId="1Char">
    <w:name w:val="1. Char"/>
    <w:link w:val="1"/>
    <w:locked/>
    <w:rsid w:val="00B6053A"/>
    <w:rPr>
      <w:rFonts w:ascii="Arial" w:eastAsia="SimSun" w:hAnsi="Arial" w:cs="Arial"/>
      <w:w w:val="96"/>
      <w:lang w:val="es-ES" w:eastAsia="es-ES"/>
    </w:rPr>
  </w:style>
  <w:style w:type="paragraph" w:customStyle="1" w:styleId="U1">
    <w:name w:val="U.1"/>
    <w:basedOn w:val="Normal"/>
    <w:qFormat/>
    <w:rsid w:val="00B6053A"/>
    <w:pPr>
      <w:widowControl w:val="0"/>
      <w:tabs>
        <w:tab w:val="clear" w:pos="567"/>
        <w:tab w:val="left" w:pos="1701"/>
      </w:tabs>
      <w:autoSpaceDE w:val="0"/>
      <w:autoSpaceDN w:val="0"/>
      <w:adjustRightInd w:val="0"/>
      <w:snapToGrid/>
      <w:ind w:left="1701" w:hanging="567"/>
      <w:jc w:val="left"/>
    </w:pPr>
    <w:rPr>
      <w:snapToGrid/>
      <w:szCs w:val="22"/>
    </w:rPr>
  </w:style>
  <w:style w:type="paragraph" w:customStyle="1" w:styleId="Paragraph">
    <w:name w:val="Paragraph"/>
    <w:basedOn w:val="Normal"/>
    <w:link w:val="ParagraphChar"/>
    <w:qFormat/>
    <w:rsid w:val="00B6053A"/>
    <w:pPr>
      <w:numPr>
        <w:numId w:val="1"/>
      </w:numPr>
      <w:tabs>
        <w:tab w:val="clear" w:pos="567"/>
      </w:tabs>
      <w:snapToGrid/>
      <w:spacing w:before="240" w:after="0"/>
    </w:pPr>
    <w:rPr>
      <w:snapToGrid/>
      <w:szCs w:val="22"/>
    </w:rPr>
  </w:style>
  <w:style w:type="character" w:customStyle="1" w:styleId="ParagraphChar">
    <w:name w:val="Paragraph Char"/>
    <w:link w:val="Paragraph"/>
    <w:rsid w:val="00B6053A"/>
    <w:rPr>
      <w:rFonts w:ascii="Arial" w:eastAsia="SimSun" w:hAnsi="Arial" w:cs="Arial"/>
      <w:lang w:val="es-ES" w:eastAsia="es-ES"/>
    </w:rPr>
  </w:style>
  <w:style w:type="paragraph" w:customStyle="1" w:styleId="Slideheading">
    <w:name w:val="Slide heading"/>
    <w:basedOn w:val="Heading2"/>
    <w:link w:val="SlideheadingChar"/>
    <w:qFormat/>
    <w:rsid w:val="00B6053A"/>
    <w:pPr>
      <w:spacing w:before="200"/>
    </w:pPr>
    <w:rPr>
      <w:rFonts w:eastAsia="Times New Roman" w:cs="Times New Roman"/>
      <w:b/>
      <w:noProof w:val="0"/>
      <w:color w:val="000000"/>
      <w:kern w:val="0"/>
      <w:sz w:val="24"/>
      <w:szCs w:val="26"/>
    </w:rPr>
  </w:style>
  <w:style w:type="character" w:customStyle="1" w:styleId="SlideheadingChar">
    <w:name w:val="Slide heading Char"/>
    <w:link w:val="Slideheading"/>
    <w:rsid w:val="00B6053A"/>
    <w:rPr>
      <w:rFonts w:ascii="Arial" w:eastAsia="Times New Roman" w:hAnsi="Arial" w:cs="Times New Roman"/>
      <w:b/>
      <w:bCs/>
      <w:snapToGrid w:val="0"/>
      <w:color w:val="000000"/>
      <w:sz w:val="24"/>
      <w:szCs w:val="26"/>
      <w:lang w:eastAsia="es-ES"/>
    </w:rPr>
  </w:style>
  <w:style w:type="paragraph" w:customStyle="1" w:styleId="Txtsecondbullet">
    <w:name w:val="Txt second bullet"/>
    <w:basedOn w:val="Normal"/>
    <w:qFormat/>
    <w:rsid w:val="00B6053A"/>
    <w:pPr>
      <w:numPr>
        <w:ilvl w:val="1"/>
        <w:numId w:val="4"/>
      </w:numPr>
      <w:spacing w:before="0" w:after="60" w:line="280" w:lineRule="exact"/>
    </w:pPr>
    <w:rPr>
      <w:snapToGrid/>
      <w:sz w:val="20"/>
    </w:rPr>
  </w:style>
  <w:style w:type="paragraph" w:customStyle="1" w:styleId="citationunit">
    <w:name w:val="citation unit"/>
    <w:basedOn w:val="Normal"/>
    <w:qFormat/>
    <w:rsid w:val="00B6053A"/>
    <w:pPr>
      <w:spacing w:before="0" w:after="60" w:line="280" w:lineRule="exact"/>
      <w:ind w:left="1134" w:right="284"/>
    </w:pPr>
    <w:rPr>
      <w:snapToGrid/>
      <w:sz w:val="20"/>
    </w:rPr>
  </w:style>
  <w:style w:type="character" w:customStyle="1" w:styleId="Heading3Char">
    <w:name w:val="Heading 3 Char"/>
    <w:basedOn w:val="DefaultParagraphFont"/>
    <w:link w:val="Heading3"/>
    <w:uiPriority w:val="9"/>
    <w:rsid w:val="00B6053A"/>
    <w:rPr>
      <w:rFonts w:ascii="Arial" w:eastAsia="SimSun" w:hAnsi="Arial" w:cs="Times New Roman"/>
      <w:b/>
      <w:bCs/>
      <w:caps/>
      <w:sz w:val="24"/>
      <w:szCs w:val="24"/>
      <w:lang w:val="es-ES"/>
    </w:rPr>
  </w:style>
  <w:style w:type="character" w:customStyle="1" w:styleId="Heading4Char">
    <w:name w:val="Heading 4 Char"/>
    <w:basedOn w:val="DefaultParagraphFont"/>
    <w:link w:val="Heading4"/>
    <w:rsid w:val="00B6053A"/>
    <w:rPr>
      <w:rFonts w:asciiTheme="majorHAnsi" w:eastAsiaTheme="majorEastAsia" w:hAnsiTheme="majorHAnsi" w:cstheme="majorBidi"/>
      <w:i/>
      <w:iCs/>
      <w:snapToGrid w:val="0"/>
      <w:color w:val="2E74B5" w:themeColor="accent1" w:themeShade="BF"/>
      <w:szCs w:val="24"/>
      <w:lang w:val="es-ES" w:eastAsia="es-ES"/>
    </w:rPr>
  </w:style>
  <w:style w:type="character" w:customStyle="1" w:styleId="Heading5Char">
    <w:name w:val="Heading 5 Char"/>
    <w:basedOn w:val="DefaultParagraphFont"/>
    <w:link w:val="Heading5"/>
    <w:uiPriority w:val="9"/>
    <w:semiHidden/>
    <w:rsid w:val="00B6053A"/>
    <w:rPr>
      <w:rFonts w:ascii="Arial" w:eastAsia="SimSun" w:hAnsi="Arial" w:cs="Times New Roman"/>
      <w:b/>
      <w:bCs/>
      <w:caps/>
      <w:sz w:val="20"/>
      <w:szCs w:val="24"/>
      <w:lang w:val="es-ES"/>
    </w:rPr>
  </w:style>
  <w:style w:type="paragraph" w:styleId="Title">
    <w:name w:val="Title"/>
    <w:basedOn w:val="Normal"/>
    <w:next w:val="Normal"/>
    <w:link w:val="TitleChar"/>
    <w:uiPriority w:val="10"/>
    <w:qFormat/>
    <w:rsid w:val="00B6053A"/>
    <w:pPr>
      <w:keepNext/>
      <w:keepLines/>
      <w:spacing w:before="480" w:after="0" w:line="480" w:lineRule="exact"/>
      <w:jc w:val="left"/>
      <w:outlineLvl w:val="0"/>
    </w:pPr>
    <w:rPr>
      <w:rFonts w:eastAsia="Times New Roman"/>
      <w:b/>
      <w:bCs/>
      <w:caps/>
      <w:noProof/>
      <w:color w:val="3366FF"/>
      <w:kern w:val="28"/>
      <w:sz w:val="48"/>
      <w:szCs w:val="48"/>
    </w:rPr>
  </w:style>
  <w:style w:type="character" w:customStyle="1" w:styleId="TitleChar">
    <w:name w:val="Title Char"/>
    <w:basedOn w:val="DefaultParagraphFont"/>
    <w:link w:val="Title"/>
    <w:uiPriority w:val="10"/>
    <w:rsid w:val="00B6053A"/>
    <w:rPr>
      <w:rFonts w:ascii="Arial" w:eastAsia="Times New Roman" w:hAnsi="Arial" w:cs="Arial"/>
      <w:b/>
      <w:bCs/>
      <w:caps/>
      <w:noProof/>
      <w:snapToGrid w:val="0"/>
      <w:color w:val="3366FF"/>
      <w:kern w:val="28"/>
      <w:sz w:val="48"/>
      <w:szCs w:val="48"/>
      <w:lang w:eastAsia="es-ES"/>
    </w:rPr>
  </w:style>
  <w:style w:type="character" w:styleId="Strong">
    <w:name w:val="Strong"/>
    <w:basedOn w:val="DefaultParagraphFont"/>
    <w:uiPriority w:val="22"/>
    <w:qFormat/>
    <w:rsid w:val="00B6053A"/>
    <w:rPr>
      <w:b/>
      <w:bCs/>
    </w:rPr>
  </w:style>
  <w:style w:type="character" w:styleId="Emphasis">
    <w:name w:val="Emphasis"/>
    <w:basedOn w:val="DefaultParagraphFont"/>
    <w:uiPriority w:val="20"/>
    <w:qFormat/>
    <w:rsid w:val="00B6053A"/>
    <w:rPr>
      <w:i/>
      <w:iCs/>
    </w:rPr>
  </w:style>
  <w:style w:type="paragraph" w:styleId="ListParagraph">
    <w:name w:val="List Paragraph"/>
    <w:basedOn w:val="Normal"/>
    <w:uiPriority w:val="34"/>
    <w:qFormat/>
    <w:rsid w:val="00B6053A"/>
    <w:pPr>
      <w:tabs>
        <w:tab w:val="clear" w:pos="567"/>
        <w:tab w:val="left" w:pos="360"/>
      </w:tabs>
      <w:ind w:left="720" w:hanging="360"/>
    </w:pPr>
  </w:style>
  <w:style w:type="paragraph" w:styleId="Quote">
    <w:name w:val="Quote"/>
    <w:basedOn w:val="Normal"/>
    <w:next w:val="Normal"/>
    <w:link w:val="QuoteChar"/>
    <w:uiPriority w:val="29"/>
    <w:qFormat/>
    <w:rsid w:val="00B6053A"/>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B6053A"/>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B6053A"/>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rPr>
  </w:style>
  <w:style w:type="character" w:customStyle="1" w:styleId="IntenseQuoteChar">
    <w:name w:val="Intense Quote Char"/>
    <w:basedOn w:val="DefaultParagraphFont"/>
    <w:link w:val="IntenseQuote"/>
    <w:uiPriority w:val="30"/>
    <w:rsid w:val="00B6053A"/>
    <w:rPr>
      <w:rFonts w:eastAsiaTheme="minorEastAsia" w:cs="Arial"/>
      <w:i/>
      <w:iCs/>
      <w:color w:val="4F81BD"/>
      <w:sz w:val="20"/>
      <w:szCs w:val="20"/>
      <w:lang w:val="es-ES"/>
    </w:rPr>
  </w:style>
  <w:style w:type="paragraph" w:styleId="TOCHeading">
    <w:name w:val="TOC Heading"/>
    <w:basedOn w:val="Heading1"/>
    <w:next w:val="Normal"/>
    <w:uiPriority w:val="39"/>
    <w:semiHidden/>
    <w:unhideWhenUsed/>
    <w:qFormat/>
    <w:rsid w:val="00B6053A"/>
    <w:pPr>
      <w:tabs>
        <w:tab w:val="clear" w:pos="567"/>
      </w:tabs>
      <w:snapToGrid/>
      <w:spacing w:after="0" w:line="276" w:lineRule="auto"/>
      <w:outlineLvl w:val="9"/>
    </w:pPr>
    <w:rPr>
      <w:rFonts w:asciiTheme="majorHAnsi" w:hAnsiTheme="majorHAnsi" w:cstheme="majorBidi"/>
      <w:b w:val="0"/>
      <w:snapToGrid/>
      <w:color w:val="2E74B5" w:themeColor="accent1" w:themeShade="BF"/>
      <w:kern w:val="0"/>
      <w:sz w:val="28"/>
      <w:szCs w:val="28"/>
    </w:rPr>
  </w:style>
  <w:style w:type="character" w:customStyle="1" w:styleId="st">
    <w:name w:val="st"/>
    <w:basedOn w:val="DefaultParagraphFont"/>
    <w:rsid w:val="00623E55"/>
  </w:style>
  <w:style w:type="character" w:customStyle="1" w:styleId="tgc">
    <w:name w:val="_tgc"/>
    <w:basedOn w:val="DefaultParagraphFont"/>
    <w:rsid w:val="00623E55"/>
  </w:style>
  <w:style w:type="paragraph" w:styleId="Header">
    <w:name w:val="header"/>
    <w:basedOn w:val="Normal"/>
    <w:link w:val="HeaderChar"/>
    <w:uiPriority w:val="99"/>
    <w:unhideWhenUsed/>
    <w:rsid w:val="003E2772"/>
    <w:pPr>
      <w:tabs>
        <w:tab w:val="clear" w:pos="567"/>
        <w:tab w:val="center" w:pos="4513"/>
        <w:tab w:val="right" w:pos="9026"/>
      </w:tabs>
      <w:spacing w:before="0" w:after="0"/>
    </w:pPr>
  </w:style>
  <w:style w:type="character" w:customStyle="1" w:styleId="HeaderChar">
    <w:name w:val="Header Char"/>
    <w:basedOn w:val="DefaultParagraphFont"/>
    <w:link w:val="Header"/>
    <w:uiPriority w:val="99"/>
    <w:rsid w:val="003E2772"/>
    <w:rPr>
      <w:rFonts w:ascii="Arial" w:eastAsia="SimSun" w:hAnsi="Arial" w:cs="Arial"/>
      <w:snapToGrid w:val="0"/>
      <w:szCs w:val="24"/>
      <w:lang w:val="es-ES" w:eastAsia="es-ES"/>
    </w:rPr>
  </w:style>
  <w:style w:type="paragraph" w:styleId="Footer">
    <w:name w:val="footer"/>
    <w:basedOn w:val="Normal"/>
    <w:link w:val="FooterChar"/>
    <w:uiPriority w:val="99"/>
    <w:unhideWhenUsed/>
    <w:rsid w:val="003E2772"/>
    <w:pPr>
      <w:tabs>
        <w:tab w:val="clear" w:pos="567"/>
        <w:tab w:val="center" w:pos="4513"/>
        <w:tab w:val="right" w:pos="9026"/>
      </w:tabs>
      <w:spacing w:before="0" w:after="0"/>
    </w:pPr>
  </w:style>
  <w:style w:type="character" w:customStyle="1" w:styleId="FooterChar">
    <w:name w:val="Footer Char"/>
    <w:basedOn w:val="DefaultParagraphFont"/>
    <w:link w:val="Footer"/>
    <w:uiPriority w:val="99"/>
    <w:rsid w:val="003E2772"/>
    <w:rPr>
      <w:rFonts w:ascii="Arial" w:eastAsia="SimSun" w:hAnsi="Arial" w:cs="Arial"/>
      <w:snapToGrid w:val="0"/>
      <w:szCs w:val="24"/>
      <w:lang w:val="es-ES" w:eastAsia="es-ES"/>
    </w:rPr>
  </w:style>
  <w:style w:type="character" w:styleId="PageNumber">
    <w:name w:val="page number"/>
    <w:rsid w:val="003E2772"/>
  </w:style>
  <w:style w:type="paragraph" w:customStyle="1" w:styleId="HO1">
    <w:name w:val="HO1"/>
    <w:basedOn w:val="Normal"/>
    <w:link w:val="HO1Car"/>
    <w:rsid w:val="007E55B0"/>
    <w:pPr>
      <w:keepNext/>
      <w:keepLines/>
      <w:spacing w:before="480" w:after="0" w:line="480" w:lineRule="exact"/>
      <w:jc w:val="left"/>
      <w:outlineLvl w:val="0"/>
    </w:pPr>
    <w:rPr>
      <w:rFonts w:eastAsia="Times New Roman"/>
      <w:b/>
      <w:bCs/>
      <w:noProof/>
      <w:color w:val="3366FF"/>
      <w:kern w:val="28"/>
      <w:sz w:val="32"/>
      <w:szCs w:val="32"/>
    </w:rPr>
  </w:style>
  <w:style w:type="character" w:customStyle="1" w:styleId="HO1Car">
    <w:name w:val="HO1 Car"/>
    <w:basedOn w:val="DefaultParagraphFont"/>
    <w:link w:val="HO1"/>
    <w:rsid w:val="007E55B0"/>
    <w:rPr>
      <w:rFonts w:ascii="Arial" w:eastAsia="Times New Roman" w:hAnsi="Arial" w:cs="Arial"/>
      <w:b/>
      <w:bCs/>
      <w:noProof/>
      <w:snapToGrid w:val="0"/>
      <w:color w:val="3366FF"/>
      <w:kern w:val="28"/>
      <w:sz w:val="32"/>
      <w:szCs w:val="32"/>
      <w:lang w:val="es-ES" w:eastAsia="es-ES"/>
    </w:rPr>
  </w:style>
  <w:style w:type="paragraph" w:customStyle="1" w:styleId="HO2">
    <w:name w:val="HO2"/>
    <w:basedOn w:val="HO1"/>
    <w:link w:val="HO2Car"/>
    <w:rsid w:val="007E55B0"/>
    <w:pPr>
      <w:spacing w:before="0" w:after="480"/>
    </w:pPr>
    <w:rPr>
      <w:caps/>
    </w:rPr>
  </w:style>
  <w:style w:type="character" w:customStyle="1" w:styleId="HO2Car">
    <w:name w:val="HO2 Car"/>
    <w:basedOn w:val="HO1Car"/>
    <w:link w:val="HO2"/>
    <w:rsid w:val="007E55B0"/>
    <w:rPr>
      <w:rFonts w:ascii="Arial" w:eastAsia="Times New Roman" w:hAnsi="Arial" w:cs="Arial"/>
      <w:b/>
      <w:bCs/>
      <w:caps/>
      <w:noProof/>
      <w:snapToGrid w:val="0"/>
      <w:color w:val="3366FF"/>
      <w:kern w:val="28"/>
      <w:sz w:val="32"/>
      <w:szCs w:val="32"/>
      <w:lang w:val="es-ES" w:eastAsia="es-ES"/>
    </w:rPr>
  </w:style>
  <w:style w:type="paragraph" w:customStyle="1" w:styleId="Chapitre">
    <w:name w:val="Chapitre"/>
    <w:basedOn w:val="Heading1"/>
    <w:link w:val="ChapitreCar"/>
    <w:rsid w:val="007E55B0"/>
    <w:pPr>
      <w:pBdr>
        <w:bottom w:val="single" w:sz="4" w:space="14" w:color="3366FF"/>
      </w:pBdr>
      <w:spacing w:before="240" w:line="840" w:lineRule="exact"/>
    </w:pPr>
    <w:rPr>
      <w:rFonts w:eastAsia="Times New Roman"/>
      <w:sz w:val="70"/>
      <w:szCs w:val="70"/>
    </w:rPr>
  </w:style>
  <w:style w:type="character" w:customStyle="1" w:styleId="ChapitreCar">
    <w:name w:val="Chapitre Car"/>
    <w:link w:val="Chapitre"/>
    <w:rsid w:val="007E55B0"/>
    <w:rPr>
      <w:rFonts w:ascii="Arial" w:eastAsia="Times New Roman" w:hAnsi="Arial" w:cs="Arial"/>
      <w:b/>
      <w:bCs/>
      <w:caps/>
      <w:noProof/>
      <w:snapToGrid w:val="0"/>
      <w:color w:val="3366FF"/>
      <w:kern w:val="28"/>
      <w:sz w:val="70"/>
      <w:szCs w:val="70"/>
      <w:lang w:eastAsia="es-ES"/>
    </w:rPr>
  </w:style>
  <w:style w:type="paragraph" w:customStyle="1" w:styleId="Texte1">
    <w:name w:val="Texte1"/>
    <w:basedOn w:val="Normal"/>
    <w:link w:val="Texte1Car"/>
    <w:rsid w:val="007E55B0"/>
    <w:pPr>
      <w:spacing w:before="0" w:after="60" w:line="280" w:lineRule="exact"/>
      <w:ind w:left="851"/>
    </w:pPr>
    <w:rPr>
      <w:snapToGrid/>
      <w:sz w:val="20"/>
    </w:rPr>
  </w:style>
  <w:style w:type="character" w:customStyle="1" w:styleId="Texte1Car">
    <w:name w:val="Texte1 Car"/>
    <w:link w:val="Texte1"/>
    <w:rsid w:val="007E55B0"/>
    <w:rPr>
      <w:rFonts w:ascii="Arial" w:eastAsia="SimSun" w:hAnsi="Arial" w:cs="Arial"/>
      <w:sz w:val="20"/>
      <w:szCs w:val="24"/>
      <w:lang w:val="es-ES" w:eastAsia="es-E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SimSun" w:hAnsi="Arial" w:cs="Arial"/>
      <w:snapToGrid w:val="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425E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5E7"/>
    <w:rPr>
      <w:rFonts w:ascii="Tahoma" w:eastAsia="SimSu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740860">
      <w:bodyDiv w:val="1"/>
      <w:marLeft w:val="0"/>
      <w:marRight w:val="0"/>
      <w:marTop w:val="0"/>
      <w:marBottom w:val="0"/>
      <w:divBdr>
        <w:top w:val="none" w:sz="0" w:space="0" w:color="auto"/>
        <w:left w:val="none" w:sz="0" w:space="0" w:color="auto"/>
        <w:bottom w:val="none" w:sz="0" w:space="0" w:color="auto"/>
        <w:right w:val="none" w:sz="0" w:space="0" w:color="auto"/>
      </w:divBdr>
    </w:div>
    <w:div w:id="799224036">
      <w:bodyDiv w:val="1"/>
      <w:marLeft w:val="0"/>
      <w:marRight w:val="0"/>
      <w:marTop w:val="0"/>
      <w:marBottom w:val="0"/>
      <w:divBdr>
        <w:top w:val="none" w:sz="0" w:space="0" w:color="auto"/>
        <w:left w:val="none" w:sz="0" w:space="0" w:color="auto"/>
        <w:bottom w:val="none" w:sz="0" w:space="0" w:color="auto"/>
        <w:right w:val="none" w:sz="0" w:space="0" w:color="auto"/>
      </w:divBdr>
    </w:div>
    <w:div w:id="841045371">
      <w:bodyDiv w:val="1"/>
      <w:marLeft w:val="0"/>
      <w:marRight w:val="0"/>
      <w:marTop w:val="0"/>
      <w:marBottom w:val="0"/>
      <w:divBdr>
        <w:top w:val="none" w:sz="0" w:space="0" w:color="auto"/>
        <w:left w:val="none" w:sz="0" w:space="0" w:color="auto"/>
        <w:bottom w:val="none" w:sz="0" w:space="0" w:color="auto"/>
        <w:right w:val="none" w:sz="0" w:space="0" w:color="auto"/>
      </w:divBdr>
    </w:div>
    <w:div w:id="1169101892">
      <w:bodyDiv w:val="1"/>
      <w:marLeft w:val="0"/>
      <w:marRight w:val="0"/>
      <w:marTop w:val="0"/>
      <w:marBottom w:val="0"/>
      <w:divBdr>
        <w:top w:val="none" w:sz="0" w:space="0" w:color="auto"/>
        <w:left w:val="none" w:sz="0" w:space="0" w:color="auto"/>
        <w:bottom w:val="none" w:sz="0" w:space="0" w:color="auto"/>
        <w:right w:val="none" w:sz="0" w:space="0" w:color="auto"/>
      </w:divBdr>
    </w:div>
    <w:div w:id="1249535829">
      <w:bodyDiv w:val="1"/>
      <w:marLeft w:val="0"/>
      <w:marRight w:val="0"/>
      <w:marTop w:val="0"/>
      <w:marBottom w:val="0"/>
      <w:divBdr>
        <w:top w:val="none" w:sz="0" w:space="0" w:color="auto"/>
        <w:left w:val="none" w:sz="0" w:space="0" w:color="auto"/>
        <w:bottom w:val="none" w:sz="0" w:space="0" w:color="auto"/>
        <w:right w:val="none" w:sz="0" w:space="0" w:color="auto"/>
      </w:divBdr>
    </w:div>
    <w:div w:id="129656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aties.un.org/Pages/overview.aspx?path=overview/definition/page1_en.x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npan.org/DPADM/ProductsServices/Glossary/tabid/1395/language/en-US/Default.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ohchr.org/EN/Issues/Minorities/Pages/internationallaw.aspx" TargetMode="External"/><Relationship Id="rId1" Type="http://schemas.openxmlformats.org/officeDocument/2006/relationships/hyperlink" Target="http://dro.deakin.edu.au/eserv/DU:30054576/antons-asianborderlands-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1464</Words>
  <Characters>8054</Characters>
  <Application>Microsoft Office Word</Application>
  <DocSecurity>0</DocSecurity>
  <Lines>67</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Deacon</dc:creator>
  <cp:lastModifiedBy>Kim, Dain</cp:lastModifiedBy>
  <cp:revision>5</cp:revision>
  <dcterms:created xsi:type="dcterms:W3CDTF">2016-03-15T15:30:00Z</dcterms:created>
  <dcterms:modified xsi:type="dcterms:W3CDTF">2018-03-23T13:19:00Z</dcterms:modified>
</cp:coreProperties>
</file>