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B7" w:rsidRPr="00C56F90" w:rsidRDefault="002959B7" w:rsidP="00C56F90">
      <w:pPr>
        <w:pStyle w:val="Chapitre"/>
      </w:pPr>
      <w:r>
        <w:t>Unidad 55</w:t>
      </w:r>
    </w:p>
    <w:p w:rsidR="00525B64" w:rsidRDefault="00525B64" w:rsidP="00C56F90">
      <w:pPr>
        <w:pStyle w:val="HO1"/>
      </w:pPr>
      <w:r>
        <w:t>Folleto 3:</w:t>
      </w:r>
    </w:p>
    <w:p w:rsidR="00FF69DB" w:rsidRPr="00C56F90" w:rsidRDefault="00B53749" w:rsidP="00C56F90">
      <w:pPr>
        <w:pStyle w:val="HO2"/>
        <w:rPr>
          <w:kern w:val="28"/>
        </w:rPr>
      </w:pPr>
      <w:r>
        <w:t>Recursos</w:t>
      </w:r>
    </w:p>
    <w:p w:rsidR="00F078F4" w:rsidRPr="00C56F90" w:rsidRDefault="00F078F4" w:rsidP="00C56F9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</w:rPr>
      </w:pPr>
      <w:r>
        <w:rPr>
          <w:b/>
          <w:caps/>
          <w:snapToGrid/>
          <w:sz w:val="20"/>
        </w:rPr>
        <w:t>Bases de datos con leyes, políticas y directrices relacionadas con el patrimonio cultural inmaterial</w:t>
      </w:r>
    </w:p>
    <w:p w:rsidR="007A7764" w:rsidRPr="00C56F90" w:rsidRDefault="007A7764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Base de datos de la UNESCO sobre las leyes nacionales del patrimonio cultural </w:t>
      </w:r>
      <w:hyperlink r:id="rId8">
        <w:r>
          <w:rPr>
            <w:snapToGrid/>
            <w:sz w:val="20"/>
          </w:rPr>
          <w:t>http://www.unesco.org/culture/natlaws/</w:t>
        </w:r>
      </w:hyperlink>
    </w:p>
    <w:p w:rsidR="007A7764" w:rsidRPr="00C56F90" w:rsidRDefault="007A7764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Base de datos de la OMPI sobre códigos, directrices y prácticas relativas a las expresiones culturales tradicionales </w:t>
      </w:r>
      <w:hyperlink r:id="rId9">
        <w:r>
          <w:rPr>
            <w:snapToGrid/>
            <w:sz w:val="20"/>
          </w:rPr>
          <w:t>http://www.wipo.int/tk/en/databases/creative_heritage/</w:t>
        </w:r>
      </w:hyperlink>
    </w:p>
    <w:p w:rsidR="007A7764" w:rsidRPr="00C56F90" w:rsidRDefault="007A7764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WIPO database of Traditional Knowledge, Traditional Cultural Expressions &amp; Genetic Resources Laws [Base de datos de la OMPI sobre conocimientos tradicionales, expresiones culturales tradicionales y leyes sobre recursos genéticos] </w:t>
      </w:r>
      <w:hyperlink r:id="rId10">
        <w:r>
          <w:rPr>
            <w:snapToGrid/>
            <w:sz w:val="20"/>
          </w:rPr>
          <w:t>http://www.wipo.int/tk/en/databases/tklaws/</w:t>
        </w:r>
      </w:hyperlink>
    </w:p>
    <w:p w:rsidR="00EF2EF5" w:rsidRPr="00C56F90" w:rsidRDefault="00EF2EF5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Constitute: base de datos sobre las constituciones de todo el mundo </w:t>
      </w:r>
      <w:hyperlink r:id="rId11">
        <w:r>
          <w:rPr>
            <w:snapToGrid/>
            <w:sz w:val="20"/>
          </w:rPr>
          <w:t>https://www.constituteproject.org/</w:t>
        </w:r>
      </w:hyperlink>
    </w:p>
    <w:p w:rsidR="00EF2EF5" w:rsidRPr="00C56F90" w:rsidRDefault="00EF2EF5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Federación Internacional de Consejos de Artes y Agencias Culturales (FICAAC): Políticas culturales de todo el mundo </w:t>
      </w:r>
      <w:hyperlink r:id="rId12">
        <w:r>
          <w:rPr>
            <w:snapToGrid/>
            <w:sz w:val="20"/>
          </w:rPr>
          <w:t>http://www.ifacca.org/links/cultural-policies-around-the-world/</w:t>
        </w:r>
      </w:hyperlink>
    </w:p>
    <w:p w:rsidR="007A7764" w:rsidRPr="00C56F90" w:rsidRDefault="007A7764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Arterial Network: Directorio de las artes africanas </w:t>
      </w:r>
      <w:hyperlink r:id="rId13">
        <w:r>
          <w:rPr>
            <w:snapToGrid/>
            <w:sz w:val="20"/>
          </w:rPr>
          <w:t>http://www.artsinafrica.com/cultural-policy</w:t>
        </w:r>
      </w:hyperlink>
    </w:p>
    <w:p w:rsidR="007A7764" w:rsidRPr="00C56F90" w:rsidRDefault="007A7764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Compendio de las políticas culturales en Europa </w:t>
      </w:r>
      <w:hyperlink r:id="rId14">
        <w:r>
          <w:rPr>
            <w:rStyle w:val="Hyperlink"/>
            <w:snapToGrid/>
            <w:sz w:val="20"/>
          </w:rPr>
          <w:t>http://www.culturalpolicies.net/web/countries.php</w:t>
        </w:r>
      </w:hyperlink>
    </w:p>
    <w:p w:rsidR="00EF2EF5" w:rsidRPr="00C56F90" w:rsidRDefault="00EF2EF5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OCPA, el Observatorio de Políticas Culturales en África </w:t>
      </w:r>
      <w:r>
        <w:rPr>
          <w:snapToGrid/>
          <w:sz w:val="20"/>
        </w:rPr>
        <w:br/>
      </w:r>
      <w:hyperlink r:id="rId15">
        <w:r>
          <w:rPr>
            <w:snapToGrid/>
            <w:sz w:val="20"/>
          </w:rPr>
          <w:t>http://ocpa.irmo.hr/index-en.html</w:t>
        </w:r>
      </w:hyperlink>
    </w:p>
    <w:p w:rsidR="00EF2EF5" w:rsidRPr="00C56F90" w:rsidRDefault="00EF2EF5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OCPA, el Observatorio de Políticas Culturales en África: Políticas culturales africanas </w:t>
      </w:r>
      <w:hyperlink r:id="rId16">
        <w:r>
          <w:rPr>
            <w:snapToGrid/>
            <w:sz w:val="20"/>
          </w:rPr>
          <w:t>http://ocpa.irmo.hr/resources/policy/index-en.html</w:t>
        </w:r>
      </w:hyperlink>
    </w:p>
    <w:p w:rsidR="00BA366A" w:rsidRPr="00C56F90" w:rsidRDefault="00BA366A" w:rsidP="00C56F9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</w:rPr>
      </w:pPr>
      <w:r>
        <w:rPr>
          <w:b/>
          <w:caps/>
          <w:snapToGrid/>
          <w:sz w:val="20"/>
        </w:rPr>
        <w:t>Instrumentos internacionales</w:t>
      </w:r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Convenio sobre la Diversidad Biológica, artículo 8(j) </w:t>
      </w:r>
      <w:hyperlink r:id="rId17">
        <w:r>
          <w:rPr>
            <w:snapToGrid/>
            <w:sz w:val="20"/>
          </w:rPr>
          <w:t>http://www.cbd.int/traditional/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Protocolo de Nagoya al Convenio sobre la Diversidad Biológica </w:t>
      </w:r>
      <w:hyperlink r:id="rId18">
        <w:r>
          <w:rPr>
            <w:snapToGrid/>
            <w:sz w:val="20"/>
          </w:rPr>
          <w:t>http://www.cbd.int/abs/text/default.shtml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Convención sobre la eliminación de todas las formas de discriminación contra la mujer y demás instrumentos relativos a la igualdad entre los géneros </w:t>
      </w:r>
      <w:hyperlink r:id="rId19">
        <w:r>
          <w:rPr>
            <w:snapToGrid/>
            <w:sz w:val="20"/>
          </w:rPr>
          <w:t>http://www.unesco.org/new/en/unesco/themes/gender-equality/resources/conventions-and-declarations/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lastRenderedPageBreak/>
        <w:t xml:space="preserve">Convención relativa a los Humedales de Importancia Internacional (Convención de Ramsar) </w:t>
      </w:r>
      <w:hyperlink r:id="rId20">
        <w:r>
          <w:rPr>
            <w:snapToGrid/>
            <w:sz w:val="20"/>
          </w:rPr>
          <w:t>http://www.ramsar.org/es/acerca-de-la-convenci%C3%B3n-de-ramsar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Convenio núm. 169 de la Organización Internacional del Trabajo (OIT) </w:t>
      </w:r>
      <w:hyperlink r:id="rId21">
        <w:r>
          <w:rPr>
            <w:snapToGrid/>
            <w:sz w:val="20"/>
          </w:rPr>
          <w:t>http://www.ilo.org/dyn/normlex/en/f?p=NORMLEXPUB:12100:0::NO::P12100_ILO_CODE:C169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Convención de la UNESCO sobre la Protección del Patrimonio Mundial Cultural y Natural, </w:t>
      </w:r>
      <w:hyperlink r:id="rId22">
        <w:r>
          <w:rPr>
            <w:snapToGrid/>
            <w:sz w:val="20"/>
          </w:rPr>
          <w:t>http://portal.unesco.org/es/ev.php-URL_ID=13055&amp;URL_DO=DO_TOPIC&amp;URL_SECTION=201.html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Convención de la UNESCO sobre la protección y la promoción de la diversidad de las expresiones culturales, </w:t>
      </w:r>
      <w:hyperlink r:id="rId23">
        <w:r>
          <w:rPr>
            <w:snapToGrid/>
            <w:sz w:val="20"/>
          </w:rPr>
          <w:t>http://portal.unesco.org/es/ev.php-URL_ID=31038&amp;URL_DO=DO_TOPIC&amp;URL_SECTION=201.html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Declaración Universal de la UNESCO sobre la Diversidad Cultural </w:t>
      </w:r>
      <w:hyperlink r:id="rId24">
        <w:r>
          <w:rPr>
            <w:snapToGrid/>
            <w:sz w:val="20"/>
          </w:rPr>
          <w:t>http://portal.unesco.org/es/ev.php-URL_ID=13179&amp;URL_DO=DO_TOPIC&amp;URL_SECTION=201.html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Declaración de las Naciones Unidas sobre los derechos de los pueblos indígenas </w:t>
      </w:r>
      <w:hyperlink r:id="rId25">
        <w:r>
          <w:rPr>
            <w:snapToGrid/>
            <w:sz w:val="20"/>
          </w:rPr>
          <w:t>https://documents-dds-ny.un.org/doc/UNDOC/GEN/N06/512/10/PDF/N0651210.pdf?OpenElement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Convención Internacional de las Naciones Unidas sobre la Eliminación de todas las Formas de Discriminación Racial </w:t>
      </w:r>
      <w:hyperlink r:id="rId26">
        <w:r>
          <w:rPr>
            <w:snapToGrid/>
            <w:sz w:val="20"/>
          </w:rPr>
          <w:t>http://www.ohchr.org/SP/ProfessionalInterest/Pages/CERD.aspx</w:t>
        </w:r>
      </w:hyperlink>
    </w:p>
    <w:p w:rsidR="00A54025" w:rsidRPr="00C56F90" w:rsidRDefault="00A54025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Convención de las Naciones Unidas sobre los Derechos del Niño </w:t>
      </w:r>
      <w:hyperlink r:id="rId27">
        <w:r>
          <w:rPr>
            <w:snapToGrid/>
            <w:sz w:val="20"/>
          </w:rPr>
          <w:t>http://www.ohchr.org/SP/ProfessionalInterest/Pages/CRC.aspx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Pactos Internacionales de Derechos Civiles y Políticos (PIDCP) y de Derechos Económicos, Sociales y Culturales (PIDESC) de las Naciones Unidas </w:t>
      </w:r>
      <w:hyperlink r:id="rId28">
        <w:r>
          <w:rPr>
            <w:snapToGrid/>
            <w:sz w:val="20"/>
          </w:rPr>
          <w:t>http://www.ohchr.org/SP/ProfessionalInterest/Pages/CESCR.aspx</w:t>
        </w:r>
      </w:hyperlink>
    </w:p>
    <w:p w:rsidR="005A24B4" w:rsidRPr="00C56F90" w:rsidRDefault="005A24B4" w:rsidP="00A85A47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z w:val="20"/>
        </w:rPr>
      </w:pPr>
      <w:r>
        <w:rPr>
          <w:snapToGrid/>
          <w:sz w:val="20"/>
        </w:rPr>
        <w:t xml:space="preserve">Objetivos de Desarrollo Sostenible de las Naciones Unidas </w:t>
      </w:r>
      <w:hyperlink r:id="rId29">
        <w:r>
          <w:rPr>
            <w:snapToGrid/>
            <w:sz w:val="20"/>
          </w:rPr>
          <w:t>http://www.un.org/sustainabledevelopment/es/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Declaración Universal de Derechos Humanos de las Naciones Unidas </w:t>
      </w:r>
      <w:hyperlink r:id="rId30">
        <w:r>
          <w:rPr>
            <w:snapToGrid/>
            <w:sz w:val="20"/>
          </w:rPr>
          <w:t>http://www.un.org/es/universal-declaration-human-rights/index.html/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OMPI, La protección de las expresiones culturales tradicionales: Proyecto de artículos. Rev.2, (7-9 de julio de 2014), </w:t>
      </w:r>
      <w:hyperlink r:id="rId31">
        <w:r>
          <w:rPr>
            <w:snapToGrid/>
            <w:sz w:val="20"/>
          </w:rPr>
          <w:t>http://www.wipo.int/edocs/mdocs/tk/es/wipo_grtkf_ic_28/wipo_grtkf_ic_28_6.pdf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OMPI, La protección de los conocimientos tradicionales: proyecto de artículos (Rev. 2), 28 de marzo de 2014. Disponible en </w:t>
      </w:r>
      <w:hyperlink r:id="rId32">
        <w:r>
          <w:rPr>
            <w:snapToGrid/>
            <w:sz w:val="20"/>
          </w:rPr>
          <w:t>http://www.wipo.int/meetings/en/doc_details.jsp?doc_id=238182</w:t>
        </w:r>
      </w:hyperlink>
    </w:p>
    <w:p w:rsidR="00525B64" w:rsidRPr="00C56F90" w:rsidRDefault="00525B64" w:rsidP="00C56F9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</w:rPr>
      </w:pPr>
      <w:r>
        <w:rPr>
          <w:b/>
          <w:caps/>
          <w:snapToGrid/>
          <w:sz w:val="20"/>
        </w:rPr>
        <w:t>Instrumentos regionales</w:t>
      </w:r>
    </w:p>
    <w:p w:rsidR="00937877" w:rsidRPr="00C56F90" w:rsidRDefault="00937877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Pacific Model Law for the Protection of Traditional Knowledge and Expressions of Culture [Ley modelo del Pacífico para la protección de los conocimientos tradicionales y de las expresiones culturales tradicionales] </w:t>
      </w:r>
      <w:hyperlink r:id="rId33">
        <w:r>
          <w:rPr>
            <w:snapToGrid/>
            <w:sz w:val="20"/>
          </w:rPr>
          <w:t>http://www.forumsec.org.fj/resources/uploads/attachments/documents/PacificModelLaw,ProtectionofTKandExprssnsofCulture20021.pdf</w:t>
        </w:r>
      </w:hyperlink>
    </w:p>
    <w:p w:rsidR="00937877" w:rsidRPr="00C56F90" w:rsidRDefault="00937877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ASEAN Declaration on Cultural Heritage [Declaración de la Asociación de Naciones de Asia Sudoriental sobre el patrimonio cultural] (2000) </w:t>
      </w:r>
      <w:hyperlink r:id="rId34">
        <w:r>
          <w:rPr>
            <w:snapToGrid/>
            <w:sz w:val="20"/>
          </w:rPr>
          <w:t>http://cultureandinformation.asean.org/wp-content/uploads/2013/11/ASEAN-Declaration-on-Cultural-Heritage.pdf</w:t>
        </w:r>
      </w:hyperlink>
    </w:p>
    <w:p w:rsidR="00937877" w:rsidRPr="00C56F90" w:rsidRDefault="00937877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lastRenderedPageBreak/>
        <w:t xml:space="preserve">Proyecto de Declaración Americana sobre los Derechos de los Pueblos Indígenas </w:t>
      </w:r>
      <w:hyperlink r:id="rId35">
        <w:r>
          <w:rPr>
            <w:snapToGrid/>
            <w:sz w:val="20"/>
          </w:rPr>
          <w:t>http://www.oas.org/es/sla/ddi/pueblos_indigenas_apoyo_elaboracion_proyecto_declaracion.asp</w:t>
        </w:r>
      </w:hyperlink>
    </w:p>
    <w:p w:rsidR="00937877" w:rsidRPr="00C56F90" w:rsidRDefault="00937877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Convenio marco del Consejo de Europa sobre el valor del patrimonio cultural para la sociedad, </w:t>
      </w:r>
      <w:hyperlink r:id="rId36">
        <w:r>
          <w:rPr>
            <w:snapToGrid/>
            <w:sz w:val="20"/>
          </w:rPr>
          <w:t>http://www.coe.int/t/dg4/cultureheritage/heritage/Identities/default_en.asp</w:t>
        </w:r>
      </w:hyperlink>
    </w:p>
    <w:p w:rsidR="00937877" w:rsidRPr="00C56F90" w:rsidRDefault="00937877" w:rsidP="000C75A3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Convenio marco para la protección de las minorías nacionales, </w:t>
      </w:r>
      <w:r>
        <w:t>https://rm.coe.int/CoERMPublicCommonSearchServices/DisplayDCTMContent?documentId=09000016800c1304</w:t>
      </w:r>
    </w:p>
    <w:p w:rsidR="000C75A3" w:rsidRDefault="00ED7B82" w:rsidP="000C75A3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>Unión Africana, Carta Cultural Africana</w:t>
      </w:r>
    </w:p>
    <w:p w:rsidR="00BA366A" w:rsidRPr="00C56F90" w:rsidRDefault="000C75A3" w:rsidP="000C75A3">
      <w:pPr>
        <w:pStyle w:val="ListParagraph"/>
        <w:spacing w:before="0" w:after="60" w:line="280" w:lineRule="exact"/>
        <w:ind w:left="1571" w:firstLine="0"/>
        <w:jc w:val="left"/>
        <w:rPr>
          <w:snapToGrid/>
          <w:sz w:val="20"/>
        </w:rPr>
      </w:pPr>
      <w:r>
        <w:t>http://www.au.int/en/treaties/cultural-charter-africa</w:t>
      </w:r>
    </w:p>
    <w:p w:rsidR="00ED7B82" w:rsidRPr="00C56F90" w:rsidRDefault="00ED7B82" w:rsidP="000C75A3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Carta para el Renacimiento Cultural Africano (Carta para el Renacimiento Africano) </w:t>
      </w:r>
      <w:r>
        <w:t>http://www.unesco.org/new/fileadmin/MULTIMEDIA/FIELD/Dakar/pdf/CharterAfricanCulturalRenaissance.PDF</w:t>
      </w:r>
    </w:p>
    <w:p w:rsidR="00ED7B82" w:rsidRPr="00C56F90" w:rsidRDefault="00FB2A67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La Carta Africana de Derechos Humanos y de los Pueblos (Carta de Banjul) </w:t>
      </w:r>
      <w:hyperlink r:id="rId37">
        <w:r>
          <w:rPr>
            <w:snapToGrid/>
            <w:sz w:val="20"/>
          </w:rPr>
          <w:t>http://www.acnur.org/t3/fileadmin/scripts/doc.php?file=t3/fileadmin/Documentos/BDL/2002/1297</w:t>
        </w:r>
      </w:hyperlink>
    </w:p>
    <w:p w:rsidR="0085717F" w:rsidRPr="00C56F90" w:rsidRDefault="0085717F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Protocolo de la Carta Africana de Derechos Humanos y de los Pueblos relativo a los derechos de la mujer en África </w:t>
      </w:r>
      <w:hyperlink r:id="rId38">
        <w:r>
          <w:rPr>
            <w:snapToGrid/>
            <w:sz w:val="20"/>
          </w:rPr>
          <w:t>http://www.achpr.org/instruments/women-protocol/</w:t>
        </w:r>
      </w:hyperlink>
    </w:p>
    <w:p w:rsidR="0085717F" w:rsidRPr="00C56F90" w:rsidRDefault="0085717F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Protocolo de la Carta Africana de Derechos Humanos y de los Pueblos Relativo al Establecimiento de una Corte Africana de Derechos Humanos y de los Pueblos </w:t>
      </w:r>
      <w:hyperlink r:id="rId39">
        <w:r>
          <w:rPr>
            <w:snapToGrid/>
            <w:sz w:val="20"/>
          </w:rPr>
          <w:t>http://www.achpr.org/instruments/court-establishment/</w:t>
        </w:r>
      </w:hyperlink>
    </w:p>
    <w:p w:rsidR="0085717F" w:rsidRPr="00C56F90" w:rsidRDefault="0085717F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Carta Africana sobre los Derechos y el Bienestar del Niño </w:t>
      </w:r>
      <w:hyperlink r:id="rId40">
        <w:r>
          <w:rPr>
            <w:snapToGrid/>
            <w:sz w:val="20"/>
          </w:rPr>
          <w:t>http://www.achpr.org/instruments/child/</w:t>
        </w:r>
      </w:hyperlink>
    </w:p>
    <w:p w:rsidR="0085717F" w:rsidRPr="00C56F90" w:rsidRDefault="0085717F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Pretoria Declaration on Economic, Social and Cultural Rights in Africa [Declaración de Pretoria sobre los derechos económicos, sociales y culturales en África] </w:t>
      </w:r>
      <w:hyperlink r:id="rId41">
        <w:r>
          <w:rPr>
            <w:snapToGrid/>
            <w:sz w:val="20"/>
          </w:rPr>
          <w:t>http://www.achpr.org/instruments/pretoria-declaration/</w:t>
        </w:r>
      </w:hyperlink>
    </w:p>
    <w:p w:rsidR="0085717F" w:rsidRPr="00C56F90" w:rsidRDefault="0085717F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Declaración sobre la Igualdad entre los Género en África </w:t>
      </w:r>
      <w:hyperlink r:id="rId42">
        <w:r>
          <w:rPr>
            <w:snapToGrid/>
            <w:sz w:val="20"/>
          </w:rPr>
          <w:t>http://www.achpr.org/instruments/declaration-on-gender-equality-in-africa/</w:t>
        </w:r>
      </w:hyperlink>
    </w:p>
    <w:p w:rsidR="00261182" w:rsidRPr="00C56F90" w:rsidRDefault="00261182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Protocolo de Swakopmund sobre la Protección de Conocimientos Tradicionales y las Expresiones de Folclore en el marco de la Organización Regional Africana de la Propiedad Intelectual (ARIPO) </w:t>
      </w:r>
      <w:hyperlink r:id="rId43">
        <w:r>
          <w:rPr>
            <w:sz w:val="20"/>
          </w:rPr>
          <w:t>http://www.wipo.int/wipolex/es/other_treaties/text.jsp?file_id=201022</w:t>
        </w:r>
      </w:hyperlink>
    </w:p>
    <w:p w:rsidR="00222A1B" w:rsidRPr="00C56F90" w:rsidRDefault="00930503" w:rsidP="00C56F9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</w:rPr>
      </w:pPr>
      <w:r>
        <w:rPr>
          <w:b/>
          <w:caps/>
          <w:snapToGrid/>
          <w:sz w:val="20"/>
        </w:rPr>
        <w:t>Textos generales</w:t>
      </w:r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Documentos sobre la política cultural en los países árabes de Al Mawred Al Thaqafy [Recurso cultural] </w:t>
      </w:r>
      <w:hyperlink r:id="rId44">
        <w:r>
          <w:rPr>
            <w:snapToGrid/>
            <w:sz w:val="20"/>
          </w:rPr>
          <w:t>http://mawred.org/cultural-policies/</w:t>
        </w:r>
      </w:hyperlink>
    </w:p>
    <w:p w:rsidR="00DA7183" w:rsidRPr="006A58A6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  <w:lang w:val="en-US"/>
        </w:rPr>
      </w:pPr>
      <w:r>
        <w:rPr>
          <w:snapToGrid/>
          <w:sz w:val="20"/>
        </w:rPr>
        <w:t xml:space="preserve">Blake, Janet. Commentary on the 2003 UNESCO Convention on the Safeguarding of the Intangible Cultural Heritage [Comentario sobre la Convención de 2003 de la UNESCO para la Salvaguardi del Patrimonio Cultural Inmaterial]. </w:t>
      </w:r>
      <w:r w:rsidRPr="006A58A6">
        <w:rPr>
          <w:snapToGrid/>
          <w:sz w:val="20"/>
          <w:lang w:val="en-US"/>
        </w:rPr>
        <w:t xml:space="preserve">Institute of Art and Law, 2006. </w:t>
      </w:r>
      <w:hyperlink r:id="rId45">
        <w:r w:rsidRPr="006A58A6">
          <w:rPr>
            <w:snapToGrid/>
            <w:sz w:val="20"/>
            <w:lang w:val="en-US"/>
          </w:rPr>
          <w:t>http://www.ial.uk.com/blake.php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>Blake, Janet. International Cultural Heritage Law [Derechos internacional relativo al patrimonio cultural]. Oxford University Press, 2015.</w:t>
      </w:r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lastRenderedPageBreak/>
        <w:t xml:space="preserve">Deacon, H.J. et al. The subtle power of intangible heritage: Legal and financial instruments for safeguarding intangible heritage [El sutil poder del patrimonio inmaterial: instrumentos de orden jurídico y financiero para la salvaguardia del patrimonio inmaterial], Human Sciences Research Council, Ciudad del Cabo, 2004. Disponible en </w:t>
      </w:r>
      <w:hyperlink r:id="rId46">
        <w:r>
          <w:rPr>
            <w:snapToGrid/>
            <w:sz w:val="20"/>
          </w:rPr>
          <w:t>http://www.hsrcpress.ac.za/product.php?productid=2044</w:t>
        </w:r>
      </w:hyperlink>
    </w:p>
    <w:p w:rsidR="00DA7183" w:rsidRPr="006A58A6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  <w:lang w:val="en-US"/>
        </w:rPr>
      </w:pPr>
      <w:r>
        <w:rPr>
          <w:snapToGrid/>
          <w:sz w:val="20"/>
        </w:rPr>
        <w:t xml:space="preserve">Forbes, D. Adapting the wheel: developing cultural policy in Africa [Desarrollo de una política cultural en África]. </w:t>
      </w:r>
      <w:r w:rsidRPr="006A58A6">
        <w:rPr>
          <w:snapToGrid/>
          <w:sz w:val="20"/>
          <w:lang w:val="en-US"/>
        </w:rPr>
        <w:t xml:space="preserve">Arterial Network, 2010. </w:t>
      </w:r>
      <w:hyperlink r:id="rId47">
        <w:r w:rsidRPr="006A58A6">
          <w:rPr>
            <w:snapToGrid/>
            <w:sz w:val="20"/>
            <w:lang w:val="en-US"/>
          </w:rPr>
          <w:t>http://www.unesco.org/new/fileadmin/MULTIMEDIA/HQ/CLT/pdf/Conv2005_ArterialNetwork_AdaptingtheWheel.pdf</w:t>
        </w:r>
      </w:hyperlink>
    </w:p>
    <w:p w:rsidR="00DA7183" w:rsidRPr="006A58A6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  <w:lang w:val="en-US"/>
        </w:rPr>
      </w:pPr>
      <w:r w:rsidRPr="007E25E3">
        <w:rPr>
          <w:snapToGrid/>
          <w:sz w:val="20"/>
          <w:lang w:val="es-AR"/>
        </w:rPr>
        <w:t>Francioni, F y Scheinin, M. Cultural Human Rights</w:t>
      </w:r>
      <w:r w:rsidR="007E25E3" w:rsidRPr="007E25E3">
        <w:rPr>
          <w:snapToGrid/>
          <w:sz w:val="20"/>
          <w:lang w:val="es-AR"/>
        </w:rPr>
        <w:t xml:space="preserve"> [Derechos culturales y humanos]</w:t>
      </w:r>
      <w:r w:rsidRPr="007E25E3">
        <w:rPr>
          <w:snapToGrid/>
          <w:sz w:val="20"/>
          <w:lang w:val="es-AR"/>
        </w:rPr>
        <w:t xml:space="preserve">. </w:t>
      </w:r>
      <w:r w:rsidRPr="006A58A6">
        <w:rPr>
          <w:snapToGrid/>
          <w:sz w:val="20"/>
          <w:lang w:val="en-US"/>
        </w:rPr>
        <w:t xml:space="preserve">Martinus Nijhoff, 2008. </w:t>
      </w:r>
      <w:hyperlink r:id="rId48" w:anchor="v=onepage&amp;amp;q&amp;amp;f=false">
        <w:r w:rsidRPr="006A58A6">
          <w:rPr>
            <w:snapToGrid/>
            <w:sz w:val="20"/>
            <w:lang w:val="en-US"/>
          </w:rPr>
          <w:t>https://books.google.co.uk/books?id=G3wee4LBrIkC&amp;printsec=frontcover&amp;source=gbs_ge_summary_r&amp;cad=0#v=onepage&amp;q&amp;f=false</w:t>
        </w:r>
      </w:hyperlink>
    </w:p>
    <w:p w:rsidR="00DA7183" w:rsidRPr="00C51265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Lixinski, Lucas. Intangible Cultural Heritage in International Law [Patrimonio cultural inmaterial y derecho internacional]. </w:t>
      </w:r>
      <w:r w:rsidRPr="006A58A6">
        <w:rPr>
          <w:snapToGrid/>
          <w:sz w:val="20"/>
          <w:lang w:val="en-US"/>
        </w:rPr>
        <w:t xml:space="preserve">Oxford: Oxford University Press, 2013. </w:t>
      </w:r>
      <w:hyperlink r:id="rId49">
        <w:r w:rsidRPr="00C51265">
          <w:rPr>
            <w:snapToGrid/>
            <w:sz w:val="20"/>
          </w:rPr>
          <w:t>https://books.google.co.uk/books?id=23hoAgAAQBAJ&amp;dq=inauthor:%22Lucas+Lixinski%22</w:t>
        </w:r>
      </w:hyperlink>
    </w:p>
    <w:p w:rsidR="00DA7183" w:rsidRPr="006A58A6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  <w:lang w:val="en-US"/>
        </w:rPr>
      </w:pPr>
      <w:r>
        <w:rPr>
          <w:snapToGrid/>
          <w:sz w:val="20"/>
        </w:rPr>
        <w:t xml:space="preserve">Park, Seong-Yong. On Intangible Heritage Safeguarding Governance: An Asia-Pacific Context [Gobernabilidad y salvaguardia del patrimonio cultural inmaterial: el contexto en Asia y el Pacífico]. </w:t>
      </w:r>
      <w:r w:rsidRPr="006A58A6">
        <w:rPr>
          <w:snapToGrid/>
          <w:sz w:val="20"/>
          <w:lang w:val="en-US"/>
        </w:rPr>
        <w:t xml:space="preserve">Cambridge Scholars Publishing, 2013. </w:t>
      </w:r>
      <w:hyperlink r:id="rId50">
        <w:r w:rsidRPr="006A58A6">
          <w:rPr>
            <w:snapToGrid/>
            <w:sz w:val="20"/>
            <w:lang w:val="en-US"/>
          </w:rPr>
          <w:t>https://books.google.co.uk/books?id=WlkxBwAAQBAJ&amp;pg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Guías de investigación sobre los pueblos indígenas en el derecho internacional </w:t>
      </w:r>
      <w:hyperlink r:id="rId51" w:anchor="bullet3">
        <w:r>
          <w:rPr>
            <w:snapToGrid/>
            <w:sz w:val="20"/>
          </w:rPr>
          <w:t>http://www.ilc.unsw.edu.au/resources/indigenous-peoples-and-international-law#bullet3</w:t>
        </w:r>
      </w:hyperlink>
      <w:r>
        <w:rPr>
          <w:snapToGrid/>
          <w:sz w:val="20"/>
        </w:rPr>
        <w:t xml:space="preserve">; véase también </w:t>
      </w:r>
      <w:hyperlink r:id="rId52" w:anchor="onlinesources">
        <w:r>
          <w:rPr>
            <w:snapToGrid/>
            <w:sz w:val="20"/>
          </w:rPr>
          <w:t>http://www.nyulawglobal.org/globalex/Researching_Indigenous_Peoples_International_Law.htm#onlinesources</w:t>
        </w:r>
      </w:hyperlink>
    </w:p>
    <w:p w:rsidR="00EB48E9" w:rsidRPr="00C56F90" w:rsidRDefault="00EB48E9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UK open policy making toolkit [Caja de herramientas abierta del Reino Unido para la formulación de políticas]: </w:t>
      </w:r>
      <w:hyperlink r:id="rId53">
        <w:r>
          <w:rPr>
            <w:snapToGrid/>
            <w:sz w:val="20"/>
          </w:rPr>
          <w:t>https://www.gov.uk/open-policy-making-toolkit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Sector de Cultura de la UNESCO (Patricio Jeretic y David Rosello Cerezuela). Operational processes for the formulation and implementation of cultural policies: some basic principles [Procesos de orden operativo para la elaboración y aplicación de políticas culturales: algunos principios básicos]. División de Políticas Culturales y Diálogo Intercultural de la UNESCO, enero de 2011. </w:t>
      </w:r>
      <w:hyperlink r:id="rId54">
        <w:r>
          <w:rPr>
            <w:snapToGrid/>
            <w:sz w:val="20"/>
          </w:rPr>
          <w:t>http://www.unesco.org/new/fileadmin/MULTIMEDIA/HQ/CLT/pdf/Operational%20Processes%20for%20the%20Formulation%20of%20Cultural%20Policies.pdf</w:t>
        </w:r>
      </w:hyperlink>
    </w:p>
    <w:p w:rsidR="00DA7183" w:rsidRPr="00C56F90" w:rsidRDefault="00E0177E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  <w:lang w:val="en-US"/>
        </w:rPr>
        <w:t>UNESCO, “</w:t>
      </w:r>
      <w:r w:rsidR="00DA7183" w:rsidRPr="006A58A6">
        <w:rPr>
          <w:snapToGrid/>
          <w:sz w:val="20"/>
          <w:lang w:val="en-US"/>
        </w:rPr>
        <w:t>Towards codes of ethics for intangible cultural heritage?</w:t>
      </w:r>
      <w:r>
        <w:rPr>
          <w:snapToGrid/>
          <w:sz w:val="20"/>
          <w:lang w:val="en-US"/>
        </w:rPr>
        <w:t>”</w:t>
      </w:r>
      <w:r w:rsidR="00DA7183" w:rsidRPr="006A58A6">
        <w:rPr>
          <w:snapToGrid/>
          <w:sz w:val="20"/>
          <w:lang w:val="en-US"/>
        </w:rPr>
        <w:t xml:space="preserve"> </w:t>
      </w:r>
      <w:r w:rsidR="00DA7183">
        <w:rPr>
          <w:snapToGrid/>
          <w:sz w:val="20"/>
        </w:rPr>
        <w:t>[¿Hacia un conjunto de códigos de ética para el patrimonio cultural inmaterial?] Notas preliminares: Reunión de expertos para establecer un código de ética modelo para el patrimonio cultural inmaterial. Valencia, España, del 30 de marzo al 1 de abril de 2015. (</w:t>
      </w:r>
      <w:hyperlink r:id="rId55">
        <w:r w:rsidR="00DA7183">
          <w:rPr>
            <w:snapToGrid/>
            <w:sz w:val="20"/>
          </w:rPr>
          <w:t>http://www.unesco.org/culture/ich/index.php?lg=en&amp;pg=00015&amp;key=809</w:t>
        </w:r>
      </w:hyperlink>
      <w:r w:rsidR="00DA7183">
        <w:rPr>
          <w:snapToGrid/>
          <w:sz w:val="20"/>
        </w:rPr>
        <w:t>).</w:t>
      </w:r>
    </w:p>
    <w:p w:rsidR="00DA7183" w:rsidRPr="006A58A6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  <w:lang w:val="en-US"/>
        </w:rPr>
      </w:pPr>
      <w:r w:rsidRPr="006A58A6">
        <w:rPr>
          <w:snapToGrid/>
          <w:sz w:val="20"/>
          <w:lang w:val="en-US"/>
        </w:rPr>
        <w:t>Wendland, Wend. ‘Intangible Heritage and Intellectual Property: Challenges and Future Prospects’ Museum International</w:t>
      </w:r>
      <w:r w:rsidR="00E0177E">
        <w:rPr>
          <w:snapToGrid/>
          <w:sz w:val="20"/>
          <w:lang w:val="en-US"/>
        </w:rPr>
        <w:t>”</w:t>
      </w:r>
      <w:r w:rsidRPr="006A58A6">
        <w:rPr>
          <w:snapToGrid/>
          <w:sz w:val="20"/>
          <w:lang w:val="en-US"/>
        </w:rPr>
        <w:t xml:space="preserve"> [Patrimonio cultural inmaterial y propiedad </w:t>
      </w:r>
      <w:r w:rsidR="00E0177E">
        <w:rPr>
          <w:snapToGrid/>
          <w:sz w:val="20"/>
          <w:lang w:val="en-US"/>
        </w:rPr>
        <w:t>intellectual</w:t>
      </w:r>
      <w:r w:rsidRPr="006A58A6">
        <w:rPr>
          <w:snapToGrid/>
          <w:sz w:val="20"/>
          <w:lang w:val="en-US"/>
        </w:rPr>
        <w:t>]: Vol. 56, 2004.</w:t>
      </w:r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>
        <w:rPr>
          <w:snapToGrid/>
          <w:sz w:val="20"/>
        </w:rPr>
        <w:t xml:space="preserve">OMPI, Elaboración de una estrategia nacional sobre propiedad intelectual y conocimientos tradicionales, expresiones culturales tradicionales y recursos genéticos (árabe, chino, español, francés, inglés y ruso): </w:t>
      </w:r>
      <w:hyperlink r:id="rId56">
        <w:r>
          <w:rPr>
            <w:snapToGrid/>
            <w:sz w:val="20"/>
          </w:rPr>
          <w:t>http://www.wipo.int/export/sites/www/tk/en/resources/pdf/tk_brief3.pdf</w:t>
        </w:r>
      </w:hyperlink>
    </w:p>
    <w:p w:rsidR="008E771A" w:rsidRPr="00C56F90" w:rsidRDefault="008E771A" w:rsidP="00C56F9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</w:rPr>
      </w:pPr>
      <w:r>
        <w:rPr>
          <w:b/>
          <w:caps/>
          <w:snapToGrid/>
          <w:sz w:val="20"/>
        </w:rPr>
        <w:lastRenderedPageBreak/>
        <w:t>Estudios de caso</w:t>
      </w:r>
    </w:p>
    <w:p w:rsidR="00A43404" w:rsidRPr="006A58A6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z w:val="20"/>
          <w:szCs w:val="20"/>
          <w:lang w:val="en-US"/>
        </w:rPr>
      </w:pPr>
      <w:r w:rsidRPr="006A58A6">
        <w:rPr>
          <w:snapToGrid/>
          <w:sz w:val="20"/>
          <w:lang w:val="en-US"/>
        </w:rPr>
        <w:t xml:space="preserve">Bendix, Regina F.; Eggert, Aditya; Peselmann, Arnika (Comps.) </w:t>
      </w:r>
      <w:r>
        <w:rPr>
          <w:i/>
          <w:snapToGrid/>
          <w:sz w:val="20"/>
        </w:rPr>
        <w:t xml:space="preserve">Heritage Regimes and the State </w:t>
      </w:r>
      <w:r>
        <w:rPr>
          <w:snapToGrid/>
          <w:sz w:val="20"/>
        </w:rPr>
        <w:t>[Sistemas de patrimonio cultural y el Estado]</w:t>
      </w:r>
      <w:r>
        <w:rPr>
          <w:i/>
          <w:snapToGrid/>
          <w:sz w:val="20"/>
        </w:rPr>
        <w:t xml:space="preserve">. </w:t>
      </w:r>
      <w:r w:rsidRPr="006A58A6">
        <w:rPr>
          <w:sz w:val="20"/>
          <w:lang w:val="en-US"/>
        </w:rPr>
        <w:t>Göttingen Studies in Cultural Property, Volume 6. (</w:t>
      </w:r>
      <w:hyperlink r:id="rId57">
        <w:r w:rsidRPr="006A58A6">
          <w:rPr>
            <w:rStyle w:val="Hyperlink"/>
            <w:sz w:val="20"/>
            <w:lang w:val="en-US"/>
          </w:rPr>
          <w:t>http://resolver.sub.uni-goettingen.de/purl?isbn-978-3-86395-122-1</w:t>
        </w:r>
      </w:hyperlink>
      <w:r w:rsidRPr="006A58A6">
        <w:rPr>
          <w:sz w:val="20"/>
          <w:lang w:val="en-US"/>
        </w:rPr>
        <w:t>)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>
        <w:rPr>
          <w:snapToGrid/>
          <w:sz w:val="20"/>
        </w:rPr>
        <w:t>Cadaval, Olivia, y Cristina Diaz</w:t>
      </w:r>
      <w:r>
        <w:rPr>
          <w:rFonts w:ascii="Cambria Math" w:hAnsi="Cambria Math"/>
          <w:snapToGrid/>
          <w:sz w:val="20"/>
        </w:rPr>
        <w:t>‐</w:t>
      </w:r>
      <w:r>
        <w:rPr>
          <w:snapToGrid/>
          <w:sz w:val="20"/>
        </w:rPr>
        <w:t xml:space="preserve">Carrera. </w:t>
      </w:r>
      <w:r w:rsidR="00E0177E">
        <w:rPr>
          <w:snapToGrid/>
          <w:sz w:val="20"/>
        </w:rPr>
        <w:t>“</w:t>
      </w:r>
      <w:r>
        <w:rPr>
          <w:snapToGrid/>
          <w:sz w:val="20"/>
        </w:rPr>
        <w:t>The Smithsonian Folklife Festival and Cultural Heritage P</w:t>
      </w:r>
      <w:r w:rsidR="00E0177E">
        <w:rPr>
          <w:snapToGrid/>
          <w:sz w:val="20"/>
        </w:rPr>
        <w:t>olicy in Colombia: A Case Study”</w:t>
      </w:r>
      <w:r>
        <w:rPr>
          <w:snapToGrid/>
          <w:sz w:val="20"/>
        </w:rPr>
        <w:t xml:space="preserve"> [El festival smithsoniano de folklore y la política de patrimonio cultural en Colombia: Un estudio de caso]. Curator: The Museum Journal 57.4 (2014): 423-36.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>
        <w:rPr>
          <w:snapToGrid/>
          <w:sz w:val="20"/>
        </w:rPr>
        <w:t xml:space="preserve">Carvalho, A. 2008. Portuguese legislation on intangible cultural heritage and inventories [Legislación portuguesa sobre patrimonio cultural inmaterial e inventarios]. En El patrimonio cultural inmaterial. Definición y sistemas de catalogación: actas del seminario internacional, Murcia, 15 - 16 de febrero de 2007, ed. Inma García Simo, pp.173 - 184. Murcia: Comunidad Autónoma de la Región de Murcia. Disponible en: </w:t>
      </w:r>
      <w:hyperlink r:id="rId58">
        <w:r>
          <w:rPr>
            <w:snapToGrid/>
            <w:sz w:val="20"/>
          </w:rPr>
          <w:t>http://www.rdpc.uevora.pt/bitstream/10174/8972/1/GARCIA%20SIMO%20-%20El%20patrimonio%20cultural%20inmaterial.pdf</w:t>
        </w:r>
      </w:hyperlink>
    </w:p>
    <w:p w:rsidR="00A43404" w:rsidRPr="00730994" w:rsidRDefault="00B130FE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>
        <w:rPr>
          <w:snapToGrid/>
          <w:sz w:val="20"/>
        </w:rPr>
        <w:t xml:space="preserve">Corá, Maria Amelia Jundurian </w:t>
      </w:r>
      <w:r w:rsidR="00E0177E">
        <w:rPr>
          <w:snapToGrid/>
          <w:sz w:val="20"/>
        </w:rPr>
        <w:t>“</w:t>
      </w:r>
      <w:r>
        <w:rPr>
          <w:snapToGrid/>
          <w:sz w:val="20"/>
        </w:rPr>
        <w:t>Public Cultural Policies in Brazil: From the Material to the Immaterial Heritage</w:t>
      </w:r>
      <w:r w:rsidR="00E0177E">
        <w:rPr>
          <w:snapToGrid/>
          <w:sz w:val="20"/>
        </w:rPr>
        <w:t>”</w:t>
      </w:r>
      <w:r>
        <w:rPr>
          <w:snapToGrid/>
          <w:sz w:val="20"/>
        </w:rPr>
        <w:t xml:space="preserve"> [Políticas públicas culturales en el Brasil: del patrimonio material al inmaterial]. Revista de Administração Pública 48.5 (2014): 1093.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>
        <w:rPr>
          <w:snapToGrid/>
          <w:sz w:val="20"/>
        </w:rPr>
        <w:t xml:space="preserve">Deacon, H.J. </w:t>
      </w:r>
      <w:r w:rsidR="00E0177E">
        <w:rPr>
          <w:snapToGrid/>
          <w:sz w:val="20"/>
        </w:rPr>
        <w:t>“</w:t>
      </w:r>
      <w:r>
        <w:rPr>
          <w:snapToGrid/>
          <w:sz w:val="20"/>
        </w:rPr>
        <w:t>At arm’s length: The relationship between research and policy in arts and culture, 1992–2007</w:t>
      </w:r>
      <w:r w:rsidR="00E0177E">
        <w:rPr>
          <w:snapToGrid/>
          <w:sz w:val="20"/>
        </w:rPr>
        <w:t>”</w:t>
      </w:r>
      <w:r>
        <w:rPr>
          <w:snapToGrid/>
          <w:sz w:val="20"/>
        </w:rPr>
        <w:t xml:space="preserve"> [La relación entre investigación y políticas en el arte y la cultura, 1992-2007] (CHET, South Africa, 2010) </w:t>
      </w:r>
      <w:hyperlink r:id="rId59">
        <w:r>
          <w:rPr>
            <w:snapToGrid/>
            <w:sz w:val="20"/>
          </w:rPr>
          <w:t>http://www.chet.org.za/files/uploads/reports/Deacon%202010%20At%20Arms%20Length%20WEB.pdf</w:t>
        </w:r>
      </w:hyperlink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 w:rsidRPr="006A58A6">
        <w:rPr>
          <w:snapToGrid/>
          <w:sz w:val="20"/>
          <w:lang w:val="en-US"/>
        </w:rPr>
        <w:t xml:space="preserve">Forsyth, M. 2012, </w:t>
      </w:r>
      <w:r w:rsidR="00E0177E">
        <w:rPr>
          <w:snapToGrid/>
          <w:sz w:val="20"/>
          <w:lang w:val="en-US"/>
        </w:rPr>
        <w:t>“</w:t>
      </w:r>
      <w:r w:rsidRPr="006A58A6">
        <w:rPr>
          <w:snapToGrid/>
          <w:sz w:val="20"/>
          <w:lang w:val="en-US"/>
        </w:rPr>
        <w:t xml:space="preserve">Lifting the Lid on </w:t>
      </w:r>
      <w:r w:rsidR="00E0177E">
        <w:rPr>
          <w:snapToGrid/>
          <w:sz w:val="20"/>
          <w:lang w:val="en-US"/>
        </w:rPr>
        <w:t>‘the Community’</w:t>
      </w:r>
      <w:r w:rsidRPr="006A58A6">
        <w:rPr>
          <w:snapToGrid/>
          <w:sz w:val="20"/>
          <w:lang w:val="en-US"/>
        </w:rPr>
        <w:t>: Who has the Right to Control Access to Traditional Knowle</w:t>
      </w:r>
      <w:r w:rsidR="00E0177E">
        <w:rPr>
          <w:snapToGrid/>
          <w:sz w:val="20"/>
          <w:lang w:val="en-US"/>
        </w:rPr>
        <w:t>dge and Expressions of Culture?”</w:t>
      </w:r>
      <w:r w:rsidRPr="006A58A6">
        <w:rPr>
          <w:snapToGrid/>
          <w:sz w:val="20"/>
          <w:lang w:val="en-US"/>
        </w:rPr>
        <w:t xml:space="preserve"> </w:t>
      </w:r>
      <w:r>
        <w:rPr>
          <w:snapToGrid/>
          <w:sz w:val="20"/>
        </w:rPr>
        <w:t>[¿</w:t>
      </w:r>
      <w:r w:rsidR="007E25E3">
        <w:rPr>
          <w:snapToGrid/>
          <w:sz w:val="20"/>
        </w:rPr>
        <w:t>De quién es el</w:t>
      </w:r>
      <w:r>
        <w:rPr>
          <w:snapToGrid/>
          <w:sz w:val="20"/>
        </w:rPr>
        <w:t xml:space="preserve"> derecho a controlar el acceso a los conocimientos tradicionales y las expresiones de la cultura?] International Journal of Cultural Property, 19, pp.1-31.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>
        <w:rPr>
          <w:snapToGrid/>
          <w:sz w:val="20"/>
        </w:rPr>
        <w:t xml:space="preserve">Keitumetse, S. (2006). UNESCO 2003 Convention on Intangible Heritage: practical implications for heritage management approaches in Africa [La Convención de la UNESCO de 2003 para el Patrimonio Cultural Inmaterial: implicaciones de orden práctico para los enfoques de gestión del </w:t>
      </w:r>
      <w:r w:rsidR="007E25E3">
        <w:rPr>
          <w:snapToGrid/>
          <w:sz w:val="20"/>
        </w:rPr>
        <w:t xml:space="preserve">patrimonio cultural en África]. </w:t>
      </w:r>
      <w:r>
        <w:rPr>
          <w:snapToGrid/>
          <w:sz w:val="20"/>
        </w:rPr>
        <w:t xml:space="preserve">The South </w:t>
      </w:r>
      <w:bookmarkStart w:id="0" w:name="_GoBack"/>
      <w:bookmarkEnd w:id="0"/>
      <w:r>
        <w:rPr>
          <w:snapToGrid/>
          <w:sz w:val="20"/>
        </w:rPr>
        <w:t>African Archaeological Bulletin, 166-171.</w:t>
      </w:r>
    </w:p>
    <w:p w:rsidR="00A43404" w:rsidRPr="00730994" w:rsidRDefault="00206A27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>
        <w:rPr>
          <w:snapToGrid/>
          <w:sz w:val="20"/>
        </w:rPr>
        <w:t xml:space="preserve">Kim, YG. </w:t>
      </w:r>
      <w:r w:rsidR="00E0177E">
        <w:rPr>
          <w:snapToGrid/>
          <w:sz w:val="20"/>
        </w:rPr>
        <w:t>“</w:t>
      </w:r>
      <w:r>
        <w:rPr>
          <w:snapToGrid/>
          <w:sz w:val="20"/>
        </w:rPr>
        <w:t>The Policy for Intangible Cultural Heritage of Republic of Korea and Japan</w:t>
      </w:r>
      <w:r w:rsidR="00E0177E">
        <w:rPr>
          <w:snapToGrid/>
          <w:sz w:val="20"/>
        </w:rPr>
        <w:t>”</w:t>
      </w:r>
      <w:r>
        <w:rPr>
          <w:snapToGrid/>
          <w:sz w:val="20"/>
        </w:rPr>
        <w:t xml:space="preserve"> [La política para el patrimonio cultural inmaterial en la República de Corea y el Japón]. Milli Folklor 78 (2008): 12-21.</w:t>
      </w:r>
    </w:p>
    <w:p w:rsidR="00A43404" w:rsidRPr="006A58A6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  <w:lang w:val="en-US"/>
        </w:rPr>
      </w:pPr>
      <w:r>
        <w:rPr>
          <w:snapToGrid/>
          <w:sz w:val="20"/>
        </w:rPr>
        <w:t>Miyata, S. 2013. Intangible Cultural Heritage Policy in Japan [La política para el patrimonio cultural inmaterial en el Japón]. En L. Arizpe &amp; C. Amescua (Comps.), Anthropological Perspectives on Intangible Cultural Heritage [Perspectivas antropoló</w:t>
      </w:r>
      <w:r w:rsidR="007E25E3">
        <w:rPr>
          <w:snapToGrid/>
          <w:sz w:val="20"/>
        </w:rPr>
        <w:t>g</w:t>
      </w:r>
      <w:r>
        <w:rPr>
          <w:snapToGrid/>
          <w:sz w:val="20"/>
        </w:rPr>
        <w:t xml:space="preserve">icas sobre el patrimonio cultural inmaterial]. </w:t>
      </w:r>
      <w:r w:rsidRPr="006A58A6">
        <w:rPr>
          <w:snapToGrid/>
          <w:sz w:val="20"/>
          <w:lang w:val="en-US"/>
        </w:rPr>
        <w:t>(Berlin, Heidelberg: Springer Verlag, Springer Briefs in Environment, Security, Development and Peace (ESDP) Vol. 46)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>
        <w:rPr>
          <w:snapToGrid/>
          <w:sz w:val="20"/>
        </w:rPr>
        <w:t xml:space="preserve">Skounti, A. Le patrimoine culturel immatériel au Maghreb [El patrimonio cultural inmaterial en el Maghreb] (UNESCO, 2009) </w:t>
      </w:r>
      <w:hyperlink r:id="rId60">
        <w:r>
          <w:rPr>
            <w:snapToGrid/>
            <w:sz w:val="20"/>
          </w:rPr>
          <w:t>https://www.academia.edu/4138544/Le_patrimoine_culturel_immat%C3%A9riel_au_Maghreb</w:t>
        </w:r>
      </w:hyperlink>
    </w:p>
    <w:sectPr w:rsidR="00A43404" w:rsidRPr="00730994" w:rsidSect="00730994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B9" w:rsidRDefault="005F11B9" w:rsidP="004E2A0A">
      <w:pPr>
        <w:spacing w:before="0" w:after="0"/>
      </w:pPr>
      <w:r>
        <w:separator/>
      </w:r>
    </w:p>
  </w:endnote>
  <w:endnote w:type="continuationSeparator" w:id="0">
    <w:p w:rsidR="005F11B9" w:rsidRDefault="005F11B9" w:rsidP="004E2A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4" w:rsidRPr="00730994" w:rsidRDefault="00C51265" w:rsidP="00730994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</w:rPr>
    </w:pPr>
    <w:r>
      <w:rPr>
        <w:noProof/>
        <w:lang w:val="fr-FR" w:eastAsia="ja-JP"/>
      </w:rPr>
      <w:drawing>
        <wp:anchor distT="0" distB="0" distL="114300" distR="114300" simplePos="0" relativeHeight="251678720" behindDoc="0" locked="0" layoutInCell="1" allowOverlap="1" wp14:anchorId="1522C554" wp14:editId="71F8E734">
          <wp:simplePos x="0" y="0"/>
          <wp:positionH relativeFrom="column">
            <wp:posOffset>2593074</wp:posOffset>
          </wp:positionH>
          <wp:positionV relativeFrom="paragraph">
            <wp:posOffset>12748</wp:posOffset>
          </wp:positionV>
          <wp:extent cx="542290" cy="189230"/>
          <wp:effectExtent l="0" t="0" r="0" b="127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A5C">
      <w:rPr>
        <w:rFonts w:eastAsia="Calibri" w:cs="Times New Roman"/>
        <w:noProof/>
        <w:snapToGrid/>
        <w:sz w:val="16"/>
        <w:szCs w:val="22"/>
        <w:lang w:val="fr-FR" w:eastAsia="ja-JP" w:bidi="ar-SA"/>
      </w:rPr>
      <w:drawing>
        <wp:anchor distT="0" distB="0" distL="114300" distR="114300" simplePos="0" relativeHeight="251666432" behindDoc="0" locked="0" layoutInCell="1" allowOverlap="1" wp14:anchorId="7F8A0D9D" wp14:editId="6E39487A">
          <wp:simplePos x="0" y="0"/>
          <wp:positionH relativeFrom="column">
            <wp:posOffset>-111172</wp:posOffset>
          </wp:positionH>
          <wp:positionV relativeFrom="paragraph">
            <wp:posOffset>-260985</wp:posOffset>
          </wp:positionV>
          <wp:extent cx="941274" cy="682966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274" cy="682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994">
      <w:tab/>
    </w:r>
    <w:r w:rsidR="00730994">
      <w:tab/>
    </w:r>
    <w:r w:rsidR="00730994">
      <w:rPr>
        <w:snapToGrid/>
        <w:sz w:val="16"/>
      </w:rPr>
      <w:t>U055-v1.0-HO3-ES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4" w:rsidRPr="00730994" w:rsidRDefault="00C51265" w:rsidP="00730994">
    <w:pPr>
      <w:tabs>
        <w:tab w:val="clear" w:pos="567"/>
        <w:tab w:val="left" w:pos="2880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</w:rPr>
    </w:pPr>
    <w:r>
      <w:rPr>
        <w:noProof/>
        <w:lang w:val="fr-FR" w:eastAsia="ja-JP"/>
      </w:rPr>
      <w:drawing>
        <wp:anchor distT="0" distB="0" distL="114300" distR="114300" simplePos="0" relativeHeight="251680768" behindDoc="0" locked="0" layoutInCell="1" allowOverlap="1" wp14:anchorId="1522C554" wp14:editId="71F8E734">
          <wp:simplePos x="0" y="0"/>
          <wp:positionH relativeFrom="column">
            <wp:posOffset>2593074</wp:posOffset>
          </wp:positionH>
          <wp:positionV relativeFrom="paragraph">
            <wp:posOffset>12747</wp:posOffset>
          </wp:positionV>
          <wp:extent cx="542290" cy="189230"/>
          <wp:effectExtent l="0" t="0" r="0" b="127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A5C">
      <w:rPr>
        <w:rFonts w:eastAsia="Calibri" w:cs="Times New Roman"/>
        <w:noProof/>
        <w:snapToGrid/>
        <w:sz w:val="16"/>
        <w:szCs w:val="22"/>
        <w:lang w:val="fr-FR" w:eastAsia="ja-JP" w:bidi="ar-SA"/>
      </w:rPr>
      <w:drawing>
        <wp:anchor distT="0" distB="0" distL="114300" distR="114300" simplePos="0" relativeHeight="251668480" behindDoc="0" locked="0" layoutInCell="1" allowOverlap="1" wp14:anchorId="0AFAD237" wp14:editId="535F3084">
          <wp:simplePos x="0" y="0"/>
          <wp:positionH relativeFrom="column">
            <wp:posOffset>5180965</wp:posOffset>
          </wp:positionH>
          <wp:positionV relativeFrom="paragraph">
            <wp:posOffset>-261620</wp:posOffset>
          </wp:positionV>
          <wp:extent cx="941070" cy="682625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994">
      <w:rPr>
        <w:snapToGrid/>
        <w:sz w:val="16"/>
      </w:rPr>
      <w:t>U055-v1.0-HO3-ES</w:t>
    </w:r>
    <w:r w:rsidR="00730994">
      <w:tab/>
    </w:r>
    <w:r w:rsidR="00E20A01">
      <w:tab/>
    </w:r>
    <w:r w:rsidR="0073099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4" w:rsidRPr="00730994" w:rsidRDefault="00C51265" w:rsidP="00730994">
    <w:pPr>
      <w:tabs>
        <w:tab w:val="clear" w:pos="567"/>
        <w:tab w:val="left" w:pos="2520"/>
        <w:tab w:val="center" w:pos="4680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</w:rPr>
    </w:pPr>
    <w:r>
      <w:rPr>
        <w:noProof/>
        <w:lang w:val="fr-FR" w:eastAsia="ja-JP"/>
      </w:rPr>
      <w:drawing>
        <wp:anchor distT="0" distB="0" distL="114300" distR="114300" simplePos="0" relativeHeight="251676672" behindDoc="0" locked="0" layoutInCell="1" allowOverlap="1" wp14:anchorId="1522C554" wp14:editId="71F8E734">
          <wp:simplePos x="0" y="0"/>
          <wp:positionH relativeFrom="column">
            <wp:posOffset>2593074</wp:posOffset>
          </wp:positionH>
          <wp:positionV relativeFrom="paragraph">
            <wp:posOffset>12748</wp:posOffset>
          </wp:positionV>
          <wp:extent cx="542290" cy="189230"/>
          <wp:effectExtent l="0" t="0" r="0" b="127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A5C">
      <w:rPr>
        <w:rFonts w:eastAsia="Calibri" w:cs="Times New Roman"/>
        <w:noProof/>
        <w:snapToGrid/>
        <w:sz w:val="16"/>
        <w:szCs w:val="22"/>
        <w:lang w:val="fr-FR" w:eastAsia="ja-JP" w:bidi="ar-SA"/>
      </w:rPr>
      <w:drawing>
        <wp:anchor distT="0" distB="0" distL="114300" distR="114300" simplePos="0" relativeHeight="251664384" behindDoc="0" locked="0" layoutInCell="1" allowOverlap="1" wp14:anchorId="413B6ABE" wp14:editId="1F7AD46A">
          <wp:simplePos x="0" y="0"/>
          <wp:positionH relativeFrom="column">
            <wp:posOffset>5028565</wp:posOffset>
          </wp:positionH>
          <wp:positionV relativeFrom="paragraph">
            <wp:posOffset>-261604</wp:posOffset>
          </wp:positionV>
          <wp:extent cx="941274" cy="682966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274" cy="682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994">
      <w:rPr>
        <w:snapToGrid/>
        <w:sz w:val="16"/>
      </w:rPr>
      <w:t>U055-v1.0-HO3-ES</w:t>
    </w:r>
    <w:r w:rsidR="00730994">
      <w:tab/>
    </w:r>
    <w:r w:rsidR="00E20A01">
      <w:tab/>
    </w:r>
    <w:r w:rsidR="007309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B9" w:rsidRDefault="005F11B9" w:rsidP="004E2A0A">
      <w:pPr>
        <w:spacing w:before="0" w:after="0"/>
      </w:pPr>
      <w:r>
        <w:separator/>
      </w:r>
    </w:p>
  </w:footnote>
  <w:footnote w:type="continuationSeparator" w:id="0">
    <w:p w:rsidR="005F11B9" w:rsidRDefault="005F11B9" w:rsidP="004E2A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4" w:rsidRPr="00730994" w:rsidRDefault="00730994" w:rsidP="00730994">
    <w:pPr>
      <w:tabs>
        <w:tab w:val="clear" w:pos="567"/>
        <w:tab w:val="center" w:pos="4423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</w:rPr>
    </w:pPr>
    <w:r w:rsidRPr="00F51F90">
      <w:rPr>
        <w:rFonts w:eastAsia="Calibri" w:cs="Times New Roman"/>
        <w:snapToGrid/>
        <w:sz w:val="16"/>
        <w:szCs w:val="22"/>
      </w:rPr>
      <w:fldChar w:fldCharType="begin"/>
    </w:r>
    <w:r w:rsidRPr="00F51F90">
      <w:rPr>
        <w:rFonts w:eastAsia="Calibri" w:cs="Times New Roman"/>
        <w:snapToGrid/>
        <w:sz w:val="16"/>
        <w:szCs w:val="22"/>
      </w:rPr>
      <w:instrText xml:space="preserve"> PAGE </w:instrText>
    </w:r>
    <w:r w:rsidRPr="00F51F90">
      <w:rPr>
        <w:rFonts w:eastAsia="Calibri" w:cs="Times New Roman"/>
        <w:snapToGrid/>
        <w:sz w:val="16"/>
        <w:szCs w:val="22"/>
      </w:rPr>
      <w:fldChar w:fldCharType="separate"/>
    </w:r>
    <w:r w:rsidR="00C51265">
      <w:rPr>
        <w:rFonts w:eastAsia="Calibri" w:cs="Times New Roman"/>
        <w:noProof/>
        <w:snapToGrid/>
        <w:sz w:val="16"/>
        <w:szCs w:val="22"/>
      </w:rPr>
      <w:t>4</w:t>
    </w:r>
    <w:r w:rsidRPr="00F51F90">
      <w:rPr>
        <w:rFonts w:eastAsia="Calibri" w:cs="Times New Roman"/>
        <w:snapToGrid/>
        <w:sz w:val="16"/>
        <w:szCs w:val="22"/>
      </w:rPr>
      <w:fldChar w:fldCharType="end"/>
    </w:r>
    <w:r>
      <w:tab/>
    </w:r>
    <w:r>
      <w:rPr>
        <w:snapToGrid/>
        <w:sz w:val="16"/>
      </w:rPr>
      <w:t>Unidad 55: Taller sobre elaboración de políticas para la salvaguardia del PCI</w:t>
    </w:r>
    <w:r>
      <w:tab/>
    </w:r>
    <w:r>
      <w:rPr>
        <w:snapToGrid/>
        <w:sz w:val="16"/>
      </w:rPr>
      <w:t>Folleto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71" w:rsidRPr="00730994" w:rsidRDefault="00730994" w:rsidP="00730994">
    <w:pPr>
      <w:tabs>
        <w:tab w:val="clear" w:pos="567"/>
        <w:tab w:val="center" w:pos="4423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</w:rPr>
    </w:pPr>
    <w:r>
      <w:rPr>
        <w:snapToGrid/>
        <w:sz w:val="16"/>
      </w:rPr>
      <w:t>Folleto 3</w:t>
    </w:r>
    <w:r>
      <w:tab/>
    </w:r>
    <w:r>
      <w:rPr>
        <w:snapToGrid/>
        <w:sz w:val="16"/>
      </w:rPr>
      <w:t>Unidad 55: Taller sobre elaboración de políticas para la salvaguardia del PCI</w:t>
    </w:r>
    <w:r>
      <w:tab/>
    </w:r>
    <w:r w:rsidRPr="005514D8">
      <w:rPr>
        <w:rFonts w:eastAsia="Calibri" w:cs="Times New Roman"/>
        <w:snapToGrid/>
        <w:sz w:val="16"/>
        <w:szCs w:val="22"/>
      </w:rPr>
      <w:fldChar w:fldCharType="begin"/>
    </w:r>
    <w:r w:rsidRPr="005514D8">
      <w:rPr>
        <w:rFonts w:eastAsia="Calibri" w:cs="Times New Roman"/>
        <w:snapToGrid/>
        <w:sz w:val="16"/>
        <w:szCs w:val="22"/>
      </w:rPr>
      <w:instrText xml:space="preserve"> PAGE </w:instrText>
    </w:r>
    <w:r w:rsidRPr="005514D8">
      <w:rPr>
        <w:rFonts w:eastAsia="Calibri" w:cs="Times New Roman"/>
        <w:snapToGrid/>
        <w:sz w:val="16"/>
        <w:szCs w:val="22"/>
      </w:rPr>
      <w:fldChar w:fldCharType="separate"/>
    </w:r>
    <w:r w:rsidR="00C51265">
      <w:rPr>
        <w:rFonts w:eastAsia="Calibri" w:cs="Times New Roman"/>
        <w:noProof/>
        <w:snapToGrid/>
        <w:sz w:val="16"/>
        <w:szCs w:val="22"/>
      </w:rPr>
      <w:t>5</w:t>
    </w:r>
    <w:r w:rsidRPr="005514D8">
      <w:rPr>
        <w:rFonts w:eastAsia="Calibri" w:cs="Times New Roman"/>
        <w:snapToGrid/>
        <w:sz w:val="16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4" w:rsidRPr="00730994" w:rsidRDefault="006A58A6" w:rsidP="00730994">
    <w:pPr>
      <w:pStyle w:val="Header"/>
      <w:jc w:val="center"/>
      <w:rPr>
        <w:sz w:val="16"/>
        <w:szCs w:val="16"/>
      </w:rPr>
    </w:pPr>
    <w:r>
      <w:rPr>
        <w:sz w:val="16"/>
      </w:rPr>
      <w:t xml:space="preserve">Folleto </w:t>
    </w:r>
    <w:r w:rsidR="00730994">
      <w:rPr>
        <w:sz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751F"/>
    <w:multiLevelType w:val="hybridMultilevel"/>
    <w:tmpl w:val="DCE2760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9C461F"/>
    <w:multiLevelType w:val="hybridMultilevel"/>
    <w:tmpl w:val="8C52A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495A"/>
    <w:multiLevelType w:val="hybridMultilevel"/>
    <w:tmpl w:val="A5A4FC2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F8C1EAC"/>
    <w:multiLevelType w:val="hybridMultilevel"/>
    <w:tmpl w:val="CB3EB216"/>
    <w:lvl w:ilvl="0" w:tplc="094E5486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7365"/>
    <w:multiLevelType w:val="hybridMultilevel"/>
    <w:tmpl w:val="944CB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332F"/>
    <w:multiLevelType w:val="hybridMultilevel"/>
    <w:tmpl w:val="B554E72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325E7"/>
    <w:multiLevelType w:val="hybridMultilevel"/>
    <w:tmpl w:val="733EB2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8FE17D5"/>
    <w:multiLevelType w:val="hybridMultilevel"/>
    <w:tmpl w:val="F23A4F5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775C28"/>
    <w:multiLevelType w:val="hybridMultilevel"/>
    <w:tmpl w:val="830C02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49"/>
    <w:rsid w:val="00016979"/>
    <w:rsid w:val="00052AF7"/>
    <w:rsid w:val="000641DF"/>
    <w:rsid w:val="000A15F3"/>
    <w:rsid w:val="000C2822"/>
    <w:rsid w:val="000C75A3"/>
    <w:rsid w:val="001267A3"/>
    <w:rsid w:val="0013708A"/>
    <w:rsid w:val="00166F64"/>
    <w:rsid w:val="001872A9"/>
    <w:rsid w:val="001B11B8"/>
    <w:rsid w:val="001D1B08"/>
    <w:rsid w:val="001E3A2C"/>
    <w:rsid w:val="001F3853"/>
    <w:rsid w:val="001F43F3"/>
    <w:rsid w:val="00206A27"/>
    <w:rsid w:val="00222A1B"/>
    <w:rsid w:val="00234584"/>
    <w:rsid w:val="00245904"/>
    <w:rsid w:val="00261182"/>
    <w:rsid w:val="00274197"/>
    <w:rsid w:val="00285A64"/>
    <w:rsid w:val="002959B7"/>
    <w:rsid w:val="00296324"/>
    <w:rsid w:val="002B0F2E"/>
    <w:rsid w:val="002F2CA2"/>
    <w:rsid w:val="002F5C70"/>
    <w:rsid w:val="00377144"/>
    <w:rsid w:val="00397BF7"/>
    <w:rsid w:val="003E7C47"/>
    <w:rsid w:val="00423786"/>
    <w:rsid w:val="00477769"/>
    <w:rsid w:val="004E2A0A"/>
    <w:rsid w:val="004F52B6"/>
    <w:rsid w:val="005120E5"/>
    <w:rsid w:val="005128B8"/>
    <w:rsid w:val="0052264E"/>
    <w:rsid w:val="00525B64"/>
    <w:rsid w:val="005600CB"/>
    <w:rsid w:val="005A24B4"/>
    <w:rsid w:val="005F11B9"/>
    <w:rsid w:val="005F2A94"/>
    <w:rsid w:val="00606C5C"/>
    <w:rsid w:val="00614470"/>
    <w:rsid w:val="00614EAC"/>
    <w:rsid w:val="006177C5"/>
    <w:rsid w:val="0062760C"/>
    <w:rsid w:val="0063776C"/>
    <w:rsid w:val="0064676D"/>
    <w:rsid w:val="00672E42"/>
    <w:rsid w:val="006A58A6"/>
    <w:rsid w:val="006A6171"/>
    <w:rsid w:val="006B1E2C"/>
    <w:rsid w:val="00710D3F"/>
    <w:rsid w:val="007115C2"/>
    <w:rsid w:val="00730994"/>
    <w:rsid w:val="007955AA"/>
    <w:rsid w:val="007A7764"/>
    <w:rsid w:val="007B2985"/>
    <w:rsid w:val="007E25E3"/>
    <w:rsid w:val="007E6EFB"/>
    <w:rsid w:val="00811AA3"/>
    <w:rsid w:val="008275F5"/>
    <w:rsid w:val="0085717F"/>
    <w:rsid w:val="008D6C64"/>
    <w:rsid w:val="008E771A"/>
    <w:rsid w:val="00901C86"/>
    <w:rsid w:val="00912809"/>
    <w:rsid w:val="00930503"/>
    <w:rsid w:val="00937877"/>
    <w:rsid w:val="009D3B01"/>
    <w:rsid w:val="00A06109"/>
    <w:rsid w:val="00A34C67"/>
    <w:rsid w:val="00A43404"/>
    <w:rsid w:val="00A54025"/>
    <w:rsid w:val="00A62639"/>
    <w:rsid w:val="00A70157"/>
    <w:rsid w:val="00A85A47"/>
    <w:rsid w:val="00AF33E6"/>
    <w:rsid w:val="00B130FE"/>
    <w:rsid w:val="00B1538A"/>
    <w:rsid w:val="00B21C8F"/>
    <w:rsid w:val="00B53749"/>
    <w:rsid w:val="00BA366A"/>
    <w:rsid w:val="00BC4CF2"/>
    <w:rsid w:val="00C2284B"/>
    <w:rsid w:val="00C51265"/>
    <w:rsid w:val="00C55EFA"/>
    <w:rsid w:val="00C56F90"/>
    <w:rsid w:val="00C63CE5"/>
    <w:rsid w:val="00C85085"/>
    <w:rsid w:val="00CA4005"/>
    <w:rsid w:val="00CA4E3E"/>
    <w:rsid w:val="00D1073A"/>
    <w:rsid w:val="00D213C2"/>
    <w:rsid w:val="00D2361D"/>
    <w:rsid w:val="00D37136"/>
    <w:rsid w:val="00D37A7B"/>
    <w:rsid w:val="00D61A5C"/>
    <w:rsid w:val="00DA7183"/>
    <w:rsid w:val="00DB69AC"/>
    <w:rsid w:val="00DC4944"/>
    <w:rsid w:val="00DD46DC"/>
    <w:rsid w:val="00E0177E"/>
    <w:rsid w:val="00E01D16"/>
    <w:rsid w:val="00E20A01"/>
    <w:rsid w:val="00E40DEF"/>
    <w:rsid w:val="00EB48E9"/>
    <w:rsid w:val="00EC1AD4"/>
    <w:rsid w:val="00EC293C"/>
    <w:rsid w:val="00EC381A"/>
    <w:rsid w:val="00ED3347"/>
    <w:rsid w:val="00ED7B82"/>
    <w:rsid w:val="00EE681E"/>
    <w:rsid w:val="00EF1FF6"/>
    <w:rsid w:val="00EF2EF5"/>
    <w:rsid w:val="00EF31AF"/>
    <w:rsid w:val="00F078F4"/>
    <w:rsid w:val="00F54C2D"/>
    <w:rsid w:val="00F71CCA"/>
    <w:rsid w:val="00FB2A67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81DEC7"/>
  <w15:docId w15:val="{B16A12DB-F49A-447E-8095-F84AEC24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A0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0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0A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537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4E2A0A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4E2A0A"/>
    <w:rPr>
      <w:rFonts w:ascii="Arial" w:eastAsia="SimSun" w:hAnsi="Arial" w:cstheme="majorBidi"/>
      <w:b/>
      <w:bCs/>
      <w:caps/>
      <w:sz w:val="24"/>
      <w:szCs w:val="24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B53749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A0A"/>
    <w:rPr>
      <w:rFonts w:ascii="Arial" w:eastAsia="SimSun" w:hAnsi="Arial" w:cstheme="majorBidi"/>
      <w:b/>
      <w:bCs/>
      <w:caps/>
      <w:sz w:val="20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s-ES" w:eastAsia="es-E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2A0A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s-ES" w:eastAsia="es-ES"/>
    </w:rPr>
  </w:style>
  <w:style w:type="character" w:styleId="Strong">
    <w:name w:val="Strong"/>
    <w:basedOn w:val="DefaultParagraphFont"/>
    <w:uiPriority w:val="22"/>
    <w:qFormat/>
    <w:rsid w:val="004E2A0A"/>
    <w:rPr>
      <w:b/>
      <w:bCs/>
    </w:rPr>
  </w:style>
  <w:style w:type="character" w:styleId="Emphasis">
    <w:name w:val="Emphasis"/>
    <w:basedOn w:val="DefaultParagraphFont"/>
    <w:uiPriority w:val="20"/>
    <w:qFormat/>
    <w:rsid w:val="004E2A0A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E2A0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E2A0A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E2A0A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4E2A0A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A0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A0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A0A"/>
    <w:rPr>
      <w:rFonts w:eastAsiaTheme="minorEastAsia" w:cs="Arial"/>
      <w:i/>
      <w:iCs/>
      <w:color w:val="4F81BD"/>
      <w:sz w:val="20"/>
      <w:szCs w:val="20"/>
      <w:lang w:val="es-E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A0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</w:rPr>
  </w:style>
  <w:style w:type="paragraph" w:customStyle="1" w:styleId="U1">
    <w:name w:val="U.1"/>
    <w:basedOn w:val="Normal"/>
    <w:qFormat/>
    <w:rsid w:val="004E2A0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</w:rPr>
  </w:style>
  <w:style w:type="paragraph" w:styleId="FootnoteText">
    <w:name w:val="footnote text"/>
    <w:basedOn w:val="Normal"/>
    <w:link w:val="FootnoteTextChar"/>
    <w:unhideWhenUsed/>
    <w:rsid w:val="00B537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3749"/>
    <w:rPr>
      <w:rFonts w:ascii="Arial" w:hAnsi="Arial"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7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776C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776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BA366A"/>
  </w:style>
  <w:style w:type="character" w:customStyle="1" w:styleId="Title2">
    <w:name w:val="Title2"/>
    <w:basedOn w:val="DefaultParagraphFont"/>
    <w:rsid w:val="00377144"/>
  </w:style>
  <w:style w:type="character" w:customStyle="1" w:styleId="citation">
    <w:name w:val="citation"/>
    <w:basedOn w:val="DefaultParagraphFont"/>
    <w:rsid w:val="00261182"/>
  </w:style>
  <w:style w:type="character" w:customStyle="1" w:styleId="fn">
    <w:name w:val="fn"/>
    <w:basedOn w:val="DefaultParagraphFont"/>
    <w:rsid w:val="001F43F3"/>
  </w:style>
  <w:style w:type="character" w:customStyle="1" w:styleId="a-size-extra-large">
    <w:name w:val="a-size-extra-large"/>
    <w:basedOn w:val="DefaultParagraphFont"/>
    <w:rsid w:val="00D37136"/>
  </w:style>
  <w:style w:type="paragraph" w:customStyle="1" w:styleId="1">
    <w:name w:val="1."/>
    <w:basedOn w:val="Normal"/>
    <w:link w:val="1Char"/>
    <w:qFormat/>
    <w:rsid w:val="004E2A0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</w:rPr>
  </w:style>
  <w:style w:type="character" w:customStyle="1" w:styleId="1Char">
    <w:name w:val="1. Char"/>
    <w:link w:val="1"/>
    <w:locked/>
    <w:rsid w:val="004E2A0A"/>
    <w:rPr>
      <w:rFonts w:ascii="Arial" w:eastAsia="SimSun" w:hAnsi="Arial" w:cs="Arial"/>
      <w:w w:val="96"/>
      <w:lang w:val="es-ES" w:eastAsia="es-ES"/>
    </w:rPr>
  </w:style>
  <w:style w:type="paragraph" w:customStyle="1" w:styleId="Paragraph">
    <w:name w:val="Paragraph"/>
    <w:basedOn w:val="Normal"/>
    <w:link w:val="ParagraphChar"/>
    <w:qFormat/>
    <w:rsid w:val="004E2A0A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</w:rPr>
  </w:style>
  <w:style w:type="character" w:customStyle="1" w:styleId="ParagraphChar">
    <w:name w:val="Paragraph Char"/>
    <w:link w:val="Paragraph"/>
    <w:rsid w:val="004E2A0A"/>
    <w:rPr>
      <w:rFonts w:ascii="Arial" w:eastAsia="SimSun" w:hAnsi="Arial" w:cs="Arial"/>
      <w:lang w:val="es-ES" w:eastAsia="es-ES"/>
    </w:rPr>
  </w:style>
  <w:style w:type="paragraph" w:customStyle="1" w:styleId="Slideheading">
    <w:name w:val="Slide heading"/>
    <w:basedOn w:val="Heading2"/>
    <w:link w:val="SlideheadingChar"/>
    <w:qFormat/>
    <w:rsid w:val="004E2A0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4E2A0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es-ES"/>
    </w:rPr>
  </w:style>
  <w:style w:type="paragraph" w:customStyle="1" w:styleId="Txtsecondbullet">
    <w:name w:val="Txt second bullet"/>
    <w:basedOn w:val="Normal"/>
    <w:qFormat/>
    <w:rsid w:val="004E2A0A"/>
    <w:pPr>
      <w:numPr>
        <w:ilvl w:val="1"/>
        <w:numId w:val="8"/>
      </w:numPr>
      <w:spacing w:before="0" w:after="60" w:line="280" w:lineRule="exact"/>
    </w:pPr>
    <w:rPr>
      <w:snapToGrid/>
      <w:sz w:val="20"/>
    </w:rPr>
  </w:style>
  <w:style w:type="paragraph" w:customStyle="1" w:styleId="citationunit">
    <w:name w:val="citation unit"/>
    <w:basedOn w:val="Normal"/>
    <w:qFormat/>
    <w:rsid w:val="004E2A0A"/>
    <w:pPr>
      <w:spacing w:before="0" w:after="60" w:line="280" w:lineRule="exact"/>
      <w:ind w:left="1134" w:right="284"/>
    </w:pPr>
    <w:rPr>
      <w:snapToGrid/>
      <w:sz w:val="20"/>
    </w:rPr>
  </w:style>
  <w:style w:type="paragraph" w:styleId="Header">
    <w:name w:val="header"/>
    <w:basedOn w:val="Normal"/>
    <w:link w:val="HeaderChar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E2A0A"/>
    <w:rPr>
      <w:rFonts w:ascii="Arial" w:eastAsia="SimSun" w:hAnsi="Arial" w:cs="Arial"/>
      <w:snapToGrid w:val="0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E2A0A"/>
    <w:rPr>
      <w:rFonts w:ascii="Arial" w:eastAsia="SimSun" w:hAnsi="Arial" w:cs="Arial"/>
      <w:snapToGrid w:val="0"/>
      <w:szCs w:val="24"/>
      <w:lang w:val="es-ES" w:eastAsia="es-ES"/>
    </w:rPr>
  </w:style>
  <w:style w:type="character" w:styleId="PageNumber">
    <w:name w:val="page number"/>
    <w:rsid w:val="00525B64"/>
  </w:style>
  <w:style w:type="character" w:styleId="FootnoteReference">
    <w:name w:val="footnote reference"/>
    <w:basedOn w:val="DefaultParagraphFont"/>
    <w:uiPriority w:val="99"/>
    <w:unhideWhenUsed/>
    <w:rsid w:val="00937877"/>
    <w:rPr>
      <w:vertAlign w:val="superscript"/>
    </w:rPr>
  </w:style>
  <w:style w:type="paragraph" w:customStyle="1" w:styleId="Chapitre">
    <w:name w:val="Chapitre"/>
    <w:basedOn w:val="Heading1"/>
    <w:link w:val="ChapitreCar"/>
    <w:rsid w:val="00C56F9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</w:rPr>
  </w:style>
  <w:style w:type="character" w:customStyle="1" w:styleId="ChapitreCar">
    <w:name w:val="Chapitre Car"/>
    <w:link w:val="Chapitre"/>
    <w:rsid w:val="00C56F9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es-ES"/>
    </w:rPr>
  </w:style>
  <w:style w:type="paragraph" w:customStyle="1" w:styleId="HO1">
    <w:name w:val="HO1"/>
    <w:basedOn w:val="Normal"/>
    <w:link w:val="HO1Car"/>
    <w:rsid w:val="00C56F9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C56F90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C56F9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56F90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s-ES" w:eastAsia="es-E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SimSun" w:hAnsi="Arial" w:cs="Arial"/>
      <w:snapToGrid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85"/>
    <w:rPr>
      <w:rFonts w:ascii="Tahoma" w:eastAsia="SimSu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hchr.org/SP/ProfessionalInterest/Pages/CERD.aspx" TargetMode="External"/><Relationship Id="rId21" Type="http://schemas.openxmlformats.org/officeDocument/2006/relationships/hyperlink" Target="http://www.ilo.org/dyn/normlex/en/f?p=NORMLEXPUB:12100:0::NO::P12100_ILO_CODE:C169" TargetMode="External"/><Relationship Id="rId34" Type="http://schemas.openxmlformats.org/officeDocument/2006/relationships/hyperlink" Target="http://cultureandinformation.asean.org/wp-content/uploads/2013/11/ASEAN-Declaration-on-Cultural-Heritage.pdf" TargetMode="External"/><Relationship Id="rId42" Type="http://schemas.openxmlformats.org/officeDocument/2006/relationships/hyperlink" Target="http://www.achpr.org/instruments/declaration-on-gender-equality-in-africa/" TargetMode="External"/><Relationship Id="rId47" Type="http://schemas.openxmlformats.org/officeDocument/2006/relationships/hyperlink" Target="http://www.unesco.org/new/fileadmin/MULTIMEDIA/HQ/CLT/pdf/Conv2005_ArterialNetwork_AdaptingtheWheel.pdf" TargetMode="External"/><Relationship Id="rId50" Type="http://schemas.openxmlformats.org/officeDocument/2006/relationships/hyperlink" Target="https://books.google.co.uk/books?id=WlkxBwAAQBAJ&amp;pg" TargetMode="External"/><Relationship Id="rId55" Type="http://schemas.openxmlformats.org/officeDocument/2006/relationships/hyperlink" Target="http://www.unesco.org/culture/ich/index.php?lg=en&amp;pg=00015&amp;key=809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ocpa.irmo.hr/resources/policy/index-en.html" TargetMode="External"/><Relationship Id="rId29" Type="http://schemas.openxmlformats.org/officeDocument/2006/relationships/hyperlink" Target="http://www.un.org/sustainabledevelopment/es/" TargetMode="External"/><Relationship Id="rId11" Type="http://schemas.openxmlformats.org/officeDocument/2006/relationships/hyperlink" Target="https://www.constituteproject.org/" TargetMode="External"/><Relationship Id="rId24" Type="http://schemas.openxmlformats.org/officeDocument/2006/relationships/hyperlink" Target="http://portal.unesco.org/es/ev.php-URL_ID=13179&amp;URL_DO=DO_TOPIC&amp;URL_SECTION=201.html" TargetMode="External"/><Relationship Id="rId32" Type="http://schemas.openxmlformats.org/officeDocument/2006/relationships/hyperlink" Target="http://www.wipo.int/meetings/en/doc_details.jsp?doc_id=238182" TargetMode="External"/><Relationship Id="rId37" Type="http://schemas.openxmlformats.org/officeDocument/2006/relationships/hyperlink" Target="http://www.acnur.org/t3/fileadmin/scripts/doc.php?file=t3/fileadmin/Documentos/BDL/2002/1297" TargetMode="External"/><Relationship Id="rId40" Type="http://schemas.openxmlformats.org/officeDocument/2006/relationships/hyperlink" Target="http://www.achpr.org/instruments/child/" TargetMode="External"/><Relationship Id="rId45" Type="http://schemas.openxmlformats.org/officeDocument/2006/relationships/hyperlink" Target="http://www.ial.uk.com/blake.php" TargetMode="External"/><Relationship Id="rId53" Type="http://schemas.openxmlformats.org/officeDocument/2006/relationships/hyperlink" Target="https://www.gov.uk/open-policy-making-toolkit" TargetMode="External"/><Relationship Id="rId58" Type="http://schemas.openxmlformats.org/officeDocument/2006/relationships/hyperlink" Target="http://www.rdpc.uevora.pt/bitstream/10174/8972/1/GARCIA%20SIMO%20-%20El%20patrimonio%20cultural%20inmaterial.pdf" TargetMode="Externa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://www.unesco.org/new/en/unesco/themes/gender-equality/resources/conventions-and-declarations/" TargetMode="External"/><Relationship Id="rId14" Type="http://schemas.openxmlformats.org/officeDocument/2006/relationships/hyperlink" Target="http://www.culturalpolicies.net/web/countries.php" TargetMode="External"/><Relationship Id="rId22" Type="http://schemas.openxmlformats.org/officeDocument/2006/relationships/hyperlink" Target="http://portal.unesco.org/es/ev.php-URL_ID=13055&amp;URL_DO=DO_TOPIC&amp;URL_SECTION=201.html" TargetMode="External"/><Relationship Id="rId27" Type="http://schemas.openxmlformats.org/officeDocument/2006/relationships/hyperlink" Target="http://www.ohchr.org/SP/ProfessionalInterest/Pages/CRC.aspx" TargetMode="External"/><Relationship Id="rId30" Type="http://schemas.openxmlformats.org/officeDocument/2006/relationships/hyperlink" Target="http://www.un.org/es/universal-declaration-human-rights/index.html" TargetMode="External"/><Relationship Id="rId35" Type="http://schemas.openxmlformats.org/officeDocument/2006/relationships/hyperlink" Target="http://www.oas.org/es/sla/ddi/pueblos_indigenas_apoyo_elaboracion_proyecto_declaracion.asp" TargetMode="External"/><Relationship Id="rId43" Type="http://schemas.openxmlformats.org/officeDocument/2006/relationships/hyperlink" Target="http://www.wipo.int/wipolex/es/other_treaties/text.jsp?file_id=201022" TargetMode="External"/><Relationship Id="rId48" Type="http://schemas.openxmlformats.org/officeDocument/2006/relationships/hyperlink" Target="https://books.google.co.uk/books?id=G3wee4LBrIkC&amp;printsec=frontcover&amp;source=gbs_ge_summary_r&amp;cad=0" TargetMode="External"/><Relationship Id="rId56" Type="http://schemas.openxmlformats.org/officeDocument/2006/relationships/hyperlink" Target="http://www.wipo.int/export/sites/www/tk/en/resources/pdf/tk_brief3.pdf" TargetMode="External"/><Relationship Id="rId64" Type="http://schemas.openxmlformats.org/officeDocument/2006/relationships/footer" Target="footer2.xml"/><Relationship Id="rId8" Type="http://schemas.openxmlformats.org/officeDocument/2006/relationships/hyperlink" Target="http://www.unesco.org/culture/natlaws/" TargetMode="External"/><Relationship Id="rId51" Type="http://schemas.openxmlformats.org/officeDocument/2006/relationships/hyperlink" Target="http://www.ilc.unsw.edu.au/resources/indigenous-peoples-and-international-law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facca.org/links/cultural-policies-around-the-world/" TargetMode="External"/><Relationship Id="rId17" Type="http://schemas.openxmlformats.org/officeDocument/2006/relationships/hyperlink" Target="http://www.cbd.int/traditional/" TargetMode="External"/><Relationship Id="rId25" Type="http://schemas.openxmlformats.org/officeDocument/2006/relationships/hyperlink" Target="https://documents-dds-ny.un.org/doc/UNDOC/GEN/N06/512/10/PDF/N0651210.pdf?OpenElement" TargetMode="External"/><Relationship Id="rId33" Type="http://schemas.openxmlformats.org/officeDocument/2006/relationships/hyperlink" Target="http://www.forumsec.org.fj/resources/uploads/attachments/documents/PacificModelLaw,ProtectionofTKandExprssnsofCulture20021.pdf" TargetMode="External"/><Relationship Id="rId38" Type="http://schemas.openxmlformats.org/officeDocument/2006/relationships/hyperlink" Target="http://www.achpr.org/instruments/women-protocol/" TargetMode="External"/><Relationship Id="rId46" Type="http://schemas.openxmlformats.org/officeDocument/2006/relationships/hyperlink" Target="http://www.hsrcpress.ac.za/product.php?productid=2044" TargetMode="External"/><Relationship Id="rId59" Type="http://schemas.openxmlformats.org/officeDocument/2006/relationships/hyperlink" Target="http://www.chet.org.za/files/uploads/reports/Deacon%202010%20At%20Arms%20Length%20WEB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ramsar.org/es/acerca-de-la-convenci%C3%B3n-de-ramsar" TargetMode="External"/><Relationship Id="rId41" Type="http://schemas.openxmlformats.org/officeDocument/2006/relationships/hyperlink" Target="http://www.achpr.org/instruments/pretoria-declaration/" TargetMode="External"/><Relationship Id="rId54" Type="http://schemas.openxmlformats.org/officeDocument/2006/relationships/hyperlink" Target="http://www.unesco.org/new/fileadmin/MULTIMEDIA/HQ/CLT/pdf/Operational%20Processes%20for%20the%20Formulation%20of%20Cultural%20Policies.pdf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cpa.irmo.hr/index-en.html" TargetMode="External"/><Relationship Id="rId23" Type="http://schemas.openxmlformats.org/officeDocument/2006/relationships/hyperlink" Target="http://portal.unesco.org/es/ev.php-URL_ID=31038&amp;URL_DO=DO_TOPIC&amp;URL_SECTION=201.html" TargetMode="External"/><Relationship Id="rId28" Type="http://schemas.openxmlformats.org/officeDocument/2006/relationships/hyperlink" Target="http://www.ohchr.org/SP/ProfessionalInterest/Pages/CESCR.aspx" TargetMode="External"/><Relationship Id="rId36" Type="http://schemas.openxmlformats.org/officeDocument/2006/relationships/hyperlink" Target="http://www.coe.int/t/dg4/cultureheritage/heritage/Identities/default_en.asp" TargetMode="External"/><Relationship Id="rId49" Type="http://schemas.openxmlformats.org/officeDocument/2006/relationships/hyperlink" Target="https://books.google.co.uk/books?id=23hoAgAAQBAJ&amp;dq=inauthor:&amp;quot;Lucas+Lixinski&amp;quot;" TargetMode="External"/><Relationship Id="rId57" Type="http://schemas.openxmlformats.org/officeDocument/2006/relationships/hyperlink" Target="http://resolver.sub.uni-goettingen.de/purl?isbn-978-3-86395-122-1" TargetMode="External"/><Relationship Id="rId10" Type="http://schemas.openxmlformats.org/officeDocument/2006/relationships/hyperlink" Target="http://www.wipo.int/tk/en/databases/tklaws/" TargetMode="External"/><Relationship Id="rId31" Type="http://schemas.openxmlformats.org/officeDocument/2006/relationships/hyperlink" Target="http://www.wipo.int/edocs/mdocs/tk/es/wipo_grtkf_ic_28/wipo_grtkf_ic_28_6.pdf" TargetMode="External"/><Relationship Id="rId44" Type="http://schemas.openxmlformats.org/officeDocument/2006/relationships/hyperlink" Target="http://mawred.org/cultural-policies/" TargetMode="External"/><Relationship Id="rId52" Type="http://schemas.openxmlformats.org/officeDocument/2006/relationships/hyperlink" Target="http://www.nyulawglobal.org/globalex/Researching_Indigenous_Peoples_International_Law.htm" TargetMode="External"/><Relationship Id="rId60" Type="http://schemas.openxmlformats.org/officeDocument/2006/relationships/hyperlink" Target="https://www.academia.edu/4138544/Le_patrimoine_culturel_immat%C3%A9riel_au_Maghreb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wipo.int/tk/en/databases/creative_heritage/" TargetMode="External"/><Relationship Id="rId13" Type="http://schemas.openxmlformats.org/officeDocument/2006/relationships/hyperlink" Target="http://www.artsinafrica.com/cultural-policy" TargetMode="External"/><Relationship Id="rId18" Type="http://schemas.openxmlformats.org/officeDocument/2006/relationships/hyperlink" Target="http://www.cbd.int/abs/text/default.shtml" TargetMode="External"/><Relationship Id="rId39" Type="http://schemas.openxmlformats.org/officeDocument/2006/relationships/hyperlink" Target="http://www.achpr.org/instruments/court-establishmen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27336-FE67-4F40-A32D-02B7840E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2815</Words>
  <Characters>15484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6</cp:revision>
  <dcterms:created xsi:type="dcterms:W3CDTF">2016-03-15T15:30:00Z</dcterms:created>
  <dcterms:modified xsi:type="dcterms:W3CDTF">2018-03-23T13:19:00Z</dcterms:modified>
</cp:coreProperties>
</file>