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99" w:rsidRPr="00CA7899" w:rsidRDefault="00CA7899" w:rsidP="00CA7899">
      <w:pPr>
        <w:pStyle w:val="Chapitre"/>
        <w:rPr>
          <w:lang w:val="en-US"/>
        </w:rPr>
      </w:pPr>
      <w:bookmarkStart w:id="0" w:name="_Toc430339198"/>
      <w:bookmarkStart w:id="1" w:name="_GoBack"/>
      <w:bookmarkEnd w:id="1"/>
      <w:r w:rsidRPr="00DC5372">
        <w:rPr>
          <w:lang w:val="en-US"/>
        </w:rPr>
        <w:t>Unit</w:t>
      </w:r>
      <w:r w:rsidR="00F65FCB">
        <w:rPr>
          <w:lang w:val="en-US"/>
        </w:rPr>
        <w:t>É</w:t>
      </w:r>
      <w:r w:rsidRPr="00DC5372">
        <w:rPr>
          <w:lang w:val="en-US"/>
        </w:rPr>
        <w:t xml:space="preserve"> 55</w:t>
      </w:r>
    </w:p>
    <w:p w:rsidR="00CA7899" w:rsidRDefault="00F65FCB" w:rsidP="00CA7899">
      <w:pPr>
        <w:pStyle w:val="HO1"/>
      </w:pPr>
      <w:r>
        <w:t>Imprimé</w:t>
      </w:r>
      <w:r w:rsidR="00CA7899">
        <w:t xml:space="preserve"> 4:</w:t>
      </w:r>
    </w:p>
    <w:p w:rsidR="00CA7899" w:rsidRPr="00CA7899" w:rsidRDefault="00916478" w:rsidP="00CA7899">
      <w:pPr>
        <w:pStyle w:val="HO2"/>
        <w:rPr>
          <w:kern w:val="28"/>
          <w:lang w:val="en-GB"/>
        </w:rPr>
      </w:pPr>
      <w:r>
        <w:rPr>
          <w:kern w:val="28"/>
          <w:lang w:val="en-GB"/>
        </w:rPr>
        <w:t>Bulletins d’informations</w:t>
      </w:r>
    </w:p>
    <w:p w:rsidR="004A1F0D" w:rsidRPr="00CA7899" w:rsidRDefault="008D1894" w:rsidP="00CA7899">
      <w:pPr>
        <w:keepNext/>
        <w:keepLines/>
        <w:spacing w:before="360" w:after="120" w:line="300" w:lineRule="exact"/>
        <w:outlineLvl w:val="3"/>
        <w:rPr>
          <w:rFonts w:eastAsia="SimSun" w:cs="Times New Roman"/>
          <w:b/>
          <w:bCs/>
          <w:caps/>
          <w:sz w:val="20"/>
          <w:szCs w:val="24"/>
          <w:lang w:val="it-IT"/>
        </w:rPr>
      </w:pPr>
      <w:r w:rsidRPr="00CA7899">
        <w:rPr>
          <w:rFonts w:eastAsia="SimSun" w:cs="Times New Roman"/>
          <w:b/>
          <w:bCs/>
          <w:caps/>
          <w:sz w:val="20"/>
          <w:szCs w:val="24"/>
          <w:lang w:val="it-IT"/>
        </w:rPr>
        <w:t>Un Plan directeur pour un tourisme durable en Éthiopie</w:t>
      </w:r>
      <w:r w:rsidRPr="00CA7899">
        <w:rPr>
          <w:rFonts w:eastAsia="SimSun" w:cs="Times New Roman"/>
          <w:b/>
          <w:bCs/>
          <w:caps/>
          <w:sz w:val="20"/>
          <w:szCs w:val="24"/>
          <w:vertAlign w:val="superscript"/>
          <w:lang w:val="it-IT"/>
        </w:rPr>
        <w:footnoteReference w:id="1"/>
      </w:r>
      <w:bookmarkEnd w:id="0"/>
    </w:p>
    <w:p w:rsidR="008D1894" w:rsidRPr="00CA7899" w:rsidRDefault="008D1894" w:rsidP="00CA7899">
      <w:pPr>
        <w:pStyle w:val="Texte1"/>
        <w:rPr>
          <w:i/>
          <w:iCs/>
          <w:snapToGrid/>
          <w:lang w:val="en-GB"/>
        </w:rPr>
      </w:pPr>
      <w:r w:rsidRPr="00CA7899">
        <w:rPr>
          <w:i/>
          <w:iCs/>
          <w:snapToGrid/>
          <w:lang w:val="en-GB"/>
        </w:rPr>
        <w:t xml:space="preserve">Remarque : </w:t>
      </w:r>
      <w:r w:rsidR="00B851BF" w:rsidRPr="00CA7899">
        <w:rPr>
          <w:i/>
          <w:iCs/>
          <w:snapToGrid/>
          <w:lang w:val="en-GB"/>
        </w:rPr>
        <w:t xml:space="preserve">L'Autorité intergouvernementale </w:t>
      </w:r>
      <w:r w:rsidR="003E7324" w:rsidRPr="00CA7899">
        <w:rPr>
          <w:i/>
          <w:iCs/>
          <w:snapToGrid/>
          <w:lang w:val="en-GB"/>
        </w:rPr>
        <w:t>pour</w:t>
      </w:r>
      <w:r w:rsidR="00B851BF" w:rsidRPr="00CA7899">
        <w:rPr>
          <w:i/>
          <w:iCs/>
          <w:snapToGrid/>
          <w:lang w:val="en-GB"/>
        </w:rPr>
        <w:t xml:space="preserve"> le développement (IGAD) en Afrique de </w:t>
      </w:r>
      <w:r w:rsidR="00B02860" w:rsidRPr="00CA7899">
        <w:rPr>
          <w:i/>
          <w:iCs/>
          <w:snapToGrid/>
          <w:lang w:val="en-GB"/>
        </w:rPr>
        <w:t>l’Est</w:t>
      </w:r>
      <w:r w:rsidR="00173E9B" w:rsidRPr="00CA7899">
        <w:rPr>
          <w:i/>
          <w:iCs/>
          <w:snapToGrid/>
          <w:lang w:val="en-GB"/>
        </w:rPr>
        <w:t xml:space="preserve"> a été créé</w:t>
      </w:r>
      <w:r w:rsidR="001768CC" w:rsidRPr="00CA7899">
        <w:rPr>
          <w:i/>
          <w:iCs/>
          <w:snapToGrid/>
          <w:lang w:val="en-GB"/>
        </w:rPr>
        <w:t>e</w:t>
      </w:r>
      <w:r w:rsidR="00173E9B" w:rsidRPr="00CA7899">
        <w:rPr>
          <w:i/>
          <w:iCs/>
          <w:snapToGrid/>
          <w:lang w:val="en-GB"/>
        </w:rPr>
        <w:t xml:space="preserve"> en 1996 pour remplacer l'Autorité intergouvernementale sur la sécheresse et le développement (IGADD), fondée en 1986.</w:t>
      </w:r>
      <w:r w:rsidR="001768CC" w:rsidRPr="00CA7899">
        <w:rPr>
          <w:i/>
          <w:iCs/>
          <w:snapToGrid/>
          <w:lang w:val="en-GB"/>
        </w:rPr>
        <w:t xml:space="preserve"> Les pays membres de l’IGAD sont : le Djibouti, l'Éthiopie, le Kenya, la Somalie, le Soudan et l'Ouganda. L'État d'Érythrée est devenu le septième membre après</w:t>
      </w:r>
      <w:r w:rsidR="007064F8" w:rsidRPr="00CA7899">
        <w:rPr>
          <w:i/>
          <w:iCs/>
          <w:snapToGrid/>
          <w:lang w:val="en-GB"/>
        </w:rPr>
        <w:t xml:space="preserve"> avoir obtenu</w:t>
      </w:r>
      <w:r w:rsidR="001768CC" w:rsidRPr="00CA7899">
        <w:rPr>
          <w:i/>
          <w:iCs/>
          <w:snapToGrid/>
          <w:lang w:val="en-GB"/>
        </w:rPr>
        <w:t xml:space="preserve"> son indépendance en 1993.</w:t>
      </w:r>
      <w:r w:rsidR="007064F8" w:rsidRPr="00CA7899">
        <w:rPr>
          <w:i/>
          <w:iCs/>
          <w:snapToGrid/>
          <w:lang w:val="en-GB"/>
        </w:rPr>
        <w:t xml:space="preserve"> Le Soudan du Sud a été admis en 2011.</w:t>
      </w:r>
    </w:p>
    <w:p w:rsidR="00563456" w:rsidRPr="00CA7899" w:rsidRDefault="007064F8" w:rsidP="00CA7899">
      <w:pPr>
        <w:pStyle w:val="Texte1"/>
        <w:rPr>
          <w:snapToGrid/>
          <w:lang w:val="en-GB"/>
        </w:rPr>
      </w:pPr>
      <w:r w:rsidRPr="00CA7899">
        <w:rPr>
          <w:snapToGrid/>
          <w:lang w:val="en-GB"/>
        </w:rPr>
        <w:t xml:space="preserve">L’Autorité intergouvernementale </w:t>
      </w:r>
      <w:r w:rsidR="00B51771" w:rsidRPr="00CA7899">
        <w:rPr>
          <w:snapToGrid/>
          <w:lang w:val="en-GB"/>
        </w:rPr>
        <w:t>pour</w:t>
      </w:r>
      <w:r w:rsidRPr="00CA7899">
        <w:rPr>
          <w:snapToGrid/>
          <w:lang w:val="en-GB"/>
        </w:rPr>
        <w:t xml:space="preserve"> le développement (IGAD) a adopté un Plan directeur p</w:t>
      </w:r>
      <w:r w:rsidR="00584230" w:rsidRPr="00CA7899">
        <w:rPr>
          <w:snapToGrid/>
          <w:lang w:val="en-GB"/>
        </w:rPr>
        <w:t>our un tourisme durable (ISTMP)</w:t>
      </w:r>
      <w:r w:rsidR="004450CA" w:rsidRPr="00CA7899">
        <w:rPr>
          <w:snapToGrid/>
          <w:lang w:val="en-GB"/>
        </w:rPr>
        <w:t xml:space="preserve"> </w:t>
      </w:r>
      <w:r w:rsidR="00584230" w:rsidRPr="00CA7899">
        <w:rPr>
          <w:snapToGrid/>
          <w:lang w:val="en-GB"/>
        </w:rPr>
        <w:t xml:space="preserve">auquel les États membres sont vivement encouragés à conformer leurs instruments de développement </w:t>
      </w:r>
      <w:r w:rsidR="00F962A7" w:rsidRPr="00CA7899">
        <w:rPr>
          <w:snapToGrid/>
          <w:lang w:val="en-GB"/>
        </w:rPr>
        <w:t>du tourisme</w:t>
      </w:r>
      <w:r w:rsidR="00584230" w:rsidRPr="00CA7899">
        <w:rPr>
          <w:snapToGrid/>
          <w:lang w:val="en-GB"/>
        </w:rPr>
        <w:t xml:space="preserve"> respectifs.</w:t>
      </w:r>
      <w:r w:rsidR="00C82C8D" w:rsidRPr="00CA7899">
        <w:rPr>
          <w:snapToGrid/>
          <w:lang w:val="en-GB"/>
        </w:rPr>
        <w:t xml:space="preserve"> </w:t>
      </w:r>
      <w:r w:rsidR="00EF6482" w:rsidRPr="00CA7899">
        <w:rPr>
          <w:snapToGrid/>
          <w:lang w:val="en-GB"/>
        </w:rPr>
        <w:t xml:space="preserve">La mise en place </w:t>
      </w:r>
      <w:r w:rsidR="00074F15" w:rsidRPr="00CA7899">
        <w:rPr>
          <w:snapToGrid/>
          <w:lang w:val="en-GB"/>
        </w:rPr>
        <w:t>de l’ISTMP</w:t>
      </w:r>
      <w:r w:rsidR="00EF6482" w:rsidRPr="00CA7899">
        <w:rPr>
          <w:snapToGrid/>
          <w:lang w:val="en-GB"/>
        </w:rPr>
        <w:t xml:space="preserve"> a été suggérée dans le cadre d’une</w:t>
      </w:r>
      <w:r w:rsidR="004450CA" w:rsidRPr="00CA7899">
        <w:rPr>
          <w:snapToGrid/>
          <w:lang w:val="en-GB"/>
        </w:rPr>
        <w:t xml:space="preserve"> étude sur le tourisme régional</w:t>
      </w:r>
      <w:r w:rsidR="006D18B2" w:rsidRPr="00CA7899">
        <w:rPr>
          <w:snapToGrid/>
          <w:lang w:val="en-GB"/>
        </w:rPr>
        <w:t xml:space="preserve"> réalisée</w:t>
      </w:r>
      <w:r w:rsidR="00705DA7" w:rsidRPr="00CA7899">
        <w:rPr>
          <w:snapToGrid/>
          <w:lang w:val="en-GB"/>
        </w:rPr>
        <w:t xml:space="preserve"> en 2010</w:t>
      </w:r>
      <w:r w:rsidR="006D18B2" w:rsidRPr="00CA7899">
        <w:rPr>
          <w:snapToGrid/>
          <w:lang w:val="en-GB"/>
        </w:rPr>
        <w:t xml:space="preserve"> par le </w:t>
      </w:r>
      <w:r w:rsidR="00AA5FEC" w:rsidRPr="00CA7899">
        <w:rPr>
          <w:snapToGrid/>
          <w:lang w:val="en-GB"/>
        </w:rPr>
        <w:t>Bureau sous-</w:t>
      </w:r>
      <w:r w:rsidR="003E7324" w:rsidRPr="00CA7899">
        <w:rPr>
          <w:snapToGrid/>
          <w:lang w:val="en-GB"/>
        </w:rPr>
        <w:t>régional pour l'Afrique de l'Est</w:t>
      </w:r>
      <w:r w:rsidR="006D18B2" w:rsidRPr="00CA7899">
        <w:rPr>
          <w:snapToGrid/>
          <w:lang w:val="en-GB"/>
        </w:rPr>
        <w:t xml:space="preserve"> de la Commission économique </w:t>
      </w:r>
      <w:r w:rsidR="00AA5FEC" w:rsidRPr="00CA7899">
        <w:rPr>
          <w:snapToGrid/>
          <w:lang w:val="en-GB"/>
        </w:rPr>
        <w:t>des Nation</w:t>
      </w:r>
      <w:r w:rsidR="00705DA7" w:rsidRPr="00CA7899">
        <w:rPr>
          <w:snapToGrid/>
          <w:lang w:val="en-GB"/>
        </w:rPr>
        <w:t xml:space="preserve">s-Unies </w:t>
      </w:r>
      <w:r w:rsidR="006D18B2" w:rsidRPr="00CA7899">
        <w:rPr>
          <w:snapToGrid/>
          <w:lang w:val="en-GB"/>
        </w:rPr>
        <w:t>pour l’Afriq</w:t>
      </w:r>
      <w:r w:rsidR="00EF6482" w:rsidRPr="00CA7899">
        <w:rPr>
          <w:snapToGrid/>
          <w:lang w:val="en-GB"/>
        </w:rPr>
        <w:t>ue (CEA/BSR-</w:t>
      </w:r>
      <w:r w:rsidR="006D18B2" w:rsidRPr="00CA7899">
        <w:rPr>
          <w:snapToGrid/>
          <w:lang w:val="en-GB"/>
        </w:rPr>
        <w:t>A</w:t>
      </w:r>
      <w:r w:rsidR="00EF6482" w:rsidRPr="00CA7899">
        <w:rPr>
          <w:snapToGrid/>
          <w:lang w:val="en-GB"/>
        </w:rPr>
        <w:t>E</w:t>
      </w:r>
      <w:r w:rsidR="006D18B2" w:rsidRPr="00CA7899">
        <w:rPr>
          <w:snapToGrid/>
          <w:lang w:val="en-GB"/>
        </w:rPr>
        <w:t>)</w:t>
      </w:r>
      <w:r w:rsidR="00705DA7" w:rsidRPr="00CA7899">
        <w:rPr>
          <w:snapToGrid/>
          <w:lang w:val="en-GB"/>
        </w:rPr>
        <w:t>. Le Plan directeur pour un tourisme durable de l’</w:t>
      </w:r>
      <w:r w:rsidR="00A73B68" w:rsidRPr="00CA7899">
        <w:rPr>
          <w:snapToGrid/>
          <w:lang w:val="en-GB"/>
        </w:rPr>
        <w:t xml:space="preserve">IGAD, approuvé en 2011 par le Comité intergouvernemental d’experts (CIE) du Bureau sous-régional pour l’Afrique de l’Est,  </w:t>
      </w:r>
      <w:r w:rsidR="00705DA7" w:rsidRPr="00CA7899">
        <w:rPr>
          <w:snapToGrid/>
          <w:lang w:val="en-GB"/>
        </w:rPr>
        <w:t xml:space="preserve">a été officiellement lancé lors du forum interministériel de l’IGAD sur le tourisme </w:t>
      </w:r>
      <w:r w:rsidR="00A73B68" w:rsidRPr="00CA7899">
        <w:rPr>
          <w:snapToGrid/>
          <w:lang w:val="en-GB"/>
        </w:rPr>
        <w:t xml:space="preserve">qui s’est tenu </w:t>
      </w:r>
      <w:r w:rsidR="00705DA7" w:rsidRPr="00CA7899">
        <w:rPr>
          <w:snapToGrid/>
          <w:lang w:val="en-GB"/>
        </w:rPr>
        <w:t>à Nairobi</w:t>
      </w:r>
      <w:r w:rsidR="00A73B68" w:rsidRPr="00CA7899">
        <w:rPr>
          <w:snapToGrid/>
          <w:lang w:val="en-GB"/>
        </w:rPr>
        <w:t>, au Kenya.</w:t>
      </w:r>
    </w:p>
    <w:p w:rsidR="00563456" w:rsidRPr="00CA7899" w:rsidRDefault="00877DEE" w:rsidP="00CA7899">
      <w:pPr>
        <w:pStyle w:val="Texte1"/>
        <w:rPr>
          <w:snapToGrid/>
          <w:lang w:val="en-GB"/>
        </w:rPr>
      </w:pPr>
      <w:r w:rsidRPr="00CA7899">
        <w:rPr>
          <w:snapToGrid/>
          <w:lang w:val="en-GB"/>
        </w:rPr>
        <w:t xml:space="preserve">La </w:t>
      </w:r>
      <w:r w:rsidR="00127D64" w:rsidRPr="00CA7899">
        <w:rPr>
          <w:snapToGrid/>
          <w:lang w:val="en-GB"/>
        </w:rPr>
        <w:t xml:space="preserve">République fédérale démocratique d’Éthiopie </w:t>
      </w:r>
      <w:r w:rsidRPr="00CA7899">
        <w:rPr>
          <w:snapToGrid/>
          <w:lang w:val="en-GB"/>
        </w:rPr>
        <w:t>élabore actuellement son Plan directeur pour un tourisme durable (STMP)</w:t>
      </w:r>
      <w:r w:rsidR="00821CEB" w:rsidRPr="00CA7899">
        <w:rPr>
          <w:snapToGrid/>
          <w:lang w:val="en-GB"/>
        </w:rPr>
        <w:t xml:space="preserve">. </w:t>
      </w:r>
      <w:r w:rsidR="00031C93" w:rsidRPr="00CA7899">
        <w:rPr>
          <w:snapToGrid/>
          <w:lang w:val="en-GB"/>
        </w:rPr>
        <w:t xml:space="preserve"> L’élaboration dudit Plan </w:t>
      </w:r>
      <w:r w:rsidR="00A44CB3" w:rsidRPr="00CA7899">
        <w:rPr>
          <w:snapToGrid/>
          <w:lang w:val="en-GB"/>
        </w:rPr>
        <w:t>nécessite</w:t>
      </w:r>
      <w:r w:rsidR="00031C93" w:rsidRPr="00CA7899">
        <w:rPr>
          <w:snapToGrid/>
          <w:lang w:val="en-GB"/>
        </w:rPr>
        <w:t xml:space="preserve"> </w:t>
      </w:r>
      <w:r w:rsidR="00A44CB3" w:rsidRPr="00CA7899">
        <w:rPr>
          <w:snapToGrid/>
          <w:lang w:val="en-GB"/>
        </w:rPr>
        <w:t>de longues</w:t>
      </w:r>
      <w:r w:rsidR="00031C93" w:rsidRPr="00CA7899">
        <w:rPr>
          <w:snapToGrid/>
          <w:lang w:val="en-GB"/>
        </w:rPr>
        <w:t xml:space="preserve"> missions sur le terrain </w:t>
      </w:r>
      <w:r w:rsidR="00045127" w:rsidRPr="00CA7899">
        <w:rPr>
          <w:snapToGrid/>
          <w:lang w:val="en-GB"/>
        </w:rPr>
        <w:t xml:space="preserve">à travers le pays et </w:t>
      </w:r>
      <w:r w:rsidR="00031C93" w:rsidRPr="00CA7899">
        <w:rPr>
          <w:snapToGrid/>
          <w:lang w:val="en-GB"/>
        </w:rPr>
        <w:t>des entretiens approfondis avec</w:t>
      </w:r>
      <w:r w:rsidR="00A44CB3" w:rsidRPr="00CA7899">
        <w:rPr>
          <w:snapToGrid/>
          <w:lang w:val="en-GB"/>
        </w:rPr>
        <w:t xml:space="preserve"> l</w:t>
      </w:r>
      <w:r w:rsidR="00031C93" w:rsidRPr="00CA7899">
        <w:rPr>
          <w:snapToGrid/>
          <w:lang w:val="en-GB"/>
        </w:rPr>
        <w:t>es p</w:t>
      </w:r>
      <w:r w:rsidR="003779C9" w:rsidRPr="00CA7899">
        <w:rPr>
          <w:snapToGrid/>
          <w:lang w:val="en-GB"/>
        </w:rPr>
        <w:t>arties prenantes clés issues du secteur public et privé</w:t>
      </w:r>
      <w:r w:rsidR="00031C93" w:rsidRPr="00CA7899">
        <w:rPr>
          <w:snapToGrid/>
          <w:lang w:val="en-GB"/>
        </w:rPr>
        <w:t xml:space="preserve"> </w:t>
      </w:r>
      <w:r w:rsidR="002543EB" w:rsidRPr="00CA7899">
        <w:rPr>
          <w:snapToGrid/>
          <w:lang w:val="en-GB"/>
        </w:rPr>
        <w:t>dont les organisat</w:t>
      </w:r>
      <w:r w:rsidR="003779C9" w:rsidRPr="00CA7899">
        <w:rPr>
          <w:snapToGrid/>
          <w:lang w:val="en-GB"/>
        </w:rPr>
        <w:t>ions professionnelles</w:t>
      </w:r>
      <w:r w:rsidR="002543EB" w:rsidRPr="00CA7899">
        <w:rPr>
          <w:snapToGrid/>
          <w:lang w:val="en-GB"/>
        </w:rPr>
        <w:t xml:space="preserve">, la société civile, les responsables gouvernementaux régionaux </w:t>
      </w:r>
      <w:r w:rsidR="00F146EC" w:rsidRPr="00CA7899">
        <w:rPr>
          <w:snapToGrid/>
          <w:lang w:val="en-GB"/>
        </w:rPr>
        <w:t xml:space="preserve">et les universités. </w:t>
      </w:r>
      <w:r w:rsidR="00A44CB3" w:rsidRPr="00CA7899">
        <w:rPr>
          <w:snapToGrid/>
          <w:lang w:val="en-GB"/>
        </w:rPr>
        <w:t xml:space="preserve">De plus, deux réunions consultatives régionales ont déjà eu lieu à Mekele et à Dire Dawa. </w:t>
      </w:r>
      <w:r w:rsidR="003015B6" w:rsidRPr="00CA7899">
        <w:rPr>
          <w:snapToGrid/>
          <w:lang w:val="en-GB"/>
        </w:rPr>
        <w:t>Il est prévu que la première version du STMP soit rédigée</w:t>
      </w:r>
      <w:r w:rsidR="00653335" w:rsidRPr="00CA7899">
        <w:rPr>
          <w:snapToGrid/>
          <w:lang w:val="en-GB"/>
        </w:rPr>
        <w:t xml:space="preserve"> au cours du mois suivant la réalisation des missions sur le terrain, des entretiens avec les parties prenantes et des réunions consultatives</w:t>
      </w:r>
      <w:r w:rsidR="003015B6" w:rsidRPr="00CA7899">
        <w:rPr>
          <w:snapToGrid/>
          <w:lang w:val="en-GB"/>
        </w:rPr>
        <w:t>. El</w:t>
      </w:r>
      <w:r w:rsidR="007343CF" w:rsidRPr="00CA7899">
        <w:rPr>
          <w:snapToGrid/>
          <w:lang w:val="en-GB"/>
        </w:rPr>
        <w:t xml:space="preserve">le sera ensuite révisée lors d’une </w:t>
      </w:r>
      <w:r w:rsidR="003015B6" w:rsidRPr="00CA7899">
        <w:rPr>
          <w:snapToGrid/>
          <w:lang w:val="en-GB"/>
        </w:rPr>
        <w:t xml:space="preserve">réunion de validation nationale </w:t>
      </w:r>
      <w:r w:rsidR="00551123" w:rsidRPr="00CA7899">
        <w:rPr>
          <w:snapToGrid/>
          <w:lang w:val="en-GB"/>
        </w:rPr>
        <w:t xml:space="preserve">afin d’ouvrir la voie à </w:t>
      </w:r>
      <w:r w:rsidR="003015B6" w:rsidRPr="00CA7899">
        <w:rPr>
          <w:snapToGrid/>
          <w:lang w:val="en-GB"/>
        </w:rPr>
        <w:t>la rédaction de la version finale</w:t>
      </w:r>
      <w:r w:rsidR="00551123" w:rsidRPr="00CA7899">
        <w:rPr>
          <w:snapToGrid/>
          <w:lang w:val="en-GB"/>
        </w:rPr>
        <w:t xml:space="preserve"> du Plan</w:t>
      </w:r>
      <w:r w:rsidR="004A1F0D" w:rsidRPr="00CA7899">
        <w:rPr>
          <w:snapToGrid/>
          <w:lang w:val="en-GB"/>
        </w:rPr>
        <w:t>.</w:t>
      </w:r>
    </w:p>
    <w:p w:rsidR="007343CF" w:rsidRPr="00CA7899" w:rsidRDefault="001C4516" w:rsidP="00CA7899">
      <w:pPr>
        <w:pStyle w:val="Texte1"/>
        <w:rPr>
          <w:snapToGrid/>
          <w:lang w:val="en-GB"/>
        </w:rPr>
      </w:pPr>
      <w:r w:rsidRPr="0072088E">
        <w:rPr>
          <w:snapToGrid/>
        </w:rPr>
        <w:t>L’industrie touristique</w:t>
      </w:r>
      <w:r w:rsidR="00B77957" w:rsidRPr="0072088E">
        <w:rPr>
          <w:snapToGrid/>
        </w:rPr>
        <w:t xml:space="preserve"> </w:t>
      </w:r>
      <w:r w:rsidRPr="0072088E">
        <w:rPr>
          <w:snapToGrid/>
        </w:rPr>
        <w:t xml:space="preserve">figure parmi les priorités de l’agenda de développement du pays comme en témoigne  </w:t>
      </w:r>
      <w:r w:rsidR="00B77957" w:rsidRPr="0072088E">
        <w:rPr>
          <w:snapToGrid/>
        </w:rPr>
        <w:t xml:space="preserve">la création du </w:t>
      </w:r>
      <w:r w:rsidR="00FF5F79" w:rsidRPr="0072088E">
        <w:rPr>
          <w:snapToGrid/>
        </w:rPr>
        <w:t>Conseil national de transformation du tourisme, présidé par le Premier ministre</w:t>
      </w:r>
      <w:r w:rsidR="00B77957" w:rsidRPr="0072088E">
        <w:rPr>
          <w:snapToGrid/>
        </w:rPr>
        <w:t xml:space="preserve">, et de l’Organisation du tourisme </w:t>
      </w:r>
      <w:r w:rsidRPr="0072088E">
        <w:rPr>
          <w:snapToGrid/>
        </w:rPr>
        <w:t xml:space="preserve">éthiopien </w:t>
      </w:r>
      <w:r w:rsidR="00653335" w:rsidRPr="0072088E">
        <w:rPr>
          <w:snapToGrid/>
        </w:rPr>
        <w:t>destinée à être le fer de lance du</w:t>
      </w:r>
      <w:r w:rsidR="00673E54" w:rsidRPr="0072088E">
        <w:rPr>
          <w:snapToGrid/>
        </w:rPr>
        <w:t xml:space="preserve"> développement et </w:t>
      </w:r>
      <w:r w:rsidR="00653335" w:rsidRPr="0072088E">
        <w:rPr>
          <w:snapToGrid/>
        </w:rPr>
        <w:t>du</w:t>
      </w:r>
      <w:r w:rsidR="00673E54" w:rsidRPr="0072088E">
        <w:rPr>
          <w:snapToGrid/>
        </w:rPr>
        <w:t xml:space="preserve"> marketing de produits touristiques</w:t>
      </w:r>
      <w:r w:rsidR="00CE16EA" w:rsidRPr="0072088E">
        <w:rPr>
          <w:snapToGrid/>
        </w:rPr>
        <w:t xml:space="preserve">. L’industrie touristique a été </w:t>
      </w:r>
      <w:r w:rsidR="00CD5BE2" w:rsidRPr="0072088E">
        <w:rPr>
          <w:snapToGrid/>
        </w:rPr>
        <w:t>identifiée</w:t>
      </w:r>
      <w:r w:rsidR="00CE16EA" w:rsidRPr="0072088E">
        <w:rPr>
          <w:snapToGrid/>
        </w:rPr>
        <w:t xml:space="preserve"> comme un secteur clé dans le cadre du premier et du second Plan de croissance et de transformation du gouvernement éthiopien</w:t>
      </w:r>
      <w:r w:rsidR="00A94BD5" w:rsidRPr="0072088E">
        <w:rPr>
          <w:snapToGrid/>
        </w:rPr>
        <w:t>.</w:t>
      </w:r>
      <w:r w:rsidR="00CE16EA" w:rsidRPr="0072088E">
        <w:rPr>
          <w:snapToGrid/>
        </w:rPr>
        <w:t xml:space="preserve"> </w:t>
      </w:r>
      <w:r w:rsidR="00FD20E0" w:rsidRPr="0072088E">
        <w:rPr>
          <w:snapToGrid/>
        </w:rPr>
        <w:t xml:space="preserve">Bien que le potentiel du secteur </w:t>
      </w:r>
      <w:r w:rsidR="00FD20E0" w:rsidRPr="0072088E">
        <w:rPr>
          <w:snapToGrid/>
        </w:rPr>
        <w:lastRenderedPageBreak/>
        <w:t xml:space="preserve">touristique reste en grande partie inexploité, ce dernier </w:t>
      </w:r>
      <w:r w:rsidR="00A94BD5" w:rsidRPr="0072088E">
        <w:rPr>
          <w:snapToGrid/>
        </w:rPr>
        <w:t xml:space="preserve">représente </w:t>
      </w:r>
      <w:r w:rsidR="00FD20E0" w:rsidRPr="0072088E">
        <w:rPr>
          <w:snapToGrid/>
        </w:rPr>
        <w:t>néanmoins</w:t>
      </w:r>
      <w:r w:rsidR="00A94BD5" w:rsidRPr="0072088E">
        <w:rPr>
          <w:snapToGrid/>
        </w:rPr>
        <w:t xml:space="preserve"> 12,3 % </w:t>
      </w:r>
      <w:r w:rsidR="00FD20E0" w:rsidRPr="0072088E">
        <w:rPr>
          <w:snapToGrid/>
        </w:rPr>
        <w:t xml:space="preserve">du PIB et </w:t>
      </w:r>
      <w:r w:rsidR="00CD5BE2" w:rsidRPr="0072088E">
        <w:rPr>
          <w:snapToGrid/>
        </w:rPr>
        <w:t>constitue une des sources pr</w:t>
      </w:r>
      <w:r w:rsidR="00FD20E0" w:rsidRPr="0072088E">
        <w:rPr>
          <w:snapToGrid/>
        </w:rPr>
        <w:t>incipales de devises étrangères.</w:t>
      </w:r>
      <w:r w:rsidR="00CA7899" w:rsidRPr="0072088E">
        <w:rPr>
          <w:snapToGrid/>
        </w:rPr>
        <w:t xml:space="preserve"> </w:t>
      </w:r>
      <w:r w:rsidR="00FD20E0" w:rsidRPr="0072088E">
        <w:rPr>
          <w:snapToGrid/>
        </w:rPr>
        <w:t>Il s’agit également d’</w:t>
      </w:r>
      <w:r w:rsidR="00A94BD5" w:rsidRPr="0072088E">
        <w:rPr>
          <w:snapToGrid/>
        </w:rPr>
        <w:t xml:space="preserve">un secteur clé </w:t>
      </w:r>
      <w:r w:rsidR="00FD20E0" w:rsidRPr="0072088E">
        <w:rPr>
          <w:snapToGrid/>
        </w:rPr>
        <w:t>qui attire</w:t>
      </w:r>
      <w:r w:rsidR="00A94BD5" w:rsidRPr="0072088E">
        <w:rPr>
          <w:snapToGrid/>
        </w:rPr>
        <w:t xml:space="preserve"> </w:t>
      </w:r>
      <w:r w:rsidR="00FD20E0" w:rsidRPr="0072088E">
        <w:rPr>
          <w:snapToGrid/>
        </w:rPr>
        <w:t>des</w:t>
      </w:r>
      <w:r w:rsidR="00A94BD5" w:rsidRPr="0072088E">
        <w:rPr>
          <w:snapToGrid/>
        </w:rPr>
        <w:t xml:space="preserve"> investissements intérieurs et étrangers</w:t>
      </w:r>
      <w:r w:rsidR="00F962A7" w:rsidRPr="0072088E">
        <w:rPr>
          <w:snapToGrid/>
        </w:rPr>
        <w:t xml:space="preserve"> estimés à 16,38 milliards de b</w:t>
      </w:r>
      <w:r w:rsidR="00FD20E0" w:rsidRPr="0072088E">
        <w:rPr>
          <w:snapToGrid/>
        </w:rPr>
        <w:t xml:space="preserve">irr </w:t>
      </w:r>
      <w:r w:rsidR="00443252" w:rsidRPr="0072088E">
        <w:rPr>
          <w:snapToGrid/>
        </w:rPr>
        <w:t>pour l’année</w:t>
      </w:r>
      <w:r w:rsidR="00FD20E0" w:rsidRPr="0072088E">
        <w:rPr>
          <w:snapToGrid/>
        </w:rPr>
        <w:t xml:space="preserve"> 2013.</w:t>
      </w:r>
      <w:r w:rsidR="00240244" w:rsidRPr="0072088E">
        <w:rPr>
          <w:snapToGrid/>
        </w:rPr>
        <w:t xml:space="preserve"> </w:t>
      </w:r>
      <w:r w:rsidR="007240A9" w:rsidRPr="00CA7899">
        <w:rPr>
          <w:snapToGrid/>
          <w:lang w:val="en-GB"/>
        </w:rPr>
        <w:t xml:space="preserve">L’industrie touristique est également un des principaux employeurs du secteur </w:t>
      </w:r>
      <w:r w:rsidR="00443252" w:rsidRPr="00CA7899">
        <w:rPr>
          <w:snapToGrid/>
          <w:lang w:val="en-GB"/>
        </w:rPr>
        <w:t>qui est à l’origine de la création de</w:t>
      </w:r>
      <w:r w:rsidR="007240A9" w:rsidRPr="00CA7899">
        <w:rPr>
          <w:snapToGrid/>
          <w:lang w:val="en-GB"/>
        </w:rPr>
        <w:t xml:space="preserve"> plus de 2,4 millions </w:t>
      </w:r>
      <w:r w:rsidR="004A1F0D" w:rsidRPr="00CA7899">
        <w:rPr>
          <w:snapToGrid/>
          <w:lang w:val="en-GB"/>
        </w:rPr>
        <w:t>d’emplois directs et indirects.</w:t>
      </w:r>
    </w:p>
    <w:p w:rsidR="008560B8" w:rsidRPr="008560B8" w:rsidRDefault="007343CF" w:rsidP="00CA7899">
      <w:pPr>
        <w:keepNext/>
        <w:keepLines/>
        <w:spacing w:before="360" w:after="120" w:line="300" w:lineRule="exact"/>
        <w:outlineLvl w:val="3"/>
      </w:pPr>
      <w:r w:rsidRPr="008560B8">
        <w:br w:type="page"/>
      </w:r>
      <w:bookmarkStart w:id="2" w:name="_Toc430339199"/>
      <w:r w:rsidR="005F5E63" w:rsidRPr="00CA7899">
        <w:rPr>
          <w:rFonts w:eastAsia="SimSun" w:cs="Times New Roman"/>
          <w:b/>
          <w:bCs/>
          <w:caps/>
          <w:sz w:val="20"/>
          <w:szCs w:val="24"/>
          <w:lang w:val="it-IT"/>
        </w:rPr>
        <w:lastRenderedPageBreak/>
        <w:t>Afrique du Sud</w:t>
      </w:r>
      <w:proofErr w:type="gramStart"/>
      <w:r w:rsidR="005F5E63" w:rsidRPr="00CA7899">
        <w:rPr>
          <w:rFonts w:eastAsia="SimSun" w:cs="Times New Roman"/>
          <w:b/>
          <w:bCs/>
          <w:caps/>
          <w:sz w:val="20"/>
          <w:szCs w:val="24"/>
          <w:lang w:val="it-IT"/>
        </w:rPr>
        <w:t> :</w:t>
      </w:r>
      <w:proofErr w:type="gramEnd"/>
      <w:r w:rsidR="005F5E63" w:rsidRPr="00CA7899">
        <w:rPr>
          <w:rFonts w:eastAsia="SimSun" w:cs="Times New Roman"/>
          <w:b/>
          <w:bCs/>
          <w:caps/>
          <w:sz w:val="20"/>
          <w:szCs w:val="24"/>
          <w:lang w:val="it-IT"/>
        </w:rPr>
        <w:t xml:space="preserve"> la l</w:t>
      </w:r>
      <w:r w:rsidR="00B00EDC" w:rsidRPr="00CA7899">
        <w:rPr>
          <w:rFonts w:eastAsia="SimSun" w:cs="Times New Roman"/>
          <w:b/>
          <w:bCs/>
          <w:caps/>
          <w:sz w:val="20"/>
          <w:szCs w:val="24"/>
          <w:lang w:val="it-IT"/>
        </w:rPr>
        <w:t xml:space="preserve">oi sur les tribunaux traditionnels </w:t>
      </w:r>
      <w:r w:rsidR="005F5E63" w:rsidRPr="00CA7899">
        <w:rPr>
          <w:rFonts w:eastAsia="SimSun" w:cs="Times New Roman"/>
          <w:b/>
          <w:bCs/>
          <w:caps/>
          <w:sz w:val="20"/>
          <w:szCs w:val="24"/>
          <w:lang w:val="it-IT"/>
        </w:rPr>
        <w:t>à nouveau rejetée</w:t>
      </w:r>
      <w:r w:rsidR="00B00EDC" w:rsidRPr="00CA7899">
        <w:rPr>
          <w:rFonts w:eastAsia="SimSun" w:cs="Times New Roman"/>
          <w:b/>
          <w:bCs/>
          <w:caps/>
          <w:sz w:val="20"/>
          <w:szCs w:val="24"/>
          <w:vertAlign w:val="superscript"/>
          <w:lang w:val="it-IT"/>
        </w:rPr>
        <w:footnoteReference w:id="2"/>
      </w:r>
      <w:bookmarkEnd w:id="2"/>
    </w:p>
    <w:p w:rsidR="00B00EDC" w:rsidRPr="00CA7899" w:rsidRDefault="00F9471D" w:rsidP="00CA7899">
      <w:pPr>
        <w:pStyle w:val="Texte1"/>
        <w:rPr>
          <w:snapToGrid/>
          <w:lang w:val="en-GB"/>
        </w:rPr>
      </w:pPr>
      <w:r w:rsidRPr="00CA7899">
        <w:rPr>
          <w:snapToGrid/>
          <w:lang w:val="en-GB"/>
        </w:rPr>
        <w:t>Un</w:t>
      </w:r>
      <w:r w:rsidR="00817FD9" w:rsidRPr="00CA7899">
        <w:rPr>
          <w:snapToGrid/>
          <w:lang w:val="en-GB"/>
        </w:rPr>
        <w:t xml:space="preserve"> premier projet de loi sur les tribunaux traditionnels en Afrique du Sud</w:t>
      </w:r>
      <w:r w:rsidRPr="00CA7899">
        <w:rPr>
          <w:snapToGrid/>
          <w:lang w:val="en-GB"/>
        </w:rPr>
        <w:t xml:space="preserve"> a été rédigé en 2008 afin de </w:t>
      </w:r>
      <w:r w:rsidR="001A2880" w:rsidRPr="00CA7899">
        <w:rPr>
          <w:snapToGrid/>
          <w:lang w:val="en-GB"/>
        </w:rPr>
        <w:t xml:space="preserve">remplacer une loi désuète </w:t>
      </w:r>
      <w:r w:rsidR="00696FD4" w:rsidRPr="00CA7899">
        <w:rPr>
          <w:snapToGrid/>
          <w:lang w:val="en-GB"/>
        </w:rPr>
        <w:t>concernant</w:t>
      </w:r>
      <w:r w:rsidR="001A2880" w:rsidRPr="00CA7899">
        <w:rPr>
          <w:snapToGrid/>
          <w:lang w:val="en-GB"/>
        </w:rPr>
        <w:t xml:space="preserve"> le rôle des tribunaux traditionnels dans le système juridique du pays. Cette loi</w:t>
      </w:r>
      <w:r w:rsidR="00696FD4" w:rsidRPr="00CA7899">
        <w:rPr>
          <w:snapToGrid/>
          <w:lang w:val="en-GB"/>
        </w:rPr>
        <w:t xml:space="preserve"> qui a pour but de renforcer </w:t>
      </w:r>
      <w:r w:rsidR="001B5A3D" w:rsidRPr="00CA7899">
        <w:rPr>
          <w:snapToGrid/>
          <w:lang w:val="en-GB"/>
        </w:rPr>
        <w:t>les structures des</w:t>
      </w:r>
      <w:r w:rsidR="00696FD4" w:rsidRPr="00CA7899">
        <w:rPr>
          <w:snapToGrid/>
          <w:lang w:val="en-GB"/>
        </w:rPr>
        <w:t xml:space="preserve"> tribunaux traditionnels</w:t>
      </w:r>
      <w:r w:rsidR="001A2880" w:rsidRPr="00CA7899">
        <w:rPr>
          <w:snapToGrid/>
          <w:lang w:val="en-GB"/>
        </w:rPr>
        <w:t xml:space="preserve"> </w:t>
      </w:r>
      <w:r w:rsidR="00696FD4" w:rsidRPr="00CA7899">
        <w:rPr>
          <w:snapToGrid/>
          <w:lang w:val="en-GB"/>
        </w:rPr>
        <w:t xml:space="preserve">touche </w:t>
      </w:r>
      <w:r w:rsidRPr="00CA7899">
        <w:rPr>
          <w:snapToGrid/>
          <w:lang w:val="en-GB"/>
        </w:rPr>
        <w:t xml:space="preserve">près de 18 millions </w:t>
      </w:r>
      <w:r w:rsidR="00696FD4" w:rsidRPr="00CA7899">
        <w:rPr>
          <w:snapToGrid/>
          <w:lang w:val="en-GB"/>
        </w:rPr>
        <w:t>de citoyens</w:t>
      </w:r>
      <w:r w:rsidRPr="00CA7899">
        <w:rPr>
          <w:snapToGrid/>
          <w:lang w:val="en-GB"/>
        </w:rPr>
        <w:t xml:space="preserve"> Sud-Africains vivant à la </w:t>
      </w:r>
      <w:r w:rsidR="00696FD4" w:rsidRPr="00CA7899">
        <w:rPr>
          <w:snapToGrid/>
          <w:lang w:val="en-GB"/>
        </w:rPr>
        <w:t xml:space="preserve">campagne. </w:t>
      </w:r>
      <w:r w:rsidR="00225691" w:rsidRPr="00CA7899">
        <w:rPr>
          <w:snapToGrid/>
          <w:lang w:val="en-GB"/>
        </w:rPr>
        <w:t>Cette loi</w:t>
      </w:r>
      <w:r w:rsidR="00696FD4" w:rsidRPr="00CA7899">
        <w:rPr>
          <w:snapToGrid/>
          <w:lang w:val="en-GB"/>
        </w:rPr>
        <w:t xml:space="preserve"> a fait l’objet de critiques </w:t>
      </w:r>
      <w:r w:rsidR="00BE4928" w:rsidRPr="00CA7899">
        <w:rPr>
          <w:snapToGrid/>
          <w:lang w:val="en-GB"/>
        </w:rPr>
        <w:t>car</w:t>
      </w:r>
      <w:r w:rsidR="0063767E" w:rsidRPr="00CA7899">
        <w:rPr>
          <w:snapToGrid/>
          <w:lang w:val="en-GB"/>
        </w:rPr>
        <w:t xml:space="preserve"> </w:t>
      </w:r>
      <w:r w:rsidR="00225691" w:rsidRPr="00CA7899">
        <w:rPr>
          <w:snapToGrid/>
          <w:lang w:val="en-GB"/>
        </w:rPr>
        <w:t>elle</w:t>
      </w:r>
      <w:r w:rsidR="0063767E" w:rsidRPr="00CA7899">
        <w:rPr>
          <w:snapToGrid/>
          <w:lang w:val="en-GB"/>
        </w:rPr>
        <w:t xml:space="preserve"> </w:t>
      </w:r>
      <w:r w:rsidR="004A1F0D" w:rsidRPr="00CA7899">
        <w:rPr>
          <w:snapToGrid/>
          <w:lang w:val="en-GB"/>
        </w:rPr>
        <w:t>:</w:t>
      </w:r>
    </w:p>
    <w:p w:rsidR="008560B8" w:rsidRPr="00CA7899" w:rsidRDefault="001B5A3D" w:rsidP="00CA7899">
      <w:pPr>
        <w:pStyle w:val="Texte1"/>
        <w:numPr>
          <w:ilvl w:val="0"/>
          <w:numId w:val="5"/>
        </w:numPr>
        <w:ind w:left="1571"/>
        <w:rPr>
          <w:snapToGrid/>
          <w:lang w:val="en-GB"/>
        </w:rPr>
      </w:pPr>
      <w:r w:rsidRPr="00CA7899">
        <w:rPr>
          <w:snapToGrid/>
          <w:lang w:val="en-GB"/>
        </w:rPr>
        <w:t>conférait</w:t>
      </w:r>
      <w:r w:rsidR="0063767E" w:rsidRPr="00CA7899">
        <w:rPr>
          <w:snapToGrid/>
          <w:lang w:val="en-GB"/>
        </w:rPr>
        <w:t xml:space="preserve"> la présidence du tribunal aux dirigeants traditionnels (tels que les chefs) </w:t>
      </w:r>
      <w:r w:rsidR="001C2474" w:rsidRPr="00CA7899">
        <w:rPr>
          <w:snapToGrid/>
          <w:lang w:val="en-GB"/>
        </w:rPr>
        <w:t xml:space="preserve">qui se </w:t>
      </w:r>
      <w:r w:rsidR="00D80CB4" w:rsidRPr="00CA7899">
        <w:rPr>
          <w:snapToGrid/>
          <w:lang w:val="en-GB"/>
        </w:rPr>
        <w:t>voyaient</w:t>
      </w:r>
      <w:r w:rsidR="001C2474" w:rsidRPr="00CA7899">
        <w:rPr>
          <w:snapToGrid/>
          <w:lang w:val="en-GB"/>
        </w:rPr>
        <w:t xml:space="preserve"> ainsi</w:t>
      </w:r>
      <w:r w:rsidR="0063767E" w:rsidRPr="00CA7899">
        <w:rPr>
          <w:snapToGrid/>
          <w:lang w:val="en-GB"/>
        </w:rPr>
        <w:t xml:space="preserve"> </w:t>
      </w:r>
      <w:r w:rsidR="001C2474" w:rsidRPr="00CA7899">
        <w:rPr>
          <w:snapToGrid/>
          <w:lang w:val="en-GB"/>
        </w:rPr>
        <w:t>attribués</w:t>
      </w:r>
      <w:r w:rsidR="0063767E" w:rsidRPr="00CA7899">
        <w:rPr>
          <w:snapToGrid/>
          <w:lang w:val="en-GB"/>
        </w:rPr>
        <w:t xml:space="preserve"> le plein pouvoir sur</w:t>
      </w:r>
      <w:r w:rsidR="004A1F0D" w:rsidRPr="00CA7899">
        <w:rPr>
          <w:snapToGrid/>
          <w:lang w:val="en-GB"/>
        </w:rPr>
        <w:t xml:space="preserve"> l’exercice du droit coutumier;</w:t>
      </w:r>
    </w:p>
    <w:p w:rsidR="00964412" w:rsidRPr="00CA7899" w:rsidRDefault="00C55AB0" w:rsidP="00CA7899">
      <w:pPr>
        <w:pStyle w:val="Texte1"/>
        <w:numPr>
          <w:ilvl w:val="0"/>
          <w:numId w:val="5"/>
        </w:numPr>
        <w:ind w:left="1571"/>
        <w:rPr>
          <w:snapToGrid/>
          <w:lang w:val="en-GB"/>
        </w:rPr>
      </w:pPr>
      <w:r w:rsidRPr="00CA7899">
        <w:rPr>
          <w:snapToGrid/>
          <w:lang w:val="en-GB"/>
        </w:rPr>
        <w:t xml:space="preserve">contraignait les citoyens à avoir recours aux structures traditionnelles (bafouant ainsi le principe constitutionnel selon lequel il n’y a qu’un seul droit pour une même nation </w:t>
      </w:r>
      <w:r w:rsidR="00FF2205" w:rsidRPr="00CA7899">
        <w:rPr>
          <w:snapToGrid/>
          <w:lang w:val="en-GB"/>
        </w:rPr>
        <w:t>et refusant aux citoyens le droit de choisir leur propre identité culturelle et de vivre sous le régime</w:t>
      </w:r>
      <w:r w:rsidR="004A1F0D" w:rsidRPr="00CA7899">
        <w:rPr>
          <w:snapToGrid/>
          <w:lang w:val="en-GB"/>
        </w:rPr>
        <w:t xml:space="preserve"> coutumier);</w:t>
      </w:r>
    </w:p>
    <w:p w:rsidR="00DD47FA" w:rsidRPr="00CA7899" w:rsidRDefault="00DD47FA" w:rsidP="00CA7899">
      <w:pPr>
        <w:pStyle w:val="Texte1"/>
        <w:numPr>
          <w:ilvl w:val="0"/>
          <w:numId w:val="5"/>
        </w:numPr>
        <w:ind w:left="1571"/>
        <w:rPr>
          <w:snapToGrid/>
          <w:lang w:val="en-GB"/>
        </w:rPr>
      </w:pPr>
      <w:r w:rsidRPr="00CA7899">
        <w:rPr>
          <w:snapToGrid/>
          <w:lang w:val="en-GB"/>
        </w:rPr>
        <w:t>empêchait</w:t>
      </w:r>
      <w:r w:rsidR="00964412" w:rsidRPr="00CA7899">
        <w:rPr>
          <w:snapToGrid/>
          <w:lang w:val="en-GB"/>
        </w:rPr>
        <w:t xml:space="preserve"> les femmes de participer à l’élaboration du droit coutumier</w:t>
      </w:r>
      <w:r w:rsidRPr="00CA7899">
        <w:rPr>
          <w:snapToGrid/>
          <w:lang w:val="en-GB"/>
        </w:rPr>
        <w:t xml:space="preserve"> au même titre que les hommes, conduisant ainsi à l’impossibilité de résoudre les problèmes de discrimination à l’égard des femmes sur les questions d’accè</w:t>
      </w:r>
      <w:r w:rsidR="004D0FDF" w:rsidRPr="00CA7899">
        <w:rPr>
          <w:snapToGrid/>
          <w:lang w:val="en-GB"/>
        </w:rPr>
        <w:t xml:space="preserve">s à la terre et à la propriété </w:t>
      </w:r>
      <w:r w:rsidRPr="00CA7899">
        <w:rPr>
          <w:snapToGrid/>
          <w:lang w:val="en-GB"/>
        </w:rPr>
        <w:t xml:space="preserve">dans le </w:t>
      </w:r>
      <w:r w:rsidR="004D0FDF" w:rsidRPr="00CA7899">
        <w:rPr>
          <w:snapToGrid/>
          <w:lang w:val="en-GB"/>
        </w:rPr>
        <w:t>cadre</w:t>
      </w:r>
      <w:r w:rsidRPr="00CA7899">
        <w:rPr>
          <w:snapToGrid/>
          <w:lang w:val="en-GB"/>
        </w:rPr>
        <w:t xml:space="preserve"> du droit coutumier;</w:t>
      </w:r>
    </w:p>
    <w:p w:rsidR="00546B67" w:rsidRPr="00CA7899" w:rsidRDefault="00546B67" w:rsidP="00CA7899">
      <w:pPr>
        <w:pStyle w:val="Texte1"/>
        <w:numPr>
          <w:ilvl w:val="0"/>
          <w:numId w:val="5"/>
        </w:numPr>
        <w:ind w:left="1571"/>
        <w:rPr>
          <w:snapToGrid/>
          <w:lang w:val="en-GB"/>
        </w:rPr>
      </w:pPr>
      <w:r w:rsidRPr="00CA7899">
        <w:rPr>
          <w:snapToGrid/>
          <w:lang w:val="en-GB"/>
        </w:rPr>
        <w:t xml:space="preserve">a été rédigée de façon verticale sans </w:t>
      </w:r>
      <w:r w:rsidR="00D80CB4" w:rsidRPr="00CA7899">
        <w:rPr>
          <w:snapToGrid/>
          <w:lang w:val="en-GB"/>
        </w:rPr>
        <w:t xml:space="preserve">une </w:t>
      </w:r>
      <w:r w:rsidRPr="00CA7899">
        <w:rPr>
          <w:snapToGrid/>
          <w:lang w:val="en-GB"/>
        </w:rPr>
        <w:t>consultation appropriée des populations rurales.</w:t>
      </w:r>
    </w:p>
    <w:p w:rsidR="00563456" w:rsidRPr="00CA7899" w:rsidRDefault="00165D62" w:rsidP="00CA7899">
      <w:pPr>
        <w:pStyle w:val="Texte1"/>
        <w:rPr>
          <w:snapToGrid/>
          <w:lang w:val="en-GB"/>
        </w:rPr>
      </w:pPr>
      <w:r w:rsidRPr="00CA7899">
        <w:rPr>
          <w:snapToGrid/>
          <w:lang w:val="en-GB"/>
        </w:rPr>
        <w:t xml:space="preserve">En </w:t>
      </w:r>
      <w:r w:rsidR="00D80CB4" w:rsidRPr="00CA7899">
        <w:rPr>
          <w:snapToGrid/>
          <w:lang w:val="en-GB"/>
        </w:rPr>
        <w:t xml:space="preserve">raison de ces critiques, la loi, </w:t>
      </w:r>
      <w:r w:rsidRPr="00CA7899">
        <w:rPr>
          <w:snapToGrid/>
          <w:lang w:val="en-GB"/>
        </w:rPr>
        <w:t>initialement portée à l’analyse de l’</w:t>
      </w:r>
      <w:r w:rsidR="00546B67" w:rsidRPr="00CA7899">
        <w:rPr>
          <w:snapToGrid/>
          <w:lang w:val="en-GB"/>
        </w:rPr>
        <w:t>Assemblée nationale</w:t>
      </w:r>
      <w:r w:rsidR="00F962A7" w:rsidRPr="00CA7899">
        <w:rPr>
          <w:snapToGrid/>
          <w:lang w:val="en-GB"/>
        </w:rPr>
        <w:t>,</w:t>
      </w:r>
      <w:r w:rsidRPr="00CA7899">
        <w:rPr>
          <w:snapToGrid/>
          <w:lang w:val="en-GB"/>
        </w:rPr>
        <w:t xml:space="preserve"> a été soumise au </w:t>
      </w:r>
      <w:r w:rsidR="00546B67" w:rsidRPr="00CA7899">
        <w:rPr>
          <w:snapToGrid/>
          <w:lang w:val="en-GB"/>
        </w:rPr>
        <w:t>Conseil national des provinces</w:t>
      </w:r>
      <w:r w:rsidR="00B35D11" w:rsidRPr="00CA7899">
        <w:rPr>
          <w:snapToGrid/>
          <w:lang w:val="en-GB"/>
        </w:rPr>
        <w:t xml:space="preserve">, au niveau local, </w:t>
      </w:r>
      <w:r w:rsidRPr="00CA7899">
        <w:rPr>
          <w:snapToGrid/>
          <w:lang w:val="en-GB"/>
        </w:rPr>
        <w:t xml:space="preserve">afin de permettre une plus grande participation du public à l’échelle des provinces avant l’examen final de la loi.  </w:t>
      </w:r>
      <w:r w:rsidR="009C398E" w:rsidRPr="00CA7899">
        <w:rPr>
          <w:snapToGrid/>
          <w:lang w:val="en-GB"/>
        </w:rPr>
        <w:t xml:space="preserve">Le Parlement sud-africain est composé de deux chambres : l’Assemblée nationale et le Conseil national des provinces (NCOP). </w:t>
      </w:r>
      <w:r w:rsidR="00332D20" w:rsidRPr="00CA7899">
        <w:rPr>
          <w:snapToGrid/>
          <w:lang w:val="en-GB"/>
        </w:rPr>
        <w:t>Il est inscrit dans la Constitution sud-africaine que le NCOP a pour mission d’assurer la prise en compte des intérêts des provinces à l’échelle nationale</w:t>
      </w:r>
      <w:r w:rsidR="00E32630" w:rsidRPr="00CA7899">
        <w:rPr>
          <w:snapToGrid/>
          <w:lang w:val="en-GB"/>
        </w:rPr>
        <w:t xml:space="preserve"> du gouvernement</w:t>
      </w:r>
      <w:r w:rsidR="00332D20" w:rsidRPr="00CA7899">
        <w:rPr>
          <w:snapToGrid/>
          <w:lang w:val="en-GB"/>
        </w:rPr>
        <w:t xml:space="preserve">. </w:t>
      </w:r>
      <w:r w:rsidR="00D80CB4" w:rsidRPr="00CA7899">
        <w:rPr>
          <w:snapToGrid/>
          <w:lang w:val="en-GB"/>
        </w:rPr>
        <w:t>Ainsi, l</w:t>
      </w:r>
      <w:r w:rsidR="0000553C" w:rsidRPr="00CA7899">
        <w:rPr>
          <w:snapToGrid/>
          <w:lang w:val="en-GB"/>
        </w:rPr>
        <w:t>e NCOP offre un cadre au sein duquel les provinces peuvent participer à l’élaboration des lois nationales et un lieu de discussion</w:t>
      </w:r>
      <w:r w:rsidR="00DB7845" w:rsidRPr="00CA7899">
        <w:rPr>
          <w:snapToGrid/>
          <w:lang w:val="en-GB"/>
        </w:rPr>
        <w:t xml:space="preserve"> avec le gouvernement afin d’aborder les qu</w:t>
      </w:r>
      <w:r w:rsidR="004A1F0D" w:rsidRPr="00CA7899">
        <w:rPr>
          <w:snapToGrid/>
          <w:lang w:val="en-GB"/>
        </w:rPr>
        <w:t>estions touchant les provinces.</w:t>
      </w:r>
    </w:p>
    <w:p w:rsidR="0029160F" w:rsidRPr="00CA7899" w:rsidRDefault="00B35D11" w:rsidP="00CA7899">
      <w:pPr>
        <w:pStyle w:val="Texte1"/>
        <w:rPr>
          <w:snapToGrid/>
          <w:lang w:val="en-GB"/>
        </w:rPr>
      </w:pPr>
      <w:r w:rsidRPr="00CA7899">
        <w:rPr>
          <w:snapToGrid/>
          <w:lang w:val="en-GB"/>
        </w:rPr>
        <w:t xml:space="preserve">En 2012, </w:t>
      </w:r>
      <w:r w:rsidR="0029160F" w:rsidRPr="00CA7899">
        <w:rPr>
          <w:snapToGrid/>
          <w:lang w:val="en-GB"/>
        </w:rPr>
        <w:t>le gouvernement a entrepris des consultations publiques dans chacune des provinces</w:t>
      </w:r>
      <w:r w:rsidR="00681E92" w:rsidRPr="00CA7899">
        <w:rPr>
          <w:snapToGrid/>
          <w:lang w:val="en-GB"/>
        </w:rPr>
        <w:t xml:space="preserve"> </w:t>
      </w:r>
      <w:r w:rsidR="0029160F" w:rsidRPr="00CA7899">
        <w:rPr>
          <w:snapToGrid/>
          <w:lang w:val="en-GB"/>
        </w:rPr>
        <w:t xml:space="preserve">afin </w:t>
      </w:r>
      <w:r w:rsidR="001B0563" w:rsidRPr="00CA7899">
        <w:rPr>
          <w:snapToGrid/>
          <w:lang w:val="en-GB"/>
        </w:rPr>
        <w:t xml:space="preserve">de tenter </w:t>
      </w:r>
      <w:r w:rsidR="0029160F" w:rsidRPr="00CA7899">
        <w:rPr>
          <w:snapToGrid/>
          <w:lang w:val="en-GB"/>
        </w:rPr>
        <w:t>d’</w:t>
      </w:r>
      <w:r w:rsidR="001B0563" w:rsidRPr="00CA7899">
        <w:rPr>
          <w:snapToGrid/>
          <w:lang w:val="en-GB"/>
        </w:rPr>
        <w:t>instruire et d’informer</w:t>
      </w:r>
      <w:r w:rsidR="0029160F" w:rsidRPr="00CA7899">
        <w:rPr>
          <w:snapToGrid/>
          <w:lang w:val="en-GB"/>
        </w:rPr>
        <w:t xml:space="preserve"> le public, en particulier les personnes concernées par la loi en préparation, </w:t>
      </w:r>
      <w:r w:rsidR="001B0563" w:rsidRPr="00CA7899">
        <w:rPr>
          <w:snapToGrid/>
          <w:lang w:val="en-GB"/>
        </w:rPr>
        <w:t xml:space="preserve">de tous débats législatifs en leur communiquant les dates, les horaires et les lieux de ceux-ci et en </w:t>
      </w:r>
      <w:r w:rsidR="0029160F" w:rsidRPr="00CA7899">
        <w:rPr>
          <w:snapToGrid/>
          <w:lang w:val="en-GB"/>
        </w:rPr>
        <w:t>leur offrant un espace de discussion</w:t>
      </w:r>
      <w:r w:rsidR="001B0563" w:rsidRPr="00CA7899">
        <w:rPr>
          <w:snapToGrid/>
          <w:lang w:val="en-GB"/>
        </w:rPr>
        <w:t>.</w:t>
      </w:r>
    </w:p>
    <w:p w:rsidR="00FB7C3F" w:rsidRPr="00CA7899" w:rsidRDefault="0096231D" w:rsidP="00CA7899">
      <w:pPr>
        <w:pStyle w:val="Texte1"/>
        <w:rPr>
          <w:snapToGrid/>
          <w:lang w:val="en-GB"/>
        </w:rPr>
      </w:pPr>
      <w:r w:rsidRPr="00CA7899">
        <w:rPr>
          <w:snapToGrid/>
          <w:lang w:val="en-GB"/>
        </w:rPr>
        <w:t xml:space="preserve">Le </w:t>
      </w:r>
      <w:r w:rsidR="00014807" w:rsidRPr="00CA7899">
        <w:rPr>
          <w:snapToGrid/>
          <w:lang w:val="en-GB"/>
        </w:rPr>
        <w:t>C</w:t>
      </w:r>
      <w:r w:rsidRPr="00CA7899">
        <w:rPr>
          <w:snapToGrid/>
          <w:lang w:val="en-GB"/>
        </w:rPr>
        <w:t>entre juridique pour les femmes (</w:t>
      </w:r>
      <w:r w:rsidRPr="00CA7899">
        <w:rPr>
          <w:i/>
          <w:iCs/>
          <w:snapToGrid/>
          <w:lang w:val="en-GB"/>
        </w:rPr>
        <w:t>Women’s Legal Centre</w:t>
      </w:r>
      <w:r w:rsidRPr="00CA7899">
        <w:rPr>
          <w:snapToGrid/>
          <w:lang w:val="en-GB"/>
        </w:rPr>
        <w:t>), particulièrement touchée par l’impact de la loi sur les femmes des régions rurales, a rejoint d’autres organisations non gouvernementales afin de former</w:t>
      </w:r>
      <w:r w:rsidR="00C474AD" w:rsidRPr="00CA7899">
        <w:rPr>
          <w:snapToGrid/>
          <w:lang w:val="en-GB"/>
        </w:rPr>
        <w:t xml:space="preserve"> en 2012</w:t>
      </w:r>
      <w:r w:rsidRPr="00CA7899">
        <w:rPr>
          <w:snapToGrid/>
          <w:lang w:val="en-GB"/>
        </w:rPr>
        <w:t xml:space="preserve"> l’Alliance pour la démocratie rurale (</w:t>
      </w:r>
      <w:r w:rsidRPr="00CA7899">
        <w:rPr>
          <w:i/>
          <w:iCs/>
          <w:snapToGrid/>
          <w:lang w:val="en-GB"/>
        </w:rPr>
        <w:t>the Alliance for Rural Democracy</w:t>
      </w:r>
      <w:r w:rsidRPr="00CA7899">
        <w:rPr>
          <w:snapToGrid/>
          <w:lang w:val="en-GB"/>
        </w:rPr>
        <w:t>)</w:t>
      </w:r>
      <w:r w:rsidR="00C474AD" w:rsidRPr="00CA7899">
        <w:rPr>
          <w:snapToGrid/>
          <w:lang w:val="en-GB"/>
        </w:rPr>
        <w:t xml:space="preserve"> qui </w:t>
      </w:r>
      <w:r w:rsidR="00681E92" w:rsidRPr="00CA7899">
        <w:rPr>
          <w:snapToGrid/>
          <w:lang w:val="en-GB"/>
        </w:rPr>
        <w:t>menait</w:t>
      </w:r>
      <w:r w:rsidR="00C474AD" w:rsidRPr="00CA7899">
        <w:rPr>
          <w:snapToGrid/>
          <w:lang w:val="en-GB"/>
        </w:rPr>
        <w:t xml:space="preserve"> une campagne publique contre le projet de loi. Selon cette organisation, le gouvernement n’a pas suivi les procédures prévues et un grand nombre de personnes concernées par la loi n’ont reçu aucune</w:t>
      </w:r>
      <w:r w:rsidR="00290B4D" w:rsidRPr="00CA7899">
        <w:rPr>
          <w:snapToGrid/>
          <w:lang w:val="en-GB"/>
        </w:rPr>
        <w:t>s</w:t>
      </w:r>
      <w:r w:rsidR="00C474AD" w:rsidRPr="00CA7899">
        <w:rPr>
          <w:snapToGrid/>
          <w:lang w:val="en-GB"/>
        </w:rPr>
        <w:t xml:space="preserve"> informations.  </w:t>
      </w:r>
      <w:r w:rsidR="00290B4D" w:rsidRPr="00CA7899">
        <w:rPr>
          <w:snapToGrid/>
          <w:lang w:val="en-GB"/>
        </w:rPr>
        <w:t xml:space="preserve">Par conséquent l’organisation s’est chargée de </w:t>
      </w:r>
      <w:r w:rsidR="00FB7C3F" w:rsidRPr="00CA7899">
        <w:rPr>
          <w:snapToGrid/>
          <w:lang w:val="en-GB"/>
        </w:rPr>
        <w:t>diffuser</w:t>
      </w:r>
      <w:r w:rsidR="00290B4D" w:rsidRPr="00CA7899">
        <w:rPr>
          <w:snapToGrid/>
          <w:lang w:val="en-GB"/>
        </w:rPr>
        <w:t xml:space="preserve"> de la documentation</w:t>
      </w:r>
      <w:r w:rsidR="00FB7C3F" w:rsidRPr="00CA7899">
        <w:rPr>
          <w:snapToGrid/>
          <w:lang w:val="en-GB"/>
        </w:rPr>
        <w:t>, de contacter les média</w:t>
      </w:r>
      <w:r w:rsidR="00AC5086" w:rsidRPr="00CA7899">
        <w:rPr>
          <w:snapToGrid/>
          <w:lang w:val="en-GB"/>
        </w:rPr>
        <w:t>s</w:t>
      </w:r>
      <w:r w:rsidR="00FB7C3F" w:rsidRPr="00CA7899">
        <w:rPr>
          <w:snapToGrid/>
          <w:lang w:val="en-GB"/>
        </w:rPr>
        <w:t>, d’organiser des événements publics notamment sur le suivi des débats au sein du gouvernement</w:t>
      </w:r>
      <w:r w:rsidR="00AC5086" w:rsidRPr="00CA7899">
        <w:rPr>
          <w:snapToGrid/>
          <w:lang w:val="en-GB"/>
        </w:rPr>
        <w:t xml:space="preserve"> et de mobilier</w:t>
      </w:r>
      <w:r w:rsidR="00EA72B4" w:rsidRPr="00CA7899">
        <w:rPr>
          <w:snapToGrid/>
          <w:lang w:val="en-GB"/>
        </w:rPr>
        <w:t xml:space="preserve"> les membres du gouvernement en charge du projet de loi ainsi que les habitants des communautés rurales les plus touchés par la loi.</w:t>
      </w:r>
    </w:p>
    <w:p w:rsidR="00173C4F" w:rsidRPr="00CA7899" w:rsidRDefault="0079522D" w:rsidP="00CA7899">
      <w:pPr>
        <w:pStyle w:val="Texte1"/>
        <w:rPr>
          <w:snapToGrid/>
          <w:lang w:val="en-GB"/>
        </w:rPr>
      </w:pPr>
      <w:r w:rsidRPr="00CA7899">
        <w:rPr>
          <w:snapToGrid/>
          <w:lang w:val="en-GB"/>
        </w:rPr>
        <w:t xml:space="preserve">Finalement, cinq des neuf provinces ont catégoriquement rejeté la loi et seulement deux d’entre elles l’ont </w:t>
      </w:r>
      <w:r w:rsidR="00020B0D" w:rsidRPr="00CA7899">
        <w:rPr>
          <w:snapToGrid/>
          <w:lang w:val="en-GB"/>
        </w:rPr>
        <w:t>soutenue</w:t>
      </w:r>
      <w:r w:rsidRPr="00CA7899">
        <w:rPr>
          <w:snapToGrid/>
          <w:lang w:val="en-GB"/>
        </w:rPr>
        <w:t xml:space="preserve">. Il est très rare que la majorité des provinces sud-africaines </w:t>
      </w:r>
      <w:r w:rsidR="00020B0D" w:rsidRPr="00CA7899">
        <w:rPr>
          <w:snapToGrid/>
          <w:lang w:val="en-GB"/>
        </w:rPr>
        <w:t xml:space="preserve">ne </w:t>
      </w:r>
      <w:r w:rsidR="00020B0D" w:rsidRPr="00CA7899">
        <w:rPr>
          <w:snapToGrid/>
          <w:lang w:val="en-GB"/>
        </w:rPr>
        <w:lastRenderedPageBreak/>
        <w:t>soutienne</w:t>
      </w:r>
      <w:r w:rsidR="009D5EDF" w:rsidRPr="00CA7899">
        <w:rPr>
          <w:snapToGrid/>
          <w:lang w:val="en-GB"/>
        </w:rPr>
        <w:t>n</w:t>
      </w:r>
      <w:r w:rsidR="00020B0D" w:rsidRPr="00CA7899">
        <w:rPr>
          <w:snapToGrid/>
          <w:lang w:val="en-GB"/>
        </w:rPr>
        <w:t>t</w:t>
      </w:r>
      <w:r w:rsidRPr="00CA7899">
        <w:rPr>
          <w:snapToGrid/>
          <w:lang w:val="en-GB"/>
        </w:rPr>
        <w:t xml:space="preserve"> pas un projet de loi. </w:t>
      </w:r>
      <w:r w:rsidR="005F2A00" w:rsidRPr="00CA7899">
        <w:rPr>
          <w:snapToGrid/>
          <w:lang w:val="en-GB"/>
        </w:rPr>
        <w:t xml:space="preserve">Le manque de soutien de la part de la population et des provinces </w:t>
      </w:r>
      <w:r w:rsidR="00563426" w:rsidRPr="00CA7899">
        <w:rPr>
          <w:snapToGrid/>
          <w:lang w:val="en-GB"/>
        </w:rPr>
        <w:t>ainsi que</w:t>
      </w:r>
      <w:r w:rsidR="005F2A00" w:rsidRPr="00CA7899">
        <w:rPr>
          <w:snapToGrid/>
          <w:lang w:val="en-GB"/>
        </w:rPr>
        <w:t xml:space="preserve"> la pression grandissante exercée par la société civile pour retirer le projet de l</w:t>
      </w:r>
      <w:r w:rsidR="00563426" w:rsidRPr="00CA7899">
        <w:rPr>
          <w:snapToGrid/>
          <w:lang w:val="en-GB"/>
        </w:rPr>
        <w:t xml:space="preserve">oi ont conduit le Parlement à </w:t>
      </w:r>
      <w:r w:rsidR="005F2A00" w:rsidRPr="00CA7899">
        <w:rPr>
          <w:snapToGrid/>
          <w:lang w:val="en-GB"/>
        </w:rPr>
        <w:t xml:space="preserve">abandonner </w:t>
      </w:r>
      <w:r w:rsidR="00F962A7" w:rsidRPr="00CA7899">
        <w:rPr>
          <w:snapToGrid/>
          <w:lang w:val="en-GB"/>
        </w:rPr>
        <w:t>son examen</w:t>
      </w:r>
      <w:r w:rsidR="005F2A00" w:rsidRPr="00CA7899">
        <w:rPr>
          <w:snapToGrid/>
          <w:lang w:val="en-GB"/>
        </w:rPr>
        <w:t xml:space="preserve"> en février 2014. </w:t>
      </w:r>
      <w:r w:rsidR="00852F76" w:rsidRPr="00CA7899">
        <w:rPr>
          <w:snapToGrid/>
          <w:lang w:val="en-GB"/>
        </w:rPr>
        <w:t>Cependant, ce n’est pas la première fois que le projet de loi a été avorté, il</w:t>
      </w:r>
      <w:r w:rsidR="00F962A7" w:rsidRPr="00CA7899">
        <w:rPr>
          <w:snapToGrid/>
          <w:lang w:val="en-GB"/>
        </w:rPr>
        <w:t xml:space="preserve"> est donc possible qu’un projet </w:t>
      </w:r>
      <w:r w:rsidR="00852F76" w:rsidRPr="00CA7899">
        <w:rPr>
          <w:snapToGrid/>
          <w:lang w:val="en-GB"/>
        </w:rPr>
        <w:t xml:space="preserve">similaire soit à </w:t>
      </w:r>
      <w:r w:rsidR="004A1F0D" w:rsidRPr="00CA7899">
        <w:rPr>
          <w:snapToGrid/>
          <w:lang w:val="en-GB"/>
        </w:rPr>
        <w:t>nouveau introduit par la suite.</w:t>
      </w:r>
    </w:p>
    <w:p w:rsidR="00173C4F" w:rsidRDefault="00173C4F">
      <w:r>
        <w:br w:type="page"/>
      </w:r>
    </w:p>
    <w:p w:rsidR="001E01B9" w:rsidRPr="00CA7899" w:rsidRDefault="00E17BBB" w:rsidP="005B2880">
      <w:pPr>
        <w:pStyle w:val="Heading2"/>
        <w:rPr>
          <w:rFonts w:eastAsia="SimSun" w:cs="Times New Roman"/>
          <w:b/>
          <w:caps/>
          <w:color w:val="auto"/>
          <w:sz w:val="20"/>
          <w:szCs w:val="24"/>
          <w:lang w:val="it-IT"/>
        </w:rPr>
      </w:pPr>
      <w:bookmarkStart w:id="3" w:name="_Toc430339200"/>
      <w:r w:rsidRPr="00CA7899">
        <w:rPr>
          <w:rFonts w:eastAsia="SimSun" w:cs="Times New Roman"/>
          <w:b/>
          <w:caps/>
          <w:color w:val="auto"/>
          <w:sz w:val="20"/>
          <w:szCs w:val="24"/>
          <w:lang w:val="it-IT"/>
        </w:rPr>
        <w:lastRenderedPageBreak/>
        <w:t>Égypte</w:t>
      </w:r>
      <w:proofErr w:type="gramStart"/>
      <w:r w:rsidRPr="00CA7899">
        <w:rPr>
          <w:rFonts w:eastAsia="SimSun" w:cs="Times New Roman"/>
          <w:b/>
          <w:caps/>
          <w:color w:val="auto"/>
          <w:sz w:val="20"/>
          <w:szCs w:val="24"/>
          <w:lang w:val="it-IT"/>
        </w:rPr>
        <w:t> :</w:t>
      </w:r>
      <w:proofErr w:type="gramEnd"/>
      <w:r w:rsidRPr="00CA7899">
        <w:rPr>
          <w:rFonts w:eastAsia="SimSun" w:cs="Times New Roman"/>
          <w:b/>
          <w:caps/>
          <w:color w:val="auto"/>
          <w:sz w:val="20"/>
          <w:szCs w:val="24"/>
          <w:lang w:val="it-IT"/>
        </w:rPr>
        <w:t xml:space="preserve"> un contrôle sur l’importation de souvenirs</w:t>
      </w:r>
      <w:r w:rsidR="00477F4A" w:rsidRPr="00CA7899">
        <w:rPr>
          <w:rFonts w:eastAsia="SimSun" w:cs="Times New Roman"/>
          <w:b/>
          <w:caps/>
          <w:color w:val="auto"/>
          <w:sz w:val="20"/>
          <w:szCs w:val="24"/>
          <w:vertAlign w:val="superscript"/>
          <w:lang w:val="it-IT"/>
        </w:rPr>
        <w:footnoteReference w:id="3"/>
      </w:r>
      <w:bookmarkEnd w:id="3"/>
    </w:p>
    <w:p w:rsidR="00027E13" w:rsidRPr="00CA7899" w:rsidRDefault="00477F4A" w:rsidP="00CA7899">
      <w:pPr>
        <w:pStyle w:val="Texte1"/>
        <w:rPr>
          <w:snapToGrid/>
          <w:lang w:val="en-GB"/>
        </w:rPr>
      </w:pPr>
      <w:r w:rsidRPr="00CA7899">
        <w:rPr>
          <w:snapToGrid/>
          <w:lang w:val="en-GB"/>
        </w:rPr>
        <w:t xml:space="preserve">Le Ministre égyptien du Commerce et de l’Industrie, Mounir Fakhry Abdel Nour, </w:t>
      </w:r>
      <w:r w:rsidR="00557BC8" w:rsidRPr="00CA7899">
        <w:rPr>
          <w:snapToGrid/>
          <w:lang w:val="en-GB"/>
        </w:rPr>
        <w:t xml:space="preserve">a décidé d’interdire l’importation de produits </w:t>
      </w:r>
      <w:r w:rsidR="00E17BBB" w:rsidRPr="00CA7899">
        <w:rPr>
          <w:snapToGrid/>
          <w:lang w:val="en-GB"/>
        </w:rPr>
        <w:t>de nature artistique</w:t>
      </w:r>
      <w:r w:rsidR="00557BC8" w:rsidRPr="00CA7899">
        <w:rPr>
          <w:snapToGrid/>
          <w:lang w:val="en-GB"/>
        </w:rPr>
        <w:t xml:space="preserve"> et </w:t>
      </w:r>
      <w:r w:rsidR="00E17BBB" w:rsidRPr="00CA7899">
        <w:rPr>
          <w:snapToGrid/>
          <w:lang w:val="en-GB"/>
        </w:rPr>
        <w:t>folklorique</w:t>
      </w:r>
      <w:r w:rsidR="00557BC8" w:rsidRPr="00CA7899">
        <w:rPr>
          <w:snapToGrid/>
          <w:lang w:val="en-GB"/>
        </w:rPr>
        <w:t xml:space="preserve"> </w:t>
      </w:r>
      <w:r w:rsidR="000A59A4" w:rsidRPr="00CA7899">
        <w:rPr>
          <w:snapToGrid/>
          <w:lang w:val="en-GB"/>
        </w:rPr>
        <w:t xml:space="preserve">ainsi que les </w:t>
      </w:r>
      <w:r w:rsidR="00C0791A" w:rsidRPr="00CA7899">
        <w:rPr>
          <w:snapToGrid/>
          <w:lang w:val="en-GB"/>
        </w:rPr>
        <w:t>modèles réduits</w:t>
      </w:r>
      <w:r w:rsidR="00294D69" w:rsidRPr="00CA7899">
        <w:rPr>
          <w:snapToGrid/>
          <w:lang w:val="en-GB"/>
        </w:rPr>
        <w:t xml:space="preserve"> de sites</w:t>
      </w:r>
      <w:r w:rsidR="000A59A4" w:rsidRPr="00CA7899">
        <w:rPr>
          <w:snapToGrid/>
          <w:lang w:val="en-GB"/>
        </w:rPr>
        <w:t xml:space="preserve"> archéologiques afin de protéger </w:t>
      </w:r>
      <w:r w:rsidR="00195267" w:rsidRPr="00CA7899">
        <w:rPr>
          <w:snapToGrid/>
          <w:lang w:val="en-GB"/>
        </w:rPr>
        <w:t>le patrimoine artistique populaire</w:t>
      </w:r>
      <w:r w:rsidR="00027E13" w:rsidRPr="00CA7899">
        <w:rPr>
          <w:snapToGrid/>
          <w:lang w:val="en-GB"/>
        </w:rPr>
        <w:t xml:space="preserve"> égyptien et les droits de propriété intellectuelle</w:t>
      </w:r>
      <w:r w:rsidR="00195267" w:rsidRPr="00CA7899">
        <w:rPr>
          <w:snapToGrid/>
          <w:lang w:val="en-GB"/>
        </w:rPr>
        <w:t xml:space="preserve"> </w:t>
      </w:r>
      <w:r w:rsidR="008F3C7D" w:rsidRPr="00CA7899">
        <w:rPr>
          <w:snapToGrid/>
          <w:lang w:val="en-GB"/>
        </w:rPr>
        <w:t>du pays</w:t>
      </w:r>
      <w:r w:rsidR="000A59A4" w:rsidRPr="00CA7899">
        <w:rPr>
          <w:snapToGrid/>
          <w:lang w:val="en-GB"/>
        </w:rPr>
        <w:t>.</w:t>
      </w:r>
    </w:p>
    <w:p w:rsidR="00852F76" w:rsidRPr="00CA7899" w:rsidRDefault="000A59A4" w:rsidP="00CA7899">
      <w:pPr>
        <w:pStyle w:val="Texte1"/>
        <w:rPr>
          <w:snapToGrid/>
          <w:lang w:val="en-GB"/>
        </w:rPr>
      </w:pPr>
      <w:r w:rsidRPr="00CA7899">
        <w:rPr>
          <w:snapToGrid/>
          <w:lang w:val="en-GB"/>
        </w:rPr>
        <w:t>Selon le Ministère, cette décision a pour but de protéger le patrimoine artistique égyptien et d’encourager l’achat de produits et de souvenirs fabriqués localement.</w:t>
      </w:r>
      <w:r w:rsidR="00DD24CB" w:rsidRPr="00CA7899">
        <w:rPr>
          <w:snapToGrid/>
          <w:lang w:val="en-GB"/>
        </w:rPr>
        <w:t xml:space="preserve"> Monsieur</w:t>
      </w:r>
      <w:r w:rsidR="00E4064F" w:rsidRPr="00CA7899">
        <w:rPr>
          <w:snapToGrid/>
          <w:lang w:val="en-GB"/>
        </w:rPr>
        <w:t xml:space="preserve"> Abdel Nour a expliqué qu’en </w:t>
      </w:r>
      <w:r w:rsidRPr="00CA7899">
        <w:rPr>
          <w:snapToGrid/>
          <w:lang w:val="en-GB"/>
        </w:rPr>
        <w:t xml:space="preserve">vertu du droit sur la propriété intellectuelle, le Ministre de la Culture </w:t>
      </w:r>
      <w:r w:rsidR="00240FD9" w:rsidRPr="00CA7899">
        <w:rPr>
          <w:snapToGrid/>
          <w:lang w:val="en-GB"/>
        </w:rPr>
        <w:t>peut intervenir en matière de</w:t>
      </w:r>
      <w:r w:rsidR="00FC56A1" w:rsidRPr="00CA7899">
        <w:rPr>
          <w:snapToGrid/>
          <w:lang w:val="en-GB"/>
        </w:rPr>
        <w:t xml:space="preserve"> droits financiers et littéraires </w:t>
      </w:r>
      <w:r w:rsidR="00240FD9" w:rsidRPr="00CA7899">
        <w:rPr>
          <w:snapToGrid/>
          <w:lang w:val="en-GB"/>
        </w:rPr>
        <w:t>liés</w:t>
      </w:r>
      <w:r w:rsidR="00E4064F" w:rsidRPr="00CA7899">
        <w:rPr>
          <w:snapToGrid/>
          <w:lang w:val="en-GB"/>
        </w:rPr>
        <w:t xml:space="preserve"> au folklore national.</w:t>
      </w:r>
    </w:p>
    <w:p w:rsidR="00DD24CB" w:rsidRPr="00CA7899" w:rsidRDefault="005F5937" w:rsidP="00CA7899">
      <w:pPr>
        <w:pStyle w:val="Texte1"/>
        <w:rPr>
          <w:snapToGrid/>
          <w:lang w:val="en-GB"/>
        </w:rPr>
      </w:pPr>
      <w:r w:rsidRPr="00CA7899">
        <w:rPr>
          <w:snapToGrid/>
          <w:lang w:val="en-GB"/>
        </w:rPr>
        <w:t xml:space="preserve">Parmi les cadeaux et souvenirs interdits à l’importation figurent des produits tels que les peintures, sculptures, objets en bois, mosaïques, métaux, bijoux, textiles, tapis, instruments de musique, </w:t>
      </w:r>
      <w:r w:rsidR="00B30ACD" w:rsidRPr="00CA7899">
        <w:rPr>
          <w:snapToGrid/>
          <w:lang w:val="en-GB"/>
        </w:rPr>
        <w:t>modèles réduits</w:t>
      </w:r>
      <w:r w:rsidR="00B92BA0" w:rsidRPr="00CA7899">
        <w:rPr>
          <w:snapToGrid/>
          <w:lang w:val="en-GB"/>
        </w:rPr>
        <w:t xml:space="preserve"> et photos d’artefacts égyptiens </w:t>
      </w:r>
      <w:r w:rsidR="00B649F6" w:rsidRPr="00CA7899">
        <w:rPr>
          <w:snapToGrid/>
          <w:lang w:val="en-GB"/>
        </w:rPr>
        <w:t>ainsi que</w:t>
      </w:r>
      <w:r w:rsidR="00B92BA0" w:rsidRPr="00CA7899">
        <w:rPr>
          <w:snapToGrid/>
          <w:lang w:val="en-GB"/>
        </w:rPr>
        <w:t xml:space="preserve"> les </w:t>
      </w:r>
      <w:r w:rsidR="004A1F0D" w:rsidRPr="00CA7899">
        <w:rPr>
          <w:snapToGrid/>
          <w:lang w:val="en-GB"/>
        </w:rPr>
        <w:t>photos de sites archéologiques.</w:t>
      </w:r>
    </w:p>
    <w:p w:rsidR="00852F76" w:rsidRPr="00CA7899" w:rsidRDefault="003362DE" w:rsidP="00CA7899">
      <w:pPr>
        <w:pStyle w:val="Texte1"/>
        <w:rPr>
          <w:snapToGrid/>
          <w:lang w:val="en-GB"/>
        </w:rPr>
      </w:pPr>
      <w:r w:rsidRPr="00CA7899">
        <w:rPr>
          <w:snapToGrid/>
          <w:lang w:val="en-GB"/>
        </w:rPr>
        <w:t xml:space="preserve">La décision d’interdire l’importation de </w:t>
      </w:r>
      <w:r w:rsidR="0036099C" w:rsidRPr="00CA7899">
        <w:rPr>
          <w:snapToGrid/>
          <w:lang w:val="en-GB"/>
        </w:rPr>
        <w:t xml:space="preserve">souvenirs fabriqués à l’étranger </w:t>
      </w:r>
      <w:r w:rsidRPr="00CA7899">
        <w:rPr>
          <w:snapToGrid/>
          <w:lang w:val="en-GB"/>
        </w:rPr>
        <w:t>a été prise dans le contexte de la reprise progressive de l’industrie touristique. Selon le nouveau Ministre du Tourisme égyptien, Khaled Ramy, le gouvernement espère dégager 20 milliards de dollars</w:t>
      </w:r>
      <w:r w:rsidR="00EF4EDE" w:rsidRPr="00CA7899">
        <w:rPr>
          <w:snapToGrid/>
          <w:lang w:val="en-GB"/>
        </w:rPr>
        <w:t xml:space="preserve"> d’ici à 2020</w:t>
      </w:r>
      <w:r w:rsidR="00A43842" w:rsidRPr="00CA7899">
        <w:rPr>
          <w:snapToGrid/>
          <w:lang w:val="en-GB"/>
        </w:rPr>
        <w:t xml:space="preserve"> </w:t>
      </w:r>
      <w:r w:rsidR="00301B0E" w:rsidRPr="00CA7899">
        <w:rPr>
          <w:snapToGrid/>
          <w:lang w:val="en-GB"/>
        </w:rPr>
        <w:t xml:space="preserve">grâce au tourisme </w:t>
      </w:r>
      <w:r w:rsidR="00A43842" w:rsidRPr="00CA7899">
        <w:rPr>
          <w:snapToGrid/>
          <w:lang w:val="en-GB"/>
        </w:rPr>
        <w:t xml:space="preserve">en attirant 20 millions de </w:t>
      </w:r>
      <w:r w:rsidR="00301B0E" w:rsidRPr="00CA7899">
        <w:rPr>
          <w:snapToGrid/>
          <w:lang w:val="en-GB"/>
        </w:rPr>
        <w:t>visiteurs</w:t>
      </w:r>
      <w:r w:rsidR="00A43842" w:rsidRPr="00CA7899">
        <w:rPr>
          <w:snapToGrid/>
          <w:lang w:val="en-GB"/>
        </w:rPr>
        <w:t xml:space="preserve">. </w:t>
      </w:r>
      <w:r w:rsidRPr="00CA7899">
        <w:rPr>
          <w:snapToGrid/>
          <w:lang w:val="en-GB"/>
        </w:rPr>
        <w:t xml:space="preserve"> </w:t>
      </w:r>
      <w:r w:rsidR="00A43842" w:rsidRPr="00CA7899">
        <w:rPr>
          <w:snapToGrid/>
          <w:lang w:val="en-GB"/>
        </w:rPr>
        <w:t xml:space="preserve">Les visiteurs étrangers trouvent souvent des souvenirs fabriqués en Chine qui sont </w:t>
      </w:r>
      <w:r w:rsidR="00AB0933" w:rsidRPr="00CA7899">
        <w:rPr>
          <w:snapToGrid/>
          <w:lang w:val="en-GB"/>
        </w:rPr>
        <w:t xml:space="preserve">généralement </w:t>
      </w:r>
      <w:r w:rsidR="00A43842" w:rsidRPr="00CA7899">
        <w:rPr>
          <w:snapToGrid/>
          <w:lang w:val="en-GB"/>
        </w:rPr>
        <w:t xml:space="preserve">de moins bonne qualité </w:t>
      </w:r>
      <w:r w:rsidR="00D771E0" w:rsidRPr="00CA7899">
        <w:rPr>
          <w:snapToGrid/>
          <w:lang w:val="en-GB"/>
        </w:rPr>
        <w:t>que ceux fabriqués en Égypte</w:t>
      </w:r>
      <w:r w:rsidR="00A43842" w:rsidRPr="00CA7899">
        <w:rPr>
          <w:snapToGrid/>
          <w:lang w:val="en-GB"/>
        </w:rPr>
        <w:t xml:space="preserve">. </w:t>
      </w:r>
      <w:r w:rsidR="00CE4330" w:rsidRPr="00CA7899">
        <w:rPr>
          <w:snapToGrid/>
          <w:lang w:val="en-GB"/>
        </w:rPr>
        <w:t xml:space="preserve">Monsieur Ramy insiste également sur le fait que </w:t>
      </w:r>
      <w:r w:rsidR="00316256" w:rsidRPr="00CA7899">
        <w:rPr>
          <w:snapToGrid/>
          <w:lang w:val="en-GB"/>
        </w:rPr>
        <w:t xml:space="preserve">l’importation massive de souvenirs fabriqués en Chine a </w:t>
      </w:r>
      <w:r w:rsidR="00C02391" w:rsidRPr="00CA7899">
        <w:rPr>
          <w:snapToGrid/>
          <w:lang w:val="en-GB"/>
        </w:rPr>
        <w:t xml:space="preserve">porté préjudice aux entreprises locales </w:t>
      </w:r>
      <w:r w:rsidR="00316256" w:rsidRPr="00CA7899">
        <w:rPr>
          <w:snapToGrid/>
          <w:lang w:val="en-GB"/>
        </w:rPr>
        <w:t xml:space="preserve">et a </w:t>
      </w:r>
      <w:r w:rsidR="005A1178" w:rsidRPr="00CA7899">
        <w:rPr>
          <w:snapToGrid/>
          <w:lang w:val="en-GB"/>
        </w:rPr>
        <w:t>contribué à l’augmentation du</w:t>
      </w:r>
      <w:r w:rsidR="00316256" w:rsidRPr="00CA7899">
        <w:rPr>
          <w:snapToGrid/>
          <w:lang w:val="en-GB"/>
        </w:rPr>
        <w:t xml:space="preserve"> taux de chômage.</w:t>
      </w:r>
    </w:p>
    <w:p w:rsidR="00A17760" w:rsidRPr="00CA7899" w:rsidRDefault="008F3C7D" w:rsidP="00CA7899">
      <w:pPr>
        <w:pStyle w:val="Texte1"/>
        <w:rPr>
          <w:snapToGrid/>
          <w:lang w:val="en-GB"/>
        </w:rPr>
      </w:pPr>
      <w:r w:rsidRPr="00CA7899">
        <w:rPr>
          <w:snapToGrid/>
          <w:lang w:val="en-GB"/>
        </w:rPr>
        <w:t>Il</w:t>
      </w:r>
      <w:r w:rsidR="00A17760" w:rsidRPr="00CA7899">
        <w:rPr>
          <w:snapToGrid/>
          <w:lang w:val="en-GB"/>
        </w:rPr>
        <w:t xml:space="preserve"> ajoute qu’u</w:t>
      </w:r>
      <w:r w:rsidRPr="00CA7899">
        <w:rPr>
          <w:snapToGrid/>
          <w:lang w:val="en-GB"/>
        </w:rPr>
        <w:t>ne équipe composée de membres des</w:t>
      </w:r>
      <w:r w:rsidR="00A17760" w:rsidRPr="00CA7899">
        <w:rPr>
          <w:snapToGrid/>
          <w:lang w:val="en-GB"/>
        </w:rPr>
        <w:t xml:space="preserve"> Ministère</w:t>
      </w:r>
      <w:r w:rsidRPr="00CA7899">
        <w:rPr>
          <w:snapToGrid/>
          <w:lang w:val="en-GB"/>
        </w:rPr>
        <w:t>s</w:t>
      </w:r>
      <w:r w:rsidR="00A17760" w:rsidRPr="00CA7899">
        <w:rPr>
          <w:snapToGrid/>
          <w:lang w:val="en-GB"/>
        </w:rPr>
        <w:t xml:space="preserve"> du Commerce, de la Culture et des Antiquités sera formée afin de créer un cadre qui garantisse la protection des droits de propriété intellectuelle du pays.</w:t>
      </w:r>
    </w:p>
    <w:p w:rsidR="00A17760" w:rsidRDefault="00A17760">
      <w:r>
        <w:br w:type="page"/>
      </w:r>
    </w:p>
    <w:p w:rsidR="005F4E14" w:rsidRPr="00C97148" w:rsidRDefault="00B35810" w:rsidP="00C97148">
      <w:pPr>
        <w:pStyle w:val="Heading2"/>
        <w:tabs>
          <w:tab w:val="left" w:pos="567"/>
        </w:tabs>
        <w:snapToGrid w:val="0"/>
        <w:rPr>
          <w:rFonts w:eastAsia="SimSun" w:cs="Times New Roman"/>
          <w:b/>
          <w:caps/>
          <w:color w:val="auto"/>
          <w:sz w:val="20"/>
          <w:szCs w:val="24"/>
          <w:lang w:val="it-IT"/>
        </w:rPr>
      </w:pPr>
      <w:bookmarkStart w:id="4" w:name="_Toc430339201"/>
      <w:r w:rsidRPr="00C97148">
        <w:rPr>
          <w:rFonts w:eastAsia="SimSun" w:cs="Times New Roman"/>
          <w:b/>
          <w:caps/>
          <w:color w:val="auto"/>
          <w:sz w:val="20"/>
          <w:szCs w:val="24"/>
          <w:lang w:val="it-IT"/>
        </w:rPr>
        <w:lastRenderedPageBreak/>
        <w:t xml:space="preserve">La Zone </w:t>
      </w:r>
      <w:r w:rsidR="008711AF" w:rsidRPr="00C97148">
        <w:rPr>
          <w:rFonts w:eastAsia="SimSun" w:cs="Times New Roman"/>
          <w:b/>
          <w:caps/>
          <w:color w:val="auto"/>
          <w:sz w:val="20"/>
          <w:szCs w:val="24"/>
          <w:lang w:val="it-IT"/>
        </w:rPr>
        <w:t xml:space="preserve">de libre-échange </w:t>
      </w:r>
      <w:r w:rsidRPr="00C97148">
        <w:rPr>
          <w:rFonts w:eastAsia="SimSun" w:cs="Times New Roman"/>
          <w:b/>
          <w:caps/>
          <w:color w:val="auto"/>
          <w:sz w:val="20"/>
          <w:szCs w:val="24"/>
          <w:lang w:val="it-IT"/>
        </w:rPr>
        <w:t>tripartite en Afrique</w:t>
      </w:r>
      <w:bookmarkEnd w:id="4"/>
    </w:p>
    <w:p w:rsidR="004363CD" w:rsidRPr="0072088E" w:rsidRDefault="008711AF" w:rsidP="00C97148">
      <w:pPr>
        <w:pStyle w:val="Texte1"/>
        <w:rPr>
          <w:snapToGrid/>
        </w:rPr>
      </w:pPr>
      <w:r w:rsidRPr="0072088E">
        <w:rPr>
          <w:snapToGrid/>
        </w:rPr>
        <w:t xml:space="preserve">La Zone </w:t>
      </w:r>
      <w:r w:rsidR="006E2F76" w:rsidRPr="0072088E">
        <w:rPr>
          <w:snapToGrid/>
        </w:rPr>
        <w:t xml:space="preserve">de </w:t>
      </w:r>
      <w:r w:rsidRPr="0072088E">
        <w:rPr>
          <w:snapToGrid/>
        </w:rPr>
        <w:t>libre-échange tripartite (ZLE tripartite)</w:t>
      </w:r>
      <w:r w:rsidR="006E2F76" w:rsidRPr="0072088E">
        <w:rPr>
          <w:snapToGrid/>
        </w:rPr>
        <w:t xml:space="preserve"> </w:t>
      </w:r>
      <w:r w:rsidR="007C7CCE" w:rsidRPr="0072088E">
        <w:rPr>
          <w:snapToGrid/>
        </w:rPr>
        <w:t>qui regroupe</w:t>
      </w:r>
      <w:r w:rsidR="006E2F76" w:rsidRPr="0072088E">
        <w:rPr>
          <w:snapToGrid/>
        </w:rPr>
        <w:t xml:space="preserve"> les États membres des trois communautés économiques régionales – la Communauté de développement de l'Afrique australe (SADC), la Communauté est-africaine (EAC) et le Marché commun de l'Afrique orientale et australe (COMESA) – a été présentée comme l’un des développements majeurs de l’inté</w:t>
      </w:r>
      <w:r w:rsidR="003874D0" w:rsidRPr="0072088E">
        <w:rPr>
          <w:snapToGrid/>
        </w:rPr>
        <w:t xml:space="preserve">gration régionale africaine. L’accord </w:t>
      </w:r>
      <w:r w:rsidR="006E2F76" w:rsidRPr="0072088E">
        <w:rPr>
          <w:snapToGrid/>
        </w:rPr>
        <w:t>vise à créer une zone de libre-échange entre 26 pays d’Afrique du Cap au Caire formant ainsi un marché de plus de 625 millions de personnes.</w:t>
      </w:r>
      <w:r w:rsidR="004363CD" w:rsidRPr="0072088E">
        <w:rPr>
          <w:snapToGrid/>
        </w:rPr>
        <w:t xml:space="preserve"> </w:t>
      </w:r>
      <w:r w:rsidR="00704057" w:rsidRPr="0072088E">
        <w:rPr>
          <w:snapToGrid/>
        </w:rPr>
        <w:t>La Zone de libre-échange tripartite a fait beaucoup parlé d’elle, cependant, il faudra de nombreuses années avant que les bénéfices escomptés du traité ne se concrétisent.</w:t>
      </w:r>
      <w:r w:rsidR="00932837" w:rsidRPr="0072088E">
        <w:rPr>
          <w:snapToGrid/>
        </w:rPr>
        <w:t xml:space="preserve"> </w:t>
      </w:r>
      <w:r w:rsidR="0079224E" w:rsidRPr="0072088E">
        <w:rPr>
          <w:snapToGrid/>
        </w:rPr>
        <w:t xml:space="preserve">En attendant, </w:t>
      </w:r>
      <w:r w:rsidR="007C7CCE" w:rsidRPr="0072088E">
        <w:rPr>
          <w:snapToGrid/>
        </w:rPr>
        <w:t xml:space="preserve">tout le monde se demande </w:t>
      </w:r>
      <w:r w:rsidR="004363CD" w:rsidRPr="0072088E">
        <w:rPr>
          <w:snapToGrid/>
        </w:rPr>
        <w:t>à qu</w:t>
      </w:r>
      <w:r w:rsidR="003874D0" w:rsidRPr="0072088E">
        <w:rPr>
          <w:snapToGrid/>
        </w:rPr>
        <w:t xml:space="preserve">el point la mise en œuvre de cet accord </w:t>
      </w:r>
      <w:r w:rsidR="004363CD" w:rsidRPr="0072088E">
        <w:rPr>
          <w:snapToGrid/>
        </w:rPr>
        <w:t xml:space="preserve">est </w:t>
      </w:r>
      <w:r w:rsidR="0079224E" w:rsidRPr="0072088E">
        <w:rPr>
          <w:snapToGrid/>
        </w:rPr>
        <w:t xml:space="preserve">réaliste, </w:t>
      </w:r>
      <w:r w:rsidR="004363CD" w:rsidRPr="0072088E">
        <w:rPr>
          <w:snapToGrid/>
        </w:rPr>
        <w:t xml:space="preserve">quels en </w:t>
      </w:r>
      <w:r w:rsidR="004C7650" w:rsidRPr="0072088E">
        <w:rPr>
          <w:snapToGrid/>
        </w:rPr>
        <w:t>seront</w:t>
      </w:r>
      <w:r w:rsidR="004363CD" w:rsidRPr="0072088E">
        <w:rPr>
          <w:snapToGrid/>
        </w:rPr>
        <w:t xml:space="preserve"> les bénéfices</w:t>
      </w:r>
      <w:r w:rsidR="0079224E" w:rsidRPr="0072088E">
        <w:rPr>
          <w:snapToGrid/>
        </w:rPr>
        <w:t xml:space="preserve"> et à qui </w:t>
      </w:r>
      <w:r w:rsidR="009D7C4E" w:rsidRPr="0072088E">
        <w:rPr>
          <w:snapToGrid/>
        </w:rPr>
        <w:t>cet accord</w:t>
      </w:r>
      <w:r w:rsidR="0079224E" w:rsidRPr="0072088E">
        <w:rPr>
          <w:snapToGrid/>
        </w:rPr>
        <w:t xml:space="preserve"> profitera, si profits il y a.</w:t>
      </w:r>
      <w:r w:rsidR="00CD4B38" w:rsidRPr="00C97148">
        <w:rPr>
          <w:snapToGrid/>
          <w:vertAlign w:val="superscript"/>
          <w:lang w:val="en-GB"/>
        </w:rPr>
        <w:footnoteReference w:id="4"/>
      </w:r>
    </w:p>
    <w:p w:rsidR="00563456" w:rsidRPr="00C97148" w:rsidRDefault="00932837" w:rsidP="00C97148">
      <w:pPr>
        <w:pStyle w:val="Texte1"/>
        <w:rPr>
          <w:snapToGrid/>
          <w:lang w:val="en-GB"/>
        </w:rPr>
      </w:pPr>
      <w:r w:rsidRPr="00C97148">
        <w:rPr>
          <w:snapToGrid/>
          <w:lang w:val="en-GB"/>
        </w:rPr>
        <w:t>Les chefs d’État et de gouvernement de la COMESA, de la EAC et de la SADC se sont réunis le 10 juin 2015 à Charm el-Cheikh, en Égypte, pour</w:t>
      </w:r>
      <w:r w:rsidR="0090304B" w:rsidRPr="00C97148">
        <w:rPr>
          <w:snapToGrid/>
          <w:lang w:val="en-GB"/>
        </w:rPr>
        <w:t xml:space="preserve"> le troisième sommet de la T</w:t>
      </w:r>
      <w:r w:rsidRPr="00C97148">
        <w:rPr>
          <w:snapToGrid/>
          <w:lang w:val="en-GB"/>
        </w:rPr>
        <w:t>ripartite afin de lancer officiellement la</w:t>
      </w:r>
      <w:r w:rsidR="0090304B" w:rsidRPr="00C97148">
        <w:rPr>
          <w:snapToGrid/>
          <w:lang w:val="en-GB"/>
        </w:rPr>
        <w:t xml:space="preserve"> création de la</w:t>
      </w:r>
      <w:r w:rsidRPr="00C97148">
        <w:rPr>
          <w:snapToGrid/>
          <w:lang w:val="en-GB"/>
        </w:rPr>
        <w:t xml:space="preserve"> Zone de libre-échange tripartite entre les trois communautés économiques régionales.</w:t>
      </w:r>
      <w:r w:rsidR="0090304B" w:rsidRPr="00C97148">
        <w:rPr>
          <w:snapToGrid/>
          <w:lang w:val="en-GB"/>
        </w:rPr>
        <w:t xml:space="preserve"> La Déclaration de lancement des négociations sur l’établissement de la Zone de libre-échange tripartite a été signée par 24 États membres/partenaires, seules la Libye et l’Érythrée n’ont pas signé. </w:t>
      </w:r>
      <w:r w:rsidR="003874D0" w:rsidRPr="00C97148">
        <w:rPr>
          <w:snapToGrid/>
          <w:lang w:val="en-GB"/>
        </w:rPr>
        <w:t xml:space="preserve">L’accord </w:t>
      </w:r>
      <w:r w:rsidR="004C7650" w:rsidRPr="00C97148">
        <w:rPr>
          <w:snapToGrid/>
          <w:lang w:val="en-GB"/>
        </w:rPr>
        <w:t>de libre-échange de la Tripartite</w:t>
      </w:r>
      <w:r w:rsidR="006933A6" w:rsidRPr="00C97148">
        <w:rPr>
          <w:snapToGrid/>
          <w:lang w:val="en-GB"/>
        </w:rPr>
        <w:t xml:space="preserve"> a été signé par les 16 États membres suivants :</w:t>
      </w:r>
      <w:r w:rsidR="00D64B79" w:rsidRPr="00C97148">
        <w:rPr>
          <w:snapToGrid/>
          <w:lang w:val="en-GB"/>
        </w:rPr>
        <w:t xml:space="preserve"> l’Angola,</w:t>
      </w:r>
      <w:r w:rsidR="006933A6" w:rsidRPr="00C97148">
        <w:rPr>
          <w:snapToGrid/>
          <w:lang w:val="en-GB"/>
        </w:rPr>
        <w:t xml:space="preserve"> </w:t>
      </w:r>
      <w:r w:rsidR="000701AD" w:rsidRPr="00C97148">
        <w:rPr>
          <w:snapToGrid/>
          <w:lang w:val="en-GB"/>
        </w:rPr>
        <w:t xml:space="preserve">le Burundi, les Comores, la République démocratique du Congo (RDC), </w:t>
      </w:r>
      <w:r w:rsidR="006933A6" w:rsidRPr="00C97148">
        <w:rPr>
          <w:snapToGrid/>
          <w:lang w:val="en-GB"/>
        </w:rPr>
        <w:t>Djibouti, l’Égypte, le Kenya, le Malawi, la Namibie, le Rwanda, les Seychelles, le S</w:t>
      </w:r>
      <w:r w:rsidR="0097574B" w:rsidRPr="00C97148">
        <w:rPr>
          <w:snapToGrid/>
          <w:lang w:val="en-GB"/>
        </w:rPr>
        <w:t>oudan, la Tanzanie, l’Ouganda, l</w:t>
      </w:r>
      <w:r w:rsidR="006933A6" w:rsidRPr="00C97148">
        <w:rPr>
          <w:snapToGrid/>
          <w:lang w:val="en-GB"/>
        </w:rPr>
        <w:t xml:space="preserve">e Swaziland et </w:t>
      </w:r>
      <w:r w:rsidR="0097574B" w:rsidRPr="00C97148">
        <w:rPr>
          <w:snapToGrid/>
          <w:lang w:val="en-GB"/>
        </w:rPr>
        <w:t>l</w:t>
      </w:r>
      <w:r w:rsidR="006933A6" w:rsidRPr="00C97148">
        <w:rPr>
          <w:snapToGrid/>
          <w:lang w:val="en-GB"/>
        </w:rPr>
        <w:t xml:space="preserve">e </w:t>
      </w:r>
      <w:r w:rsidR="006933A6" w:rsidRPr="00C97148">
        <w:rPr>
          <w:bCs/>
          <w:snapToGrid/>
          <w:lang w:val="en-GB"/>
        </w:rPr>
        <w:t>Zimbabwe</w:t>
      </w:r>
      <w:r w:rsidR="006933A6" w:rsidRPr="00C97148">
        <w:rPr>
          <w:b/>
          <w:bCs/>
          <w:snapToGrid/>
          <w:lang w:val="en-GB"/>
        </w:rPr>
        <w:t>.</w:t>
      </w:r>
      <w:r w:rsidR="00F96537" w:rsidRPr="00C97148">
        <w:rPr>
          <w:snapToGrid/>
          <w:vertAlign w:val="superscript"/>
          <w:lang w:val="en-GB"/>
        </w:rPr>
        <w:footnoteReference w:id="5"/>
      </w:r>
    </w:p>
    <w:p w:rsidR="00563456" w:rsidRPr="00C97148" w:rsidRDefault="00FF2EB3" w:rsidP="00C97148">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it-IT" w:eastAsia="en-US"/>
        </w:rPr>
      </w:pPr>
      <w:r w:rsidRPr="00C97148">
        <w:rPr>
          <w:rFonts w:ascii="Arial" w:eastAsia="SimSun" w:hAnsi="Arial" w:cs="Times New Roman"/>
          <w:b/>
          <w:bCs/>
          <w:i w:val="0"/>
          <w:iCs w:val="0"/>
          <w:caps/>
          <w:snapToGrid/>
          <w:color w:val="auto"/>
          <w:sz w:val="20"/>
          <w:lang w:val="it-IT" w:eastAsia="en-US"/>
        </w:rPr>
        <w:t>Annexe 9</w:t>
      </w:r>
      <w:proofErr w:type="gramStart"/>
      <w:r w:rsidRPr="00C97148">
        <w:rPr>
          <w:rFonts w:ascii="Arial" w:eastAsia="SimSun" w:hAnsi="Arial" w:cs="Times New Roman"/>
          <w:b/>
          <w:bCs/>
          <w:i w:val="0"/>
          <w:iCs w:val="0"/>
          <w:caps/>
          <w:snapToGrid/>
          <w:color w:val="auto"/>
          <w:sz w:val="20"/>
          <w:lang w:val="it-IT" w:eastAsia="en-US"/>
        </w:rPr>
        <w:t> :</w:t>
      </w:r>
      <w:proofErr w:type="gramEnd"/>
      <w:r w:rsidRPr="00C97148">
        <w:rPr>
          <w:rFonts w:ascii="Arial" w:eastAsia="SimSun" w:hAnsi="Arial" w:cs="Times New Roman"/>
          <w:b/>
          <w:bCs/>
          <w:i w:val="0"/>
          <w:iCs w:val="0"/>
          <w:caps/>
          <w:snapToGrid/>
          <w:color w:val="auto"/>
          <w:sz w:val="20"/>
          <w:lang w:val="it-IT" w:eastAsia="en-US"/>
        </w:rPr>
        <w:t xml:space="preserve"> Annexe sur les droits de propriété intellectuell</w:t>
      </w:r>
      <w:r w:rsidR="003874D0" w:rsidRPr="00C97148">
        <w:rPr>
          <w:rFonts w:ascii="Arial" w:eastAsia="SimSun" w:hAnsi="Arial" w:cs="Times New Roman"/>
          <w:b/>
          <w:bCs/>
          <w:i w:val="0"/>
          <w:iCs w:val="0"/>
          <w:caps/>
          <w:snapToGrid/>
          <w:color w:val="auto"/>
          <w:sz w:val="20"/>
          <w:lang w:val="it-IT" w:eastAsia="en-US"/>
        </w:rPr>
        <w:t>e en vertu de l’Article 27(1) de l’Accord</w:t>
      </w:r>
      <w:r w:rsidRPr="00C97148">
        <w:rPr>
          <w:rFonts w:eastAsia="SimSun" w:cs="Times New Roman"/>
          <w:bCs/>
          <w:i w:val="0"/>
          <w:iCs w:val="0"/>
          <w:caps/>
          <w:snapToGrid/>
          <w:color w:val="auto"/>
          <w:sz w:val="20"/>
          <w:vertAlign w:val="superscript"/>
          <w:lang w:val="it-IT" w:eastAsia="en-US"/>
        </w:rPr>
        <w:footnoteReference w:id="6"/>
      </w:r>
    </w:p>
    <w:p w:rsidR="005F4E14" w:rsidRPr="00C97148" w:rsidRDefault="00580512" w:rsidP="00C97148">
      <w:pPr>
        <w:pStyle w:val="Soustitre"/>
        <w:ind w:left="0"/>
        <w:rPr>
          <w:snapToGrid/>
          <w:lang w:val="en-GB"/>
        </w:rPr>
      </w:pPr>
      <w:r w:rsidRPr="00C97148">
        <w:rPr>
          <w:snapToGrid/>
          <w:lang w:val="en-GB"/>
        </w:rPr>
        <w:t xml:space="preserve">Article 3 : Industrie créatives et culturelles (version révisée </w:t>
      </w:r>
      <w:r w:rsidR="00721DDE" w:rsidRPr="00C97148">
        <w:rPr>
          <w:snapToGrid/>
          <w:lang w:val="en-GB"/>
        </w:rPr>
        <w:t>de</w:t>
      </w:r>
      <w:r w:rsidR="00737EDE" w:rsidRPr="00C97148">
        <w:rPr>
          <w:snapToGrid/>
          <w:lang w:val="en-GB"/>
        </w:rPr>
        <w:t xml:space="preserve"> </w:t>
      </w:r>
      <w:r w:rsidRPr="00C97148">
        <w:rPr>
          <w:snapToGrid/>
          <w:lang w:val="en-GB"/>
        </w:rPr>
        <w:t>décembre 2010)</w:t>
      </w:r>
    </w:p>
    <w:p w:rsidR="00580512" w:rsidRPr="00C97148" w:rsidRDefault="00580512" w:rsidP="00C97148">
      <w:pPr>
        <w:pStyle w:val="Texte1"/>
        <w:rPr>
          <w:snapToGrid/>
          <w:lang w:val="en-GB"/>
        </w:rPr>
      </w:pPr>
      <w:r w:rsidRPr="00C97148">
        <w:rPr>
          <w:snapToGrid/>
          <w:lang w:val="en-GB"/>
        </w:rPr>
        <w:t>Les États membres de la Tripartite s’engagent à :</w:t>
      </w:r>
    </w:p>
    <w:p w:rsidR="00580512" w:rsidRPr="00C97148" w:rsidRDefault="00580512" w:rsidP="00C97148">
      <w:pPr>
        <w:pStyle w:val="Texte1"/>
        <w:numPr>
          <w:ilvl w:val="0"/>
          <w:numId w:val="2"/>
        </w:numPr>
        <w:ind w:left="1571"/>
        <w:rPr>
          <w:snapToGrid/>
          <w:lang w:val="en-GB"/>
        </w:rPr>
      </w:pPr>
      <w:r w:rsidRPr="00C97148">
        <w:rPr>
          <w:snapToGrid/>
          <w:lang w:val="en-GB"/>
        </w:rPr>
        <w:t>Adopter des cadres juridique</w:t>
      </w:r>
      <w:r w:rsidR="00721DDE" w:rsidRPr="00C97148">
        <w:rPr>
          <w:snapToGrid/>
          <w:lang w:val="en-GB"/>
        </w:rPr>
        <w:t>s</w:t>
      </w:r>
      <w:r w:rsidRPr="00C97148">
        <w:rPr>
          <w:snapToGrid/>
          <w:lang w:val="en-GB"/>
        </w:rPr>
        <w:t xml:space="preserve"> et politique</w:t>
      </w:r>
      <w:r w:rsidR="00721DDE" w:rsidRPr="00C97148">
        <w:rPr>
          <w:snapToGrid/>
          <w:lang w:val="en-GB"/>
        </w:rPr>
        <w:t>s</w:t>
      </w:r>
      <w:r w:rsidRPr="00C97148">
        <w:rPr>
          <w:snapToGrid/>
          <w:lang w:val="en-GB"/>
        </w:rPr>
        <w:t xml:space="preserve"> efficaces afin de promouvoir et de protéger les industries créatives et culturelles et </w:t>
      </w:r>
      <w:r w:rsidR="002943CB" w:rsidRPr="00C97148">
        <w:rPr>
          <w:snapToGrid/>
          <w:lang w:val="en-GB"/>
        </w:rPr>
        <w:t>d’en tirer le meilleur profit</w:t>
      </w:r>
      <w:r w:rsidRPr="00C97148">
        <w:rPr>
          <w:snapToGrid/>
          <w:lang w:val="en-GB"/>
        </w:rPr>
        <w:t>;</w:t>
      </w:r>
    </w:p>
    <w:p w:rsidR="00580512" w:rsidRPr="00C97148" w:rsidRDefault="002943CB" w:rsidP="00C97148">
      <w:pPr>
        <w:pStyle w:val="Texte1"/>
        <w:numPr>
          <w:ilvl w:val="0"/>
          <w:numId w:val="2"/>
        </w:numPr>
        <w:ind w:left="1571"/>
        <w:rPr>
          <w:snapToGrid/>
          <w:lang w:val="en-GB"/>
        </w:rPr>
      </w:pPr>
      <w:r w:rsidRPr="00C97148">
        <w:rPr>
          <w:snapToGrid/>
          <w:lang w:val="en-GB"/>
        </w:rPr>
        <w:t xml:space="preserve">Améliorer et renforcer les capacités des États membres de la Tripartite </w:t>
      </w:r>
      <w:r w:rsidR="007075C3" w:rsidRPr="00C97148">
        <w:rPr>
          <w:snapToGrid/>
          <w:lang w:val="en-GB"/>
        </w:rPr>
        <w:t>en matière de</w:t>
      </w:r>
      <w:r w:rsidRPr="00C97148">
        <w:rPr>
          <w:snapToGrid/>
          <w:lang w:val="en-GB"/>
        </w:rPr>
        <w:t xml:space="preserve"> création, </w:t>
      </w:r>
      <w:r w:rsidR="007075C3" w:rsidRPr="00C97148">
        <w:rPr>
          <w:snapToGrid/>
          <w:lang w:val="en-GB"/>
        </w:rPr>
        <w:t>de</w:t>
      </w:r>
      <w:r w:rsidRPr="00C97148">
        <w:rPr>
          <w:snapToGrid/>
          <w:lang w:val="en-GB"/>
        </w:rPr>
        <w:t xml:space="preserve"> production, </w:t>
      </w:r>
      <w:r w:rsidR="007075C3" w:rsidRPr="00C97148">
        <w:rPr>
          <w:snapToGrid/>
          <w:lang w:val="en-GB"/>
        </w:rPr>
        <w:t>de</w:t>
      </w:r>
      <w:r w:rsidRPr="00C97148">
        <w:rPr>
          <w:snapToGrid/>
          <w:lang w:val="en-GB"/>
        </w:rPr>
        <w:t xml:space="preserve"> distribution, </w:t>
      </w:r>
      <w:r w:rsidR="007075C3" w:rsidRPr="00C97148">
        <w:rPr>
          <w:snapToGrid/>
          <w:lang w:val="en-GB"/>
        </w:rPr>
        <w:t>de marketing, d’image de marque et d’exposition des biens et des produits de l’industrie culturelle et pour fournir un meilleur accès aux marchés étrangers;</w:t>
      </w:r>
    </w:p>
    <w:p w:rsidR="003F5FE2" w:rsidRPr="00C97148" w:rsidRDefault="00BD13AD" w:rsidP="00C97148">
      <w:pPr>
        <w:pStyle w:val="Texte1"/>
        <w:numPr>
          <w:ilvl w:val="0"/>
          <w:numId w:val="2"/>
        </w:numPr>
        <w:ind w:left="1571"/>
        <w:rPr>
          <w:snapToGrid/>
          <w:lang w:val="en-GB"/>
        </w:rPr>
      </w:pPr>
      <w:r w:rsidRPr="00C97148">
        <w:rPr>
          <w:snapToGrid/>
          <w:lang w:val="en-GB"/>
        </w:rPr>
        <w:t>Réduire la dépendance envers les biens et les produits des industries culturelles protégés par le droit d’auteur qui sont fabriqués en dehors de la région; […]</w:t>
      </w:r>
    </w:p>
    <w:p w:rsidR="003F5FE2" w:rsidRPr="00C97148" w:rsidRDefault="003F5FE2" w:rsidP="00C97148">
      <w:pPr>
        <w:pStyle w:val="Soustitre"/>
        <w:ind w:left="0"/>
        <w:rPr>
          <w:snapToGrid/>
          <w:lang w:val="en-GB"/>
        </w:rPr>
      </w:pPr>
      <w:r w:rsidRPr="00C97148">
        <w:rPr>
          <w:snapToGrid/>
          <w:lang w:val="en-GB"/>
        </w:rPr>
        <w:t>Article 4 : Savoirs traditionnels</w:t>
      </w:r>
    </w:p>
    <w:p w:rsidR="007075C3" w:rsidRPr="00C97148" w:rsidRDefault="003F5FE2" w:rsidP="00C97148">
      <w:pPr>
        <w:pStyle w:val="Texte1"/>
        <w:rPr>
          <w:snapToGrid/>
          <w:lang w:val="en-GB"/>
        </w:rPr>
      </w:pPr>
      <w:r w:rsidRPr="00C97148">
        <w:rPr>
          <w:snapToGrid/>
          <w:lang w:val="en-GB"/>
        </w:rPr>
        <w:t xml:space="preserve">Les États membres </w:t>
      </w:r>
      <w:r w:rsidR="004A1F0D" w:rsidRPr="00C97148">
        <w:rPr>
          <w:snapToGrid/>
          <w:lang w:val="en-GB"/>
        </w:rPr>
        <w:t>de la Tripartite s’engagent à :</w:t>
      </w:r>
    </w:p>
    <w:p w:rsidR="00563456" w:rsidRPr="00C97148" w:rsidRDefault="003F5FE2" w:rsidP="00C97148">
      <w:pPr>
        <w:pStyle w:val="Texte1"/>
        <w:numPr>
          <w:ilvl w:val="0"/>
          <w:numId w:val="3"/>
        </w:numPr>
        <w:ind w:left="1571"/>
        <w:rPr>
          <w:snapToGrid/>
          <w:lang w:val="en-GB"/>
        </w:rPr>
      </w:pPr>
      <w:r w:rsidRPr="00C97148">
        <w:rPr>
          <w:snapToGrid/>
          <w:lang w:val="en-GB"/>
        </w:rPr>
        <w:lastRenderedPageBreak/>
        <w:t xml:space="preserve">Promouvoir l’utilisation des savoirs traditionnels (ST), des ressources génétiques (RG) et du </w:t>
      </w:r>
      <w:r w:rsidR="00791FA7" w:rsidRPr="00C97148">
        <w:rPr>
          <w:snapToGrid/>
          <w:lang w:val="en-GB"/>
        </w:rPr>
        <w:t>folklore</w:t>
      </w:r>
      <w:r w:rsidR="00721DDE" w:rsidRPr="00C97148">
        <w:rPr>
          <w:snapToGrid/>
          <w:lang w:val="en-GB"/>
        </w:rPr>
        <w:t xml:space="preserve"> en reconnaissant les d</w:t>
      </w:r>
      <w:r w:rsidRPr="00C97148">
        <w:rPr>
          <w:snapToGrid/>
          <w:lang w:val="en-GB"/>
        </w:rPr>
        <w:t>roi</w:t>
      </w:r>
      <w:r w:rsidR="00721DDE" w:rsidRPr="00C97148">
        <w:rPr>
          <w:snapToGrid/>
          <w:lang w:val="en-GB"/>
        </w:rPr>
        <w:t>t</w:t>
      </w:r>
      <w:r w:rsidRPr="00C97148">
        <w:rPr>
          <w:snapToGrid/>
          <w:lang w:val="en-GB"/>
        </w:rPr>
        <w:t xml:space="preserve">s des détenteurs des ST, des RG et du folklore et veiller </w:t>
      </w:r>
      <w:r w:rsidR="00721DDE" w:rsidRPr="00C97148">
        <w:rPr>
          <w:snapToGrid/>
          <w:lang w:val="en-GB"/>
        </w:rPr>
        <w:t xml:space="preserve">activement </w:t>
      </w:r>
      <w:r w:rsidRPr="00C97148">
        <w:rPr>
          <w:snapToGrid/>
          <w:lang w:val="en-GB"/>
        </w:rPr>
        <w:t>à ce qu’ils soient dûment récompensés;</w:t>
      </w:r>
    </w:p>
    <w:p w:rsidR="00791FA7" w:rsidRPr="00C97148" w:rsidRDefault="003F5FE2" w:rsidP="00C97148">
      <w:pPr>
        <w:pStyle w:val="Texte1"/>
        <w:numPr>
          <w:ilvl w:val="0"/>
          <w:numId w:val="3"/>
        </w:numPr>
        <w:ind w:left="1571"/>
        <w:rPr>
          <w:snapToGrid/>
          <w:lang w:val="en-GB"/>
        </w:rPr>
      </w:pPr>
      <w:r w:rsidRPr="00C97148">
        <w:rPr>
          <w:snapToGrid/>
          <w:lang w:val="en-GB"/>
        </w:rPr>
        <w:t>Assurer la protection des ST, des RG et du folklore par des droits de propriété intellectuelle ou des systèmes sui generis afin d’</w:t>
      </w:r>
      <w:r w:rsidR="00791FA7" w:rsidRPr="00C97148">
        <w:rPr>
          <w:snapToGrid/>
          <w:lang w:val="en-GB"/>
        </w:rPr>
        <w:t>empêcher leur exploitation, usage et appropriation illicite</w:t>
      </w:r>
      <w:r w:rsidR="00721DDE" w:rsidRPr="00C97148">
        <w:rPr>
          <w:snapToGrid/>
          <w:lang w:val="en-GB"/>
        </w:rPr>
        <w:t>s</w:t>
      </w:r>
      <w:r w:rsidR="00791FA7" w:rsidRPr="00C97148">
        <w:rPr>
          <w:snapToGrid/>
          <w:lang w:val="en-GB"/>
        </w:rPr>
        <w:t>;</w:t>
      </w:r>
    </w:p>
    <w:p w:rsidR="009B7E4F" w:rsidRPr="00C97148" w:rsidRDefault="00791FA7" w:rsidP="00C97148">
      <w:pPr>
        <w:pStyle w:val="Texte1"/>
        <w:numPr>
          <w:ilvl w:val="0"/>
          <w:numId w:val="3"/>
        </w:numPr>
        <w:ind w:left="1571"/>
        <w:rPr>
          <w:snapToGrid/>
          <w:lang w:val="en-GB"/>
        </w:rPr>
      </w:pPr>
      <w:r w:rsidRPr="00C97148">
        <w:rPr>
          <w:snapToGrid/>
          <w:lang w:val="en-GB"/>
        </w:rPr>
        <w:t xml:space="preserve">Créer des systèmes pour régir la protection, la promotion, l’utilisation et le développement </w:t>
      </w:r>
      <w:r w:rsidR="004C458B" w:rsidRPr="00C97148">
        <w:rPr>
          <w:snapToGrid/>
          <w:lang w:val="en-GB"/>
        </w:rPr>
        <w:t>futur</w:t>
      </w:r>
      <w:r w:rsidRPr="00C97148">
        <w:rPr>
          <w:snapToGrid/>
          <w:lang w:val="en-GB"/>
        </w:rPr>
        <w:t xml:space="preserve"> des ST, RG et du folklore </w:t>
      </w:r>
      <w:r w:rsidR="004C458B" w:rsidRPr="00C97148">
        <w:rPr>
          <w:snapToGrid/>
          <w:lang w:val="en-GB"/>
        </w:rPr>
        <w:t>à travers</w:t>
      </w:r>
      <w:r w:rsidR="00747554" w:rsidRPr="00C97148">
        <w:rPr>
          <w:snapToGrid/>
          <w:lang w:val="en-GB"/>
        </w:rPr>
        <w:t xml:space="preserve"> la création</w:t>
      </w:r>
      <w:r w:rsidRPr="00C97148">
        <w:rPr>
          <w:snapToGrid/>
          <w:lang w:val="en-GB"/>
        </w:rPr>
        <w:t xml:space="preserve"> de bases de données, le développement de lignes directrices pour l’accès et le partage des avantages (APA) et</w:t>
      </w:r>
      <w:r w:rsidR="00747554" w:rsidRPr="00C97148">
        <w:rPr>
          <w:snapToGrid/>
          <w:lang w:val="en-GB"/>
        </w:rPr>
        <w:t xml:space="preserve"> l’obtention du Consentement préalable éclairé (CPE) […]</w:t>
      </w:r>
    </w:p>
    <w:p w:rsidR="009B7E4F" w:rsidRDefault="009B7E4F">
      <w:r>
        <w:br w:type="page"/>
      </w:r>
    </w:p>
    <w:p w:rsidR="005F4E14" w:rsidRPr="00A20310" w:rsidRDefault="00FF3746" w:rsidP="00A20310">
      <w:pPr>
        <w:pStyle w:val="Heading2"/>
        <w:tabs>
          <w:tab w:val="left" w:pos="567"/>
        </w:tabs>
        <w:snapToGrid w:val="0"/>
        <w:rPr>
          <w:rFonts w:eastAsia="SimSun" w:cs="Times New Roman"/>
          <w:b/>
          <w:caps/>
          <w:color w:val="auto"/>
          <w:sz w:val="20"/>
          <w:szCs w:val="24"/>
          <w:lang w:val="it-IT"/>
        </w:rPr>
      </w:pPr>
      <w:bookmarkStart w:id="5" w:name="_Toc430339202"/>
      <w:r w:rsidRPr="00A20310">
        <w:rPr>
          <w:rFonts w:eastAsia="SimSun" w:cs="Times New Roman"/>
          <w:b/>
          <w:caps/>
          <w:color w:val="auto"/>
          <w:sz w:val="20"/>
          <w:szCs w:val="24"/>
          <w:lang w:val="it-IT"/>
        </w:rPr>
        <w:lastRenderedPageBreak/>
        <w:t xml:space="preserve">Accords commerciaux et </w:t>
      </w:r>
      <w:r w:rsidR="00F04D70" w:rsidRPr="00A20310">
        <w:rPr>
          <w:rFonts w:eastAsia="SimSun" w:cs="Times New Roman"/>
          <w:b/>
          <w:caps/>
          <w:color w:val="auto"/>
          <w:sz w:val="20"/>
          <w:szCs w:val="24"/>
          <w:lang w:val="it-IT"/>
        </w:rPr>
        <w:t>l’</w:t>
      </w:r>
      <w:r w:rsidRPr="00A20310">
        <w:rPr>
          <w:rFonts w:eastAsia="SimSun" w:cs="Times New Roman"/>
          <w:b/>
          <w:caps/>
          <w:color w:val="auto"/>
          <w:sz w:val="20"/>
          <w:szCs w:val="24"/>
          <w:lang w:val="it-IT"/>
        </w:rPr>
        <w:t>« exception culturelle »</w:t>
      </w:r>
      <w:r w:rsidRPr="00A20310">
        <w:rPr>
          <w:rFonts w:eastAsia="SimSun" w:cs="Times New Roman"/>
          <w:b/>
          <w:caps/>
          <w:color w:val="auto"/>
          <w:sz w:val="20"/>
          <w:szCs w:val="24"/>
          <w:vertAlign w:val="superscript"/>
          <w:lang w:val="it-IT"/>
        </w:rPr>
        <w:footnoteReference w:id="7"/>
      </w:r>
      <w:bookmarkEnd w:id="5"/>
    </w:p>
    <w:p w:rsidR="00E24C65" w:rsidRPr="00A20310" w:rsidRDefault="00083F38" w:rsidP="00A20310">
      <w:pPr>
        <w:pStyle w:val="Texte1"/>
        <w:rPr>
          <w:snapToGrid/>
          <w:lang w:val="en-GB"/>
        </w:rPr>
      </w:pPr>
      <w:r w:rsidRPr="00A20310">
        <w:rPr>
          <w:snapToGrid/>
          <w:lang w:val="en-GB"/>
        </w:rPr>
        <w:t xml:space="preserve">L’Union européenne </w:t>
      </w:r>
      <w:r w:rsidR="000807CB" w:rsidRPr="00A20310">
        <w:rPr>
          <w:snapToGrid/>
          <w:lang w:val="en-GB"/>
        </w:rPr>
        <w:t xml:space="preserve">et les États-Unis </w:t>
      </w:r>
      <w:r w:rsidRPr="00A20310">
        <w:rPr>
          <w:snapToGrid/>
          <w:lang w:val="en-GB"/>
        </w:rPr>
        <w:t>négocie</w:t>
      </w:r>
      <w:r w:rsidR="000807CB" w:rsidRPr="00A20310">
        <w:rPr>
          <w:snapToGrid/>
          <w:lang w:val="en-GB"/>
        </w:rPr>
        <w:t>nt</w:t>
      </w:r>
      <w:r w:rsidRPr="00A20310">
        <w:rPr>
          <w:snapToGrid/>
          <w:lang w:val="en-GB"/>
        </w:rPr>
        <w:t xml:space="preserve"> actuellement un</w:t>
      </w:r>
      <w:r w:rsidR="000807CB" w:rsidRPr="00A20310">
        <w:rPr>
          <w:snapToGrid/>
          <w:lang w:val="en-GB"/>
        </w:rPr>
        <w:t xml:space="preserve"> accord sur le commerce et l’investissement connu sur le nom de « </w:t>
      </w:r>
      <w:r w:rsidRPr="00A20310">
        <w:rPr>
          <w:snapToGrid/>
          <w:lang w:val="en-GB"/>
        </w:rPr>
        <w:t>partenariat transatlantique de commerce et d’investissement</w:t>
      </w:r>
      <w:r w:rsidR="004C458B" w:rsidRPr="00A20310">
        <w:rPr>
          <w:snapToGrid/>
          <w:lang w:val="en-GB"/>
        </w:rPr>
        <w:t xml:space="preserve"> », </w:t>
      </w:r>
      <w:r w:rsidR="000807CB" w:rsidRPr="00A20310">
        <w:rPr>
          <w:snapToGrid/>
          <w:lang w:val="en-GB"/>
        </w:rPr>
        <w:t>ou TTIP.</w:t>
      </w:r>
      <w:r w:rsidR="002F4C53" w:rsidRPr="00A20310">
        <w:rPr>
          <w:snapToGrid/>
          <w:lang w:val="en-GB"/>
        </w:rPr>
        <w:t xml:space="preserve"> Cet accord vise notamment à supprimer les droits de douane et autres barrières</w:t>
      </w:r>
      <w:r w:rsidR="00FC6D40" w:rsidRPr="00A20310">
        <w:rPr>
          <w:snapToGrid/>
          <w:lang w:val="en-GB"/>
        </w:rPr>
        <w:t xml:space="preserve"> au commerce</w:t>
      </w:r>
      <w:r w:rsidR="002F4C53" w:rsidRPr="00A20310">
        <w:rPr>
          <w:snapToGrid/>
          <w:lang w:val="en-GB"/>
        </w:rPr>
        <w:t>.</w:t>
      </w:r>
      <w:r w:rsidR="007B6B88" w:rsidRPr="00A20310">
        <w:rPr>
          <w:snapToGrid/>
          <w:lang w:val="en-GB"/>
        </w:rPr>
        <w:t xml:space="preserve"> </w:t>
      </w:r>
      <w:r w:rsidR="00E24C65" w:rsidRPr="00A20310">
        <w:rPr>
          <w:snapToGrid/>
          <w:lang w:val="en-GB"/>
        </w:rPr>
        <w:t xml:space="preserve">Les négociations </w:t>
      </w:r>
      <w:r w:rsidR="008D1BE8" w:rsidRPr="00A20310">
        <w:rPr>
          <w:snapToGrid/>
          <w:lang w:val="en-GB"/>
        </w:rPr>
        <w:t xml:space="preserve">portent </w:t>
      </w:r>
      <w:r w:rsidR="00F962A7" w:rsidRPr="00A20310">
        <w:rPr>
          <w:snapToGrid/>
          <w:lang w:val="en-GB"/>
        </w:rPr>
        <w:t>en particulier</w:t>
      </w:r>
      <w:r w:rsidR="008D1BE8" w:rsidRPr="00A20310">
        <w:rPr>
          <w:snapToGrid/>
          <w:lang w:val="en-GB"/>
        </w:rPr>
        <w:t xml:space="preserve"> sur</w:t>
      </w:r>
      <w:r w:rsidR="00E24C65" w:rsidRPr="00A20310">
        <w:rPr>
          <w:snapToGrid/>
          <w:lang w:val="en-GB"/>
        </w:rPr>
        <w:t xml:space="preserve"> la protection d’un</w:t>
      </w:r>
      <w:r w:rsidR="008D1BE8" w:rsidRPr="00A20310">
        <w:rPr>
          <w:snapToGrid/>
          <w:lang w:val="en-GB"/>
        </w:rPr>
        <w:t>e</w:t>
      </w:r>
      <w:r w:rsidR="00E24C65" w:rsidRPr="00A20310">
        <w:rPr>
          <w:snapToGrid/>
          <w:lang w:val="en-GB"/>
        </w:rPr>
        <w:t xml:space="preserve"> </w:t>
      </w:r>
      <w:r w:rsidR="008D1BE8" w:rsidRPr="00A20310">
        <w:rPr>
          <w:snapToGrid/>
          <w:lang w:val="en-GB"/>
        </w:rPr>
        <w:t>liste</w:t>
      </w:r>
      <w:r w:rsidR="00E24C65" w:rsidRPr="00A20310">
        <w:rPr>
          <w:snapToGrid/>
          <w:lang w:val="en-GB"/>
        </w:rPr>
        <w:t xml:space="preserve"> d’indications géographiques européennes (IG) afin d’empêcher </w:t>
      </w:r>
      <w:r w:rsidR="008D1BE8" w:rsidRPr="00A20310">
        <w:rPr>
          <w:snapToGrid/>
          <w:lang w:val="en-GB"/>
        </w:rPr>
        <w:t>l’utilisation illicite de ces dernières</w:t>
      </w:r>
      <w:r w:rsidR="00E24C65" w:rsidRPr="00A20310">
        <w:rPr>
          <w:snapToGrid/>
          <w:lang w:val="en-GB"/>
        </w:rPr>
        <w:t xml:space="preserve"> par </w:t>
      </w:r>
      <w:r w:rsidR="00F94072" w:rsidRPr="00A20310">
        <w:rPr>
          <w:snapToGrid/>
          <w:lang w:val="en-GB"/>
        </w:rPr>
        <w:t>d’autres</w:t>
      </w:r>
      <w:r w:rsidR="00E24C65" w:rsidRPr="00A20310">
        <w:rPr>
          <w:snapToGrid/>
          <w:lang w:val="en-GB"/>
        </w:rPr>
        <w:t xml:space="preserve"> producteurs.</w:t>
      </w:r>
    </w:p>
    <w:p w:rsidR="009A104C" w:rsidRPr="00A20310" w:rsidRDefault="00F94072" w:rsidP="00A20310">
      <w:pPr>
        <w:pStyle w:val="Texte1"/>
        <w:rPr>
          <w:snapToGrid/>
          <w:lang w:val="en-GB"/>
        </w:rPr>
      </w:pPr>
      <w:r w:rsidRPr="00A20310">
        <w:rPr>
          <w:snapToGrid/>
          <w:lang w:val="en-GB"/>
        </w:rPr>
        <w:t xml:space="preserve">L’Union européenne est juridiquement contrainte au titre de la </w:t>
      </w:r>
      <w:r w:rsidR="00F96FE3" w:rsidRPr="00A20310">
        <w:rPr>
          <w:snapToGrid/>
          <w:lang w:val="en-GB"/>
        </w:rPr>
        <w:t>Convention de 2005 de l’UNESCO, non ratifiée par les États-Unis,</w:t>
      </w:r>
      <w:r w:rsidRPr="00A20310">
        <w:rPr>
          <w:snapToGrid/>
          <w:lang w:val="en-GB"/>
        </w:rPr>
        <w:t xml:space="preserve"> </w:t>
      </w:r>
      <w:r w:rsidR="00455F92" w:rsidRPr="00A20310">
        <w:rPr>
          <w:snapToGrid/>
          <w:lang w:val="en-GB"/>
        </w:rPr>
        <w:t>de protéger et promouvoir la diversité des expressions culturelles, un principe également inscrit dans les traités de l’Union européennes (</w:t>
      </w:r>
      <w:hyperlink r:id="rId9" w:history="1">
        <w:r w:rsidR="00455F92" w:rsidRPr="00A20310">
          <w:rPr>
            <w:snapToGrid/>
            <w:lang w:val="en-GB"/>
          </w:rPr>
          <w:t>art. 167 du TFUE</w:t>
        </w:r>
      </w:hyperlink>
      <w:r w:rsidR="00455F92" w:rsidRPr="00A20310">
        <w:rPr>
          <w:snapToGrid/>
          <w:lang w:val="en-GB"/>
        </w:rPr>
        <w:t>).</w:t>
      </w:r>
      <w:r w:rsidR="004F3570" w:rsidRPr="00A20310">
        <w:rPr>
          <w:snapToGrid/>
          <w:lang w:val="en-GB"/>
        </w:rPr>
        <w:t xml:space="preserve"> De plus, dans le cas des accords commerc</w:t>
      </w:r>
      <w:r w:rsidR="009A104C" w:rsidRPr="00A20310">
        <w:rPr>
          <w:snapToGrid/>
          <w:lang w:val="en-GB"/>
        </w:rPr>
        <w:t>iaux, chacun des États membres possède</w:t>
      </w:r>
      <w:r w:rsidR="004F3570" w:rsidRPr="00A20310">
        <w:rPr>
          <w:snapToGrid/>
          <w:lang w:val="en-GB"/>
        </w:rPr>
        <w:t xml:space="preserve"> un droit de veto dans les domaines liés à la culture et au secteur audiovisuel si l’accord menace la </w:t>
      </w:r>
      <w:r w:rsidR="00C843E1" w:rsidRPr="00A20310">
        <w:rPr>
          <w:snapToGrid/>
          <w:lang w:val="en-GB"/>
        </w:rPr>
        <w:t xml:space="preserve">« diversité culturelle et linguistique » de l’Union </w:t>
      </w:r>
      <w:r w:rsidR="004F3570" w:rsidRPr="00A20310">
        <w:rPr>
          <w:snapToGrid/>
          <w:lang w:val="en-GB"/>
        </w:rPr>
        <w:t>(</w:t>
      </w:r>
      <w:hyperlink r:id="rId10" w:history="1">
        <w:r w:rsidR="004F3570" w:rsidRPr="00A20310">
          <w:rPr>
            <w:snapToGrid/>
            <w:lang w:val="en-GB"/>
          </w:rPr>
          <w:t>art. 207 TFUE</w:t>
        </w:r>
      </w:hyperlink>
      <w:r w:rsidR="004F3570" w:rsidRPr="00A20310">
        <w:rPr>
          <w:snapToGrid/>
          <w:lang w:val="en-GB"/>
        </w:rPr>
        <w:t>).</w:t>
      </w:r>
    </w:p>
    <w:p w:rsidR="004A2D65" w:rsidRPr="00A20310" w:rsidRDefault="004F3570" w:rsidP="00A20310">
      <w:pPr>
        <w:pStyle w:val="Texte1"/>
        <w:rPr>
          <w:snapToGrid/>
          <w:lang w:val="en-GB"/>
        </w:rPr>
      </w:pPr>
      <w:r w:rsidRPr="00A20310">
        <w:rPr>
          <w:snapToGrid/>
          <w:lang w:val="en-GB"/>
        </w:rPr>
        <w:t>Le concept d’ « exception culturelle »</w:t>
      </w:r>
      <w:r w:rsidR="009A104C" w:rsidRPr="00A20310">
        <w:rPr>
          <w:snapToGrid/>
          <w:lang w:val="en-GB"/>
        </w:rPr>
        <w:t xml:space="preserve"> a</w:t>
      </w:r>
      <w:r w:rsidRPr="00A20310">
        <w:rPr>
          <w:snapToGrid/>
          <w:lang w:val="en-GB"/>
        </w:rPr>
        <w:t xml:space="preserve"> été introduit par la France dans l'Accord général sur les tarifs douaniers et le commerce (GATT) lors des négociations de 1993.</w:t>
      </w:r>
      <w:r w:rsidR="004A2D65" w:rsidRPr="00A20310">
        <w:rPr>
          <w:snapToGrid/>
          <w:lang w:val="en-GB"/>
        </w:rPr>
        <w:t xml:space="preserve"> Cet accord défend l’idée selon laquelle la culture ne devrait pas être traitée de la même façon que les autres produits commerciaux et </w:t>
      </w:r>
      <w:r w:rsidR="00FA08AC" w:rsidRPr="00A20310">
        <w:rPr>
          <w:snapToGrid/>
          <w:lang w:val="en-GB"/>
        </w:rPr>
        <w:t>affirme que</w:t>
      </w:r>
      <w:r w:rsidR="004A2D65" w:rsidRPr="00A20310">
        <w:rPr>
          <w:snapToGrid/>
          <w:lang w:val="en-GB"/>
        </w:rPr>
        <w:t xml:space="preserve"> les </w:t>
      </w:r>
      <w:r w:rsidR="009276D5" w:rsidRPr="00A20310">
        <w:rPr>
          <w:snapToGrid/>
          <w:lang w:val="en-GB"/>
        </w:rPr>
        <w:t>biens</w:t>
      </w:r>
      <w:r w:rsidR="00FA08AC" w:rsidRPr="00A20310">
        <w:rPr>
          <w:snapToGrid/>
          <w:lang w:val="en-GB"/>
        </w:rPr>
        <w:t xml:space="preserve"> et </w:t>
      </w:r>
      <w:r w:rsidR="009276D5" w:rsidRPr="00A20310">
        <w:rPr>
          <w:snapToGrid/>
          <w:lang w:val="en-GB"/>
        </w:rPr>
        <w:t>services</w:t>
      </w:r>
      <w:r w:rsidR="00FA08AC" w:rsidRPr="00A20310">
        <w:rPr>
          <w:snapToGrid/>
          <w:lang w:val="en-GB"/>
        </w:rPr>
        <w:t xml:space="preserve"> culturel</w:t>
      </w:r>
      <w:r w:rsidR="004A2D65" w:rsidRPr="00A20310">
        <w:rPr>
          <w:snapToGrid/>
          <w:lang w:val="en-GB"/>
        </w:rPr>
        <w:t>s ne devraient</w:t>
      </w:r>
      <w:r w:rsidR="00FA08AC" w:rsidRPr="00A20310">
        <w:rPr>
          <w:snapToGrid/>
          <w:lang w:val="en-GB"/>
        </w:rPr>
        <w:t xml:space="preserve"> pas être concernés</w:t>
      </w:r>
      <w:r w:rsidR="004A2D65" w:rsidRPr="00A20310">
        <w:rPr>
          <w:snapToGrid/>
          <w:lang w:val="en-GB"/>
        </w:rPr>
        <w:t xml:space="preserve"> par les traités et accords internationaux</w:t>
      </w:r>
      <w:r w:rsidR="00FA08AC" w:rsidRPr="00A20310">
        <w:rPr>
          <w:snapToGrid/>
          <w:lang w:val="en-GB"/>
        </w:rPr>
        <w:t>.</w:t>
      </w:r>
      <w:r w:rsidR="001F6E0E" w:rsidRPr="00A20310">
        <w:rPr>
          <w:snapToGrid/>
          <w:lang w:val="en-GB"/>
        </w:rPr>
        <w:t xml:space="preserve"> Le but est de protéger et de faire la promotion des artistes nationaux </w:t>
      </w:r>
      <w:r w:rsidR="0095759C" w:rsidRPr="00A20310">
        <w:rPr>
          <w:snapToGrid/>
          <w:lang w:val="en-GB"/>
        </w:rPr>
        <w:t>ainsi que</w:t>
      </w:r>
      <w:r w:rsidR="001F6E0E" w:rsidRPr="00A20310">
        <w:rPr>
          <w:snapToGrid/>
          <w:lang w:val="en-GB"/>
        </w:rPr>
        <w:t xml:space="preserve"> d’autres éléments de la culture nationale, ce qui se traduit en pratique par la mise en place de mesures protectionnistes limitant la diffusion d’œuvres artistiques étrangères (à travers l’établissement de quotas </w:t>
      </w:r>
      <w:r w:rsidR="00632A34" w:rsidRPr="00A20310">
        <w:rPr>
          <w:snapToGrid/>
          <w:lang w:val="en-GB"/>
        </w:rPr>
        <w:t>de diffusion sur les</w:t>
      </w:r>
      <w:r w:rsidR="001F6E0E" w:rsidRPr="00A20310">
        <w:rPr>
          <w:snapToGrid/>
          <w:lang w:val="en-GB"/>
        </w:rPr>
        <w:t xml:space="preserve"> des chaînes de télévision fr</w:t>
      </w:r>
      <w:r w:rsidR="00BE763F" w:rsidRPr="00A20310">
        <w:rPr>
          <w:snapToGrid/>
          <w:lang w:val="en-GB"/>
        </w:rPr>
        <w:t xml:space="preserve">ançaises par exemple) et par l’attribution </w:t>
      </w:r>
      <w:r w:rsidR="001F6E0E" w:rsidRPr="00A20310">
        <w:rPr>
          <w:snapToGrid/>
          <w:lang w:val="en-GB"/>
        </w:rPr>
        <w:t>de subventions au secteur culturel</w:t>
      </w:r>
      <w:r w:rsidR="00364C4E" w:rsidRPr="00A20310">
        <w:rPr>
          <w:snapToGrid/>
          <w:lang w:val="en-GB"/>
        </w:rPr>
        <w:t>, par exemple</w:t>
      </w:r>
      <w:r w:rsidR="00BE763F" w:rsidRPr="00A20310">
        <w:rPr>
          <w:snapToGrid/>
          <w:lang w:val="en-GB"/>
        </w:rPr>
        <w:t xml:space="preserve"> </w:t>
      </w:r>
      <w:r w:rsidR="00364C4E" w:rsidRPr="00A20310">
        <w:rPr>
          <w:snapToGrid/>
          <w:lang w:val="en-GB"/>
        </w:rPr>
        <w:t>au</w:t>
      </w:r>
      <w:r w:rsidR="00BE763F" w:rsidRPr="00A20310">
        <w:rPr>
          <w:snapToGrid/>
          <w:lang w:val="en-GB"/>
        </w:rPr>
        <w:t xml:space="preserve"> cinéma</w:t>
      </w:r>
      <w:r w:rsidR="001F6E0E" w:rsidRPr="00A20310">
        <w:rPr>
          <w:snapToGrid/>
          <w:lang w:val="en-GB"/>
        </w:rPr>
        <w:t>.</w:t>
      </w:r>
    </w:p>
    <w:p w:rsidR="00632A34" w:rsidRPr="00A20310" w:rsidRDefault="00ED567F" w:rsidP="00A20310">
      <w:pPr>
        <w:pStyle w:val="Texte1"/>
        <w:rPr>
          <w:snapToGrid/>
          <w:lang w:val="en-GB"/>
        </w:rPr>
      </w:pPr>
      <w:r w:rsidRPr="00A20310">
        <w:rPr>
          <w:snapToGrid/>
          <w:lang w:val="en-GB"/>
        </w:rPr>
        <w:t>Le Parlement européen a voté le 23 mai 2013 pour</w:t>
      </w:r>
      <w:r w:rsidR="00632A34" w:rsidRPr="00A20310">
        <w:rPr>
          <w:snapToGrid/>
          <w:lang w:val="en-GB"/>
        </w:rPr>
        <w:t xml:space="preserve"> que</w:t>
      </w:r>
      <w:r w:rsidRPr="00A20310">
        <w:rPr>
          <w:snapToGrid/>
          <w:lang w:val="en-GB"/>
        </w:rPr>
        <w:t xml:space="preserve"> « l'exclusion des services de contenus culturels et audiovisuels, y compris en ligne, soit clairement stipulée dans le mandat de négociation »</w:t>
      </w:r>
      <w:r w:rsidR="00632A34" w:rsidRPr="00A20310">
        <w:rPr>
          <w:snapToGrid/>
          <w:lang w:val="en-GB"/>
        </w:rPr>
        <w:t xml:space="preserve"> du TTIP</w:t>
      </w:r>
      <w:r w:rsidR="00DC7976" w:rsidRPr="00A20310">
        <w:rPr>
          <w:snapToGrid/>
          <w:lang w:val="en-GB"/>
        </w:rPr>
        <w:t xml:space="preserve">. </w:t>
      </w:r>
      <w:r w:rsidR="00183E77" w:rsidRPr="00A20310">
        <w:rPr>
          <w:snapToGrid/>
          <w:lang w:val="en-GB"/>
        </w:rPr>
        <w:t>Le 14 juin 2013</w:t>
      </w:r>
      <w:r w:rsidR="00632A34" w:rsidRPr="00A20310">
        <w:rPr>
          <w:snapToGrid/>
          <w:lang w:val="en-GB"/>
        </w:rPr>
        <w:t>, le Conseil européen a</w:t>
      </w:r>
      <w:r w:rsidR="00DC7976" w:rsidRPr="00A20310">
        <w:rPr>
          <w:snapToGrid/>
          <w:lang w:val="en-GB"/>
        </w:rPr>
        <w:t xml:space="preserve"> </w:t>
      </w:r>
      <w:r w:rsidR="00F664FF" w:rsidRPr="00A20310">
        <w:rPr>
          <w:snapToGrid/>
          <w:lang w:val="en-GB"/>
        </w:rPr>
        <w:t>approuvé</w:t>
      </w:r>
      <w:r w:rsidR="00DC7976" w:rsidRPr="00A20310">
        <w:rPr>
          <w:snapToGrid/>
          <w:lang w:val="en-GB"/>
        </w:rPr>
        <w:t xml:space="preserve"> </w:t>
      </w:r>
      <w:r w:rsidR="00F664FF" w:rsidRPr="00A20310">
        <w:rPr>
          <w:snapToGrid/>
          <w:lang w:val="en-GB"/>
        </w:rPr>
        <w:t>l’exclusion d</w:t>
      </w:r>
      <w:r w:rsidR="00DC7976" w:rsidRPr="00A20310">
        <w:rPr>
          <w:snapToGrid/>
          <w:lang w:val="en-GB"/>
        </w:rPr>
        <w:t>es services audiovis</w:t>
      </w:r>
      <w:r w:rsidR="00BC0D6C" w:rsidRPr="00A20310">
        <w:rPr>
          <w:snapToGrid/>
          <w:lang w:val="en-GB"/>
        </w:rPr>
        <w:t>uels du mandat de négociation, c</w:t>
      </w:r>
      <w:r w:rsidR="00DC7976" w:rsidRPr="00A20310">
        <w:rPr>
          <w:snapToGrid/>
          <w:lang w:val="en-GB"/>
        </w:rPr>
        <w:t>ependant, cette décision pourra faire l’objet d’une révision.</w:t>
      </w:r>
      <w:r w:rsidR="00BF11BC" w:rsidRPr="00A20310">
        <w:rPr>
          <w:snapToGrid/>
          <w:lang w:val="en-GB"/>
        </w:rPr>
        <w:t xml:space="preserve"> </w:t>
      </w:r>
      <w:r w:rsidR="00151887" w:rsidRPr="00A20310">
        <w:rPr>
          <w:snapToGrid/>
          <w:lang w:val="en-GB"/>
        </w:rPr>
        <w:t>En avril 2015, la Commission de la culture et de l'éducation</w:t>
      </w:r>
      <w:r w:rsidR="00BE4DF5" w:rsidRPr="00A20310">
        <w:rPr>
          <w:snapToGrid/>
          <w:lang w:val="en-GB"/>
        </w:rPr>
        <w:t xml:space="preserve"> du Parlement européen a </w:t>
      </w:r>
      <w:r w:rsidR="00820643" w:rsidRPr="00A20310">
        <w:rPr>
          <w:snapToGrid/>
          <w:lang w:val="en-GB"/>
        </w:rPr>
        <w:t>adressé</w:t>
      </w:r>
      <w:r w:rsidR="00BE4DF5" w:rsidRPr="00A20310">
        <w:rPr>
          <w:snapToGrid/>
          <w:lang w:val="en-GB"/>
        </w:rPr>
        <w:t xml:space="preserve"> les recommandations suivant</w:t>
      </w:r>
      <w:r w:rsidR="004A1F0D" w:rsidRPr="00A20310">
        <w:rPr>
          <w:snapToGrid/>
          <w:lang w:val="en-GB"/>
        </w:rPr>
        <w:t>es à la Commission européenne :</w:t>
      </w:r>
    </w:p>
    <w:p w:rsidR="004A1F0D" w:rsidRDefault="009B7578" w:rsidP="005B2880">
      <w:pPr>
        <w:autoSpaceDE w:val="0"/>
        <w:autoSpaceDN w:val="0"/>
        <w:adjustRightInd w:val="0"/>
        <w:spacing w:before="120" w:after="120" w:line="240" w:lineRule="auto"/>
        <w:ind w:left="851"/>
        <w:jc w:val="both"/>
        <w:rPr>
          <w:rFonts w:cs="Arial"/>
          <w:i/>
          <w:sz w:val="20"/>
          <w:szCs w:val="20"/>
        </w:rPr>
      </w:pPr>
      <w:proofErr w:type="gramStart"/>
      <w:r w:rsidRPr="005F4E14">
        <w:rPr>
          <w:rFonts w:cs="Arial"/>
          <w:i/>
          <w:sz w:val="20"/>
          <w:szCs w:val="20"/>
        </w:rPr>
        <w:t>considérant</w:t>
      </w:r>
      <w:proofErr w:type="gramEnd"/>
      <w:r w:rsidRPr="005F4E14">
        <w:rPr>
          <w:rFonts w:cs="Arial"/>
          <w:i/>
          <w:sz w:val="20"/>
          <w:szCs w:val="20"/>
        </w:rPr>
        <w:t xml:space="preserve"> l'engagement de l'Union vis-à-vis de la convention de l'Unesco sur la</w:t>
      </w:r>
      <w:r w:rsidR="00FF3746" w:rsidRPr="005F4E14">
        <w:rPr>
          <w:rFonts w:cs="Arial"/>
          <w:i/>
          <w:sz w:val="20"/>
          <w:szCs w:val="20"/>
        </w:rPr>
        <w:t xml:space="preserve"> </w:t>
      </w:r>
      <w:r w:rsidRPr="005F4E14">
        <w:rPr>
          <w:rFonts w:cs="Arial"/>
          <w:i/>
          <w:sz w:val="20"/>
          <w:szCs w:val="20"/>
        </w:rPr>
        <w:t>protection et la promotion de la diversité des expressions culturelles;</w:t>
      </w:r>
    </w:p>
    <w:p w:rsidR="009B7578" w:rsidRPr="005F4E14" w:rsidRDefault="009B7578" w:rsidP="005B2880">
      <w:pPr>
        <w:autoSpaceDE w:val="0"/>
        <w:autoSpaceDN w:val="0"/>
        <w:adjustRightInd w:val="0"/>
        <w:spacing w:before="120" w:after="120" w:line="240" w:lineRule="auto"/>
        <w:ind w:left="851"/>
        <w:jc w:val="both"/>
        <w:rPr>
          <w:rFonts w:cs="Arial"/>
          <w:i/>
          <w:sz w:val="20"/>
          <w:szCs w:val="20"/>
        </w:rPr>
      </w:pPr>
      <w:proofErr w:type="gramStart"/>
      <w:r w:rsidRPr="005F4E14">
        <w:rPr>
          <w:rFonts w:cs="Arial"/>
          <w:i/>
          <w:sz w:val="20"/>
          <w:szCs w:val="20"/>
        </w:rPr>
        <w:t>considérant</w:t>
      </w:r>
      <w:proofErr w:type="gramEnd"/>
      <w:r w:rsidRPr="005F4E14">
        <w:rPr>
          <w:rFonts w:cs="Arial"/>
          <w:i/>
          <w:sz w:val="20"/>
          <w:szCs w:val="20"/>
        </w:rPr>
        <w:t xml:space="preserve"> qu'il relève de la pratique courante d'exclure les subventions, notamment</w:t>
      </w:r>
      <w:r w:rsidR="00FF3746" w:rsidRPr="005F4E14">
        <w:rPr>
          <w:rFonts w:cs="Arial"/>
          <w:i/>
          <w:sz w:val="20"/>
          <w:szCs w:val="20"/>
        </w:rPr>
        <w:t xml:space="preserve"> </w:t>
      </w:r>
      <w:r w:rsidRPr="005F4E14">
        <w:rPr>
          <w:rFonts w:cs="Arial"/>
          <w:i/>
          <w:sz w:val="20"/>
          <w:szCs w:val="20"/>
        </w:rPr>
        <w:t>celles destinées aux secteurs de la culture et de l'éducat</w:t>
      </w:r>
      <w:r w:rsidR="00FF3746" w:rsidRPr="005F4E14">
        <w:rPr>
          <w:rFonts w:cs="Arial"/>
          <w:i/>
          <w:sz w:val="20"/>
          <w:szCs w:val="20"/>
        </w:rPr>
        <w:t xml:space="preserve">ion, des accords commerciaux </w:t>
      </w:r>
      <w:r w:rsidRPr="005F4E14">
        <w:rPr>
          <w:rFonts w:cs="Arial"/>
          <w:i/>
          <w:sz w:val="20"/>
          <w:szCs w:val="20"/>
        </w:rPr>
        <w:t>de l'Union;</w:t>
      </w:r>
    </w:p>
    <w:p w:rsidR="00FF3746" w:rsidRPr="005F4E14" w:rsidRDefault="00077F27" w:rsidP="005B2880">
      <w:pPr>
        <w:autoSpaceDE w:val="0"/>
        <w:autoSpaceDN w:val="0"/>
        <w:adjustRightInd w:val="0"/>
        <w:spacing w:before="120" w:after="120" w:line="240" w:lineRule="auto"/>
        <w:ind w:left="851"/>
        <w:jc w:val="both"/>
        <w:rPr>
          <w:rFonts w:cs="Arial"/>
          <w:i/>
          <w:sz w:val="20"/>
          <w:szCs w:val="20"/>
        </w:rPr>
      </w:pPr>
      <w:r>
        <w:rPr>
          <w:rFonts w:cs="Arial"/>
          <w:i/>
          <w:sz w:val="20"/>
          <w:szCs w:val="20"/>
        </w:rPr>
        <w:t xml:space="preserve">[la Commission de la culture et de l’éducation du Parlement européen recommande que la Commission européenne veille à ce que les parties à l’accord] </w:t>
      </w:r>
      <w:r w:rsidR="00075145" w:rsidRPr="005F4E14">
        <w:rPr>
          <w:rFonts w:cs="Arial"/>
          <w:i/>
          <w:sz w:val="20"/>
          <w:szCs w:val="20"/>
        </w:rPr>
        <w:t>se réservent le droit d'adopter ou de conserver toute mesure (en particulier de nature réglementaire et/ou financière)</w:t>
      </w:r>
      <w:r w:rsidR="00534734" w:rsidRPr="005F4E14">
        <w:rPr>
          <w:rFonts w:cs="Arial"/>
          <w:i/>
          <w:sz w:val="20"/>
          <w:szCs w:val="20"/>
        </w:rPr>
        <w:t xml:space="preserve"> </w:t>
      </w:r>
      <w:r w:rsidR="00075145" w:rsidRPr="005F4E14">
        <w:rPr>
          <w:rFonts w:cs="Arial"/>
          <w:i/>
          <w:sz w:val="20"/>
          <w:szCs w:val="20"/>
        </w:rPr>
        <w:t>relative à la protection ou à la promotion de la diversité linguistique et culturelle et à la liberté et au pluralisme des médias, ainsi que le droit de préserver ou de développer, conformément au principe de neutralité technologique, un régime régissant les services audiovisuels qui respecte des exigences démocratiques, sociales et culturelles;</w:t>
      </w:r>
    </w:p>
    <w:p w:rsidR="00FF3746" w:rsidRPr="005F4E14" w:rsidRDefault="00FF3746" w:rsidP="005B2880">
      <w:pPr>
        <w:autoSpaceDE w:val="0"/>
        <w:autoSpaceDN w:val="0"/>
        <w:adjustRightInd w:val="0"/>
        <w:spacing w:before="120" w:after="120" w:line="240" w:lineRule="auto"/>
        <w:ind w:left="851"/>
        <w:jc w:val="both"/>
        <w:rPr>
          <w:rFonts w:cs="Arial"/>
          <w:i/>
          <w:sz w:val="20"/>
          <w:szCs w:val="20"/>
        </w:rPr>
      </w:pPr>
      <w:proofErr w:type="gramStart"/>
      <w:r w:rsidRPr="005F4E14">
        <w:rPr>
          <w:rFonts w:cs="Arial"/>
          <w:i/>
          <w:sz w:val="20"/>
          <w:szCs w:val="20"/>
        </w:rPr>
        <w:t>réaffirmer</w:t>
      </w:r>
      <w:proofErr w:type="gramEnd"/>
      <w:r w:rsidRPr="005F4E14">
        <w:rPr>
          <w:rFonts w:cs="Arial"/>
          <w:i/>
          <w:sz w:val="20"/>
          <w:szCs w:val="20"/>
        </w:rPr>
        <w:t xml:space="preserve"> que les services à forte composante culturelle ne seront pas remis en question par le partenariat transatlantique de commerce et d'investissement;</w:t>
      </w:r>
    </w:p>
    <w:p w:rsidR="008827C4" w:rsidRPr="005F4E14" w:rsidRDefault="00FF3746" w:rsidP="005B2880">
      <w:pPr>
        <w:autoSpaceDE w:val="0"/>
        <w:autoSpaceDN w:val="0"/>
        <w:adjustRightInd w:val="0"/>
        <w:spacing w:before="120" w:after="120" w:line="240" w:lineRule="auto"/>
        <w:ind w:left="851"/>
        <w:jc w:val="both"/>
        <w:rPr>
          <w:rFonts w:cs="Arial"/>
          <w:i/>
          <w:sz w:val="20"/>
          <w:szCs w:val="20"/>
        </w:rPr>
      </w:pPr>
      <w:proofErr w:type="gramStart"/>
      <w:r w:rsidRPr="005F4E14">
        <w:rPr>
          <w:rFonts w:cs="Arial"/>
          <w:i/>
          <w:sz w:val="20"/>
          <w:szCs w:val="20"/>
        </w:rPr>
        <w:lastRenderedPageBreak/>
        <w:t>spécifier</w:t>
      </w:r>
      <w:proofErr w:type="gramEnd"/>
      <w:r w:rsidRPr="005F4E14">
        <w:rPr>
          <w:rFonts w:cs="Arial"/>
          <w:i/>
          <w:sz w:val="20"/>
          <w:szCs w:val="20"/>
        </w:rPr>
        <w:t xml:space="preserve"> qu'aucune disposition de l'accord ne s'applique aux subventions ou aux aides d'État accordées aux services culturels, éducatifs et audiovisuels;</w:t>
      </w:r>
    </w:p>
    <w:p w:rsidR="008827C4" w:rsidRDefault="008827C4">
      <w:pPr>
        <w:rPr>
          <w:rFonts w:cs="Arial"/>
          <w:sz w:val="20"/>
          <w:szCs w:val="20"/>
        </w:rPr>
      </w:pPr>
      <w:r>
        <w:rPr>
          <w:rFonts w:cs="Arial"/>
          <w:sz w:val="20"/>
          <w:szCs w:val="20"/>
        </w:rPr>
        <w:br w:type="page"/>
      </w:r>
    </w:p>
    <w:p w:rsidR="00F501CA" w:rsidRPr="00A20310" w:rsidRDefault="00F501CA" w:rsidP="00F65FCB">
      <w:pPr>
        <w:pStyle w:val="Heading2"/>
        <w:tabs>
          <w:tab w:val="left" w:pos="567"/>
        </w:tabs>
        <w:snapToGrid w:val="0"/>
        <w:rPr>
          <w:rFonts w:eastAsia="SimSun" w:cs="Times New Roman"/>
          <w:b/>
          <w:caps/>
          <w:color w:val="auto"/>
          <w:sz w:val="20"/>
          <w:szCs w:val="24"/>
          <w:lang w:val="it-IT"/>
        </w:rPr>
      </w:pPr>
      <w:bookmarkStart w:id="6" w:name="_Toc430339203"/>
      <w:r w:rsidRPr="00A20310">
        <w:rPr>
          <w:rFonts w:eastAsia="SimSun" w:cs="Times New Roman"/>
          <w:b/>
          <w:caps/>
          <w:color w:val="auto"/>
          <w:sz w:val="20"/>
          <w:szCs w:val="24"/>
          <w:lang w:val="it-IT"/>
        </w:rPr>
        <w:lastRenderedPageBreak/>
        <w:t>Nation navajo vs. Urban Outfitters</w:t>
      </w:r>
      <w:proofErr w:type="gramStart"/>
      <w:r w:rsidRPr="00A20310">
        <w:rPr>
          <w:rFonts w:eastAsia="SimSun" w:cs="Times New Roman"/>
          <w:b/>
          <w:caps/>
          <w:color w:val="auto"/>
          <w:sz w:val="20"/>
          <w:szCs w:val="24"/>
          <w:lang w:val="it-IT"/>
        </w:rPr>
        <w:t> :</w:t>
      </w:r>
      <w:proofErr w:type="gramEnd"/>
      <w:r w:rsidRPr="00A20310">
        <w:rPr>
          <w:rFonts w:eastAsia="SimSun" w:cs="Times New Roman"/>
          <w:b/>
          <w:caps/>
          <w:color w:val="auto"/>
          <w:sz w:val="20"/>
          <w:szCs w:val="24"/>
          <w:lang w:val="it-IT"/>
        </w:rPr>
        <w:t xml:space="preserve"> la marque « Navajo</w:t>
      </w:r>
      <w:r w:rsidR="00131F0E" w:rsidRPr="00A20310">
        <w:rPr>
          <w:rFonts w:eastAsia="SimSun" w:cs="Times New Roman"/>
          <w:b/>
          <w:caps/>
          <w:color w:val="auto"/>
          <w:sz w:val="20"/>
          <w:szCs w:val="24"/>
          <w:lang w:val="it-IT"/>
        </w:rPr>
        <w:t xml:space="preserve"> </w:t>
      </w:r>
      <w:r w:rsidRPr="00A20310">
        <w:rPr>
          <w:rFonts w:eastAsia="SimSun" w:cs="Times New Roman"/>
          <w:b/>
          <w:caps/>
          <w:color w:val="auto"/>
          <w:sz w:val="20"/>
          <w:szCs w:val="24"/>
          <w:lang w:val="it-IT"/>
        </w:rPr>
        <w:t>» au cœur du procès</w:t>
      </w:r>
      <w:r w:rsidR="00945D2C" w:rsidRPr="00F65FCB">
        <w:rPr>
          <w:rFonts w:eastAsia="SimSun" w:cs="Times New Roman"/>
          <w:b/>
          <w:caps/>
          <w:color w:val="auto"/>
          <w:sz w:val="20"/>
          <w:szCs w:val="24"/>
          <w:vertAlign w:val="superscript"/>
          <w:lang w:val="it-IT"/>
        </w:rPr>
        <w:footnoteReference w:id="8"/>
      </w:r>
      <w:bookmarkEnd w:id="6"/>
    </w:p>
    <w:p w:rsidR="00363F91" w:rsidRPr="0072088E" w:rsidRDefault="00131F0E" w:rsidP="00F65FCB">
      <w:pPr>
        <w:pStyle w:val="Texte1"/>
        <w:rPr>
          <w:snapToGrid/>
        </w:rPr>
      </w:pPr>
      <w:r w:rsidRPr="0072088E">
        <w:rPr>
          <w:snapToGrid/>
        </w:rPr>
        <w:t xml:space="preserve">FLAGSTAFF, Arizona (États-Unis) – </w:t>
      </w:r>
      <w:r w:rsidR="00734DAB" w:rsidRPr="0072088E">
        <w:rPr>
          <w:snapToGrid/>
        </w:rPr>
        <w:t>P</w:t>
      </w:r>
      <w:r w:rsidR="00363F91" w:rsidRPr="0072088E">
        <w:rPr>
          <w:snapToGrid/>
        </w:rPr>
        <w:t xml:space="preserve">lusieurs mois après avoir envoyé une </w:t>
      </w:r>
      <w:r w:rsidR="0048217C" w:rsidRPr="0072088E">
        <w:rPr>
          <w:snapToGrid/>
        </w:rPr>
        <w:t xml:space="preserve">lettre de cessation et d’abstention </w:t>
      </w:r>
      <w:r w:rsidR="00411913" w:rsidRPr="0072088E">
        <w:rPr>
          <w:snapToGrid/>
        </w:rPr>
        <w:t>au détaillant de</w:t>
      </w:r>
      <w:r w:rsidR="00363F91" w:rsidRPr="0072088E">
        <w:rPr>
          <w:snapToGrid/>
        </w:rPr>
        <w:t xml:space="preserve"> vêtement</w:t>
      </w:r>
      <w:r w:rsidR="00734DAB" w:rsidRPr="0072088E">
        <w:rPr>
          <w:snapToGrid/>
        </w:rPr>
        <w:t xml:space="preserve">s </w:t>
      </w:r>
      <w:r w:rsidR="00734DAB" w:rsidRPr="0072088E">
        <w:rPr>
          <w:i/>
          <w:iCs/>
          <w:snapToGrid/>
        </w:rPr>
        <w:t>Urban Outfitters</w:t>
      </w:r>
      <w:r w:rsidR="00734DAB" w:rsidRPr="0072088E">
        <w:rPr>
          <w:snapToGrid/>
        </w:rPr>
        <w:t xml:space="preserve"> afin de le sommer de ne p</w:t>
      </w:r>
      <w:r w:rsidR="00F65FCB" w:rsidRPr="0072088E">
        <w:rPr>
          <w:snapToGrid/>
        </w:rPr>
        <w:t>lus utiliser le nom « Navajo »,</w:t>
      </w:r>
      <w:r w:rsidR="00363F91" w:rsidRPr="0072088E">
        <w:rPr>
          <w:snapToGrid/>
        </w:rPr>
        <w:t xml:space="preserve"> </w:t>
      </w:r>
      <w:r w:rsidR="00734DAB" w:rsidRPr="0072088E">
        <w:rPr>
          <w:snapToGrid/>
        </w:rPr>
        <w:t xml:space="preserve">la Nation navajo a </w:t>
      </w:r>
      <w:r w:rsidR="00870661" w:rsidRPr="0072088E">
        <w:rPr>
          <w:snapToGrid/>
        </w:rPr>
        <w:t>engagé des poursuites contre</w:t>
      </w:r>
      <w:r w:rsidR="00734DAB" w:rsidRPr="0072088E">
        <w:rPr>
          <w:snapToGrid/>
        </w:rPr>
        <w:t xml:space="preserve"> l’entreprise américaine afin de </w:t>
      </w:r>
      <w:r w:rsidR="00411913" w:rsidRPr="0072088E">
        <w:rPr>
          <w:snapToGrid/>
        </w:rPr>
        <w:t>réclamer une compensation financière</w:t>
      </w:r>
      <w:r w:rsidR="00734DAB" w:rsidRPr="0072088E">
        <w:rPr>
          <w:snapToGrid/>
        </w:rPr>
        <w:t xml:space="preserve"> et empêcher de façon permanente l’utilisation du nom « Navajo » ou </w:t>
      </w:r>
      <w:r w:rsidR="00342268" w:rsidRPr="0072088E">
        <w:rPr>
          <w:snapToGrid/>
        </w:rPr>
        <w:t xml:space="preserve">de </w:t>
      </w:r>
      <w:r w:rsidR="00734DAB" w:rsidRPr="0072088E">
        <w:rPr>
          <w:snapToGrid/>
        </w:rPr>
        <w:t xml:space="preserve">ses variantes </w:t>
      </w:r>
      <w:r w:rsidR="00342268" w:rsidRPr="0072088E">
        <w:rPr>
          <w:snapToGrid/>
        </w:rPr>
        <w:t xml:space="preserve">sur les produits de la marque </w:t>
      </w:r>
      <w:r w:rsidR="00342268" w:rsidRPr="0072088E">
        <w:rPr>
          <w:i/>
          <w:iCs/>
          <w:snapToGrid/>
        </w:rPr>
        <w:t>Urban Outfitters</w:t>
      </w:r>
      <w:r w:rsidR="00342268" w:rsidRPr="0072088E">
        <w:rPr>
          <w:snapToGrid/>
        </w:rPr>
        <w:t>.</w:t>
      </w:r>
    </w:p>
    <w:p w:rsidR="009B2591" w:rsidRPr="00F65FCB" w:rsidRDefault="00B61FBC" w:rsidP="00F65FCB">
      <w:pPr>
        <w:pStyle w:val="Texte1"/>
        <w:rPr>
          <w:snapToGrid/>
          <w:lang w:val="en-GB"/>
        </w:rPr>
      </w:pPr>
      <w:r w:rsidRPr="00F65FCB">
        <w:rPr>
          <w:snapToGrid/>
          <w:lang w:val="en-GB"/>
        </w:rPr>
        <w:t xml:space="preserve">La Nation navajo a déposé une plainte </w:t>
      </w:r>
      <w:r w:rsidR="00B420DA" w:rsidRPr="00F65FCB">
        <w:rPr>
          <w:snapToGrid/>
          <w:lang w:val="en-GB"/>
        </w:rPr>
        <w:t>auprès de</w:t>
      </w:r>
      <w:r w:rsidR="00342268" w:rsidRPr="00F65FCB">
        <w:rPr>
          <w:snapToGrid/>
          <w:lang w:val="en-GB"/>
        </w:rPr>
        <w:t xml:space="preserve"> la Cour </w:t>
      </w:r>
      <w:r w:rsidR="00FC39C5" w:rsidRPr="00F65FCB">
        <w:rPr>
          <w:snapToGrid/>
          <w:lang w:val="en-GB"/>
        </w:rPr>
        <w:t>de District du Nouveau-</w:t>
      </w:r>
      <w:r w:rsidRPr="00F65FCB">
        <w:rPr>
          <w:snapToGrid/>
          <w:lang w:val="en-GB"/>
        </w:rPr>
        <w:t xml:space="preserve">Mexique pour violation des droits rattachés à la marque « Navajo » et de la loi fédérale sur l’artisanat et les arts indiens qui interdit </w:t>
      </w:r>
      <w:r w:rsidR="00A441AD" w:rsidRPr="00F65FCB">
        <w:rPr>
          <w:snapToGrid/>
          <w:lang w:val="en-GB"/>
        </w:rPr>
        <w:t>la</w:t>
      </w:r>
      <w:r w:rsidR="00F91521" w:rsidRPr="00F65FCB">
        <w:rPr>
          <w:snapToGrid/>
          <w:lang w:val="en-GB"/>
        </w:rPr>
        <w:t xml:space="preserve"> </w:t>
      </w:r>
      <w:r w:rsidR="00A441AD" w:rsidRPr="00F65FCB">
        <w:rPr>
          <w:snapToGrid/>
          <w:lang w:val="en-GB"/>
        </w:rPr>
        <w:t>vente</w:t>
      </w:r>
      <w:r w:rsidRPr="00F65FCB">
        <w:rPr>
          <w:snapToGrid/>
          <w:lang w:val="en-GB"/>
        </w:rPr>
        <w:t xml:space="preserve"> de produits artistiques et artisanaux </w:t>
      </w:r>
      <w:r w:rsidR="009E3553" w:rsidRPr="00F65FCB">
        <w:rPr>
          <w:snapToGrid/>
          <w:lang w:val="en-GB"/>
        </w:rPr>
        <w:t xml:space="preserve">d’une façon </w:t>
      </w:r>
      <w:r w:rsidR="00A441AD" w:rsidRPr="00F65FCB">
        <w:rPr>
          <w:snapToGrid/>
          <w:lang w:val="en-GB"/>
        </w:rPr>
        <w:t xml:space="preserve">pouvant laisser croire qu'ils </w:t>
      </w:r>
      <w:r w:rsidR="00BB615D" w:rsidRPr="00F65FCB">
        <w:rPr>
          <w:snapToGrid/>
          <w:lang w:val="en-GB"/>
        </w:rPr>
        <w:t>ont été créés par des tribus d'I</w:t>
      </w:r>
      <w:r w:rsidR="00A441AD" w:rsidRPr="00F65FCB">
        <w:rPr>
          <w:snapToGrid/>
          <w:lang w:val="en-GB"/>
        </w:rPr>
        <w:t>ndiens d'Amér</w:t>
      </w:r>
      <w:r w:rsidR="003732E2" w:rsidRPr="00F65FCB">
        <w:rPr>
          <w:snapToGrid/>
          <w:lang w:val="en-GB"/>
        </w:rPr>
        <w:t xml:space="preserve">ique quand ce n’est pas le cas. </w:t>
      </w:r>
      <w:r w:rsidR="00A441AD" w:rsidRPr="00F65FCB">
        <w:rPr>
          <w:snapToGrid/>
          <w:lang w:val="en-GB"/>
        </w:rPr>
        <w:t xml:space="preserve">La </w:t>
      </w:r>
      <w:r w:rsidR="00B74916" w:rsidRPr="00F65FCB">
        <w:rPr>
          <w:snapToGrid/>
          <w:lang w:val="en-GB"/>
        </w:rPr>
        <w:t xml:space="preserve">tribu a enregistré dix marques </w:t>
      </w:r>
      <w:r w:rsidR="00961E24" w:rsidRPr="00F65FCB">
        <w:rPr>
          <w:snapToGrid/>
          <w:lang w:val="en-GB"/>
        </w:rPr>
        <w:t>sous</w:t>
      </w:r>
      <w:r w:rsidR="00B74916" w:rsidRPr="00F65FCB">
        <w:rPr>
          <w:snapToGrid/>
          <w:lang w:val="en-GB"/>
        </w:rPr>
        <w:t xml:space="preserve"> le nom « Navajo » sur des produits tels que </w:t>
      </w:r>
      <w:r w:rsidR="009501AF" w:rsidRPr="00F65FCB">
        <w:rPr>
          <w:snapToGrid/>
          <w:lang w:val="en-GB"/>
        </w:rPr>
        <w:t>des vêtements, des chaussures, des produits vendus sur</w:t>
      </w:r>
      <w:r w:rsidR="00B74916" w:rsidRPr="00F65FCB">
        <w:rPr>
          <w:snapToGrid/>
          <w:lang w:val="en-GB"/>
        </w:rPr>
        <w:t xml:space="preserve"> </w:t>
      </w:r>
      <w:r w:rsidR="009501AF" w:rsidRPr="00F65FCB">
        <w:rPr>
          <w:snapToGrid/>
          <w:lang w:val="en-GB"/>
        </w:rPr>
        <w:t>internet</w:t>
      </w:r>
      <w:r w:rsidR="0095486F" w:rsidRPr="00F65FCB">
        <w:rPr>
          <w:snapToGrid/>
          <w:lang w:val="en-GB"/>
        </w:rPr>
        <w:t xml:space="preserve">, </w:t>
      </w:r>
      <w:r w:rsidR="009501AF" w:rsidRPr="00F65FCB">
        <w:rPr>
          <w:snapToGrid/>
          <w:lang w:val="en-GB"/>
        </w:rPr>
        <w:t>des équipements de la maison</w:t>
      </w:r>
      <w:r w:rsidR="00961E24" w:rsidRPr="00F65FCB">
        <w:rPr>
          <w:snapToGrid/>
          <w:lang w:val="en-GB"/>
        </w:rPr>
        <w:t xml:space="preserve"> et des textiles. </w:t>
      </w:r>
      <w:r w:rsidR="00A54383" w:rsidRPr="00F65FCB">
        <w:rPr>
          <w:snapToGrid/>
          <w:lang w:val="en-GB"/>
        </w:rPr>
        <w:t xml:space="preserve">Les </w:t>
      </w:r>
      <w:r w:rsidR="0095486F" w:rsidRPr="00F65FCB">
        <w:rPr>
          <w:snapToGrid/>
          <w:lang w:val="en-GB"/>
        </w:rPr>
        <w:t>autorités judiciaires</w:t>
      </w:r>
      <w:r w:rsidR="00A54383" w:rsidRPr="00F65FCB">
        <w:rPr>
          <w:snapToGrid/>
          <w:lang w:val="en-GB"/>
        </w:rPr>
        <w:t xml:space="preserve"> de </w:t>
      </w:r>
      <w:r w:rsidR="00B32398" w:rsidRPr="00F65FCB">
        <w:rPr>
          <w:snapToGrid/>
          <w:lang w:val="en-GB"/>
        </w:rPr>
        <w:t>la Nation navajo affirment qu’elle</w:t>
      </w:r>
      <w:r w:rsidR="00A54383" w:rsidRPr="00F65FCB">
        <w:rPr>
          <w:snapToGrid/>
          <w:lang w:val="en-GB"/>
        </w:rPr>
        <w:t>s sont résolu</w:t>
      </w:r>
      <w:r w:rsidR="00B32398" w:rsidRPr="00F65FCB">
        <w:rPr>
          <w:snapToGrid/>
          <w:lang w:val="en-GB"/>
        </w:rPr>
        <w:t>e</w:t>
      </w:r>
      <w:r w:rsidR="00961E24" w:rsidRPr="00F65FCB">
        <w:rPr>
          <w:snapToGrid/>
          <w:lang w:val="en-GB"/>
        </w:rPr>
        <w:t>s à protéger ce qu’elles</w:t>
      </w:r>
      <w:r w:rsidR="00A54383" w:rsidRPr="00F65FCB">
        <w:rPr>
          <w:snapToGrid/>
          <w:lang w:val="en-GB"/>
        </w:rPr>
        <w:t xml:space="preserve"> considère</w:t>
      </w:r>
      <w:r w:rsidR="00961E24" w:rsidRPr="00F65FCB">
        <w:rPr>
          <w:snapToGrid/>
          <w:lang w:val="en-GB"/>
        </w:rPr>
        <w:t>nt</w:t>
      </w:r>
      <w:r w:rsidR="00A54383" w:rsidRPr="00F65FCB">
        <w:rPr>
          <w:snapToGrid/>
          <w:lang w:val="en-GB"/>
        </w:rPr>
        <w:t xml:space="preserve"> faire partie </w:t>
      </w:r>
      <w:r w:rsidR="00640D17" w:rsidRPr="00F65FCB">
        <w:rPr>
          <w:snapToGrid/>
          <w:lang w:val="en-GB"/>
        </w:rPr>
        <w:t xml:space="preserve">des atouts les plus précieux de la tribu. </w:t>
      </w:r>
      <w:r w:rsidR="007855B3" w:rsidRPr="00F65FCB">
        <w:rPr>
          <w:snapToGrid/>
          <w:lang w:val="en-GB"/>
        </w:rPr>
        <w:t xml:space="preserve">D’après les termes du procès, </w:t>
      </w:r>
      <w:r w:rsidR="00640D17" w:rsidRPr="00F65FCB">
        <w:rPr>
          <w:snapToGrid/>
          <w:lang w:val="en-GB"/>
        </w:rPr>
        <w:t xml:space="preserve">« La renommée et la réputation du nom et des marques « Navajo » sont telles que lorsque les défendeurs </w:t>
      </w:r>
      <w:r w:rsidR="007855B3" w:rsidRPr="00F65FCB">
        <w:rPr>
          <w:snapToGrid/>
          <w:lang w:val="en-GB"/>
        </w:rPr>
        <w:t xml:space="preserve">associent la marque « Navajo » ou « Navaho » </w:t>
      </w:r>
      <w:r w:rsidR="001673F3" w:rsidRPr="00F65FCB">
        <w:rPr>
          <w:snapToGrid/>
          <w:lang w:val="en-GB"/>
        </w:rPr>
        <w:t xml:space="preserve">à </w:t>
      </w:r>
      <w:r w:rsidR="007855B3" w:rsidRPr="00F65FCB">
        <w:rPr>
          <w:snapToGrid/>
          <w:lang w:val="en-GB"/>
        </w:rPr>
        <w:t xml:space="preserve">leurs </w:t>
      </w:r>
      <w:r w:rsidR="001673F3" w:rsidRPr="00F65FCB">
        <w:rPr>
          <w:snapToGrid/>
          <w:lang w:val="en-GB"/>
        </w:rPr>
        <w:t>biens</w:t>
      </w:r>
      <w:r w:rsidR="007855B3" w:rsidRPr="00F65FCB">
        <w:rPr>
          <w:snapToGrid/>
          <w:lang w:val="en-GB"/>
        </w:rPr>
        <w:t xml:space="preserve"> et services, le public établit, à tort, un lien avec la Nation navajo</w:t>
      </w:r>
      <w:r w:rsidR="00A441AD" w:rsidRPr="00F65FCB">
        <w:rPr>
          <w:snapToGrid/>
          <w:lang w:val="en-GB"/>
        </w:rPr>
        <w:t> »</w:t>
      </w:r>
      <w:r w:rsidR="007855B3" w:rsidRPr="00F65FCB">
        <w:rPr>
          <w:snapToGrid/>
          <w:lang w:val="en-GB"/>
        </w:rPr>
        <w:t>.</w:t>
      </w:r>
    </w:p>
    <w:p w:rsidR="00AB56A1" w:rsidRPr="00F65FCB" w:rsidRDefault="00C21D78" w:rsidP="00F65FCB">
      <w:pPr>
        <w:pStyle w:val="Texte1"/>
        <w:rPr>
          <w:snapToGrid/>
          <w:lang w:val="en-GB"/>
        </w:rPr>
      </w:pPr>
      <w:r w:rsidRPr="0072088E">
        <w:rPr>
          <w:snapToGrid/>
        </w:rPr>
        <w:t xml:space="preserve">Une vague de critiques a déferlé sur la marque </w:t>
      </w:r>
      <w:r w:rsidRPr="0072088E">
        <w:rPr>
          <w:i/>
          <w:iCs/>
          <w:snapToGrid/>
        </w:rPr>
        <w:t xml:space="preserve">Urban Outfitters </w:t>
      </w:r>
      <w:r w:rsidRPr="0072088E">
        <w:rPr>
          <w:snapToGrid/>
        </w:rPr>
        <w:t>l’année dernière à cause de sa ligne de vêtements et d’accessoires portant le nom de la marque « Navajo », en particulier des sous-vêtements</w:t>
      </w:r>
      <w:r w:rsidR="00FC39C5" w:rsidRPr="0072088E">
        <w:rPr>
          <w:snapToGrid/>
        </w:rPr>
        <w:t xml:space="preserve"> et</w:t>
      </w:r>
      <w:r w:rsidRPr="0072088E">
        <w:rPr>
          <w:snapToGrid/>
        </w:rPr>
        <w:t xml:space="preserve"> des flasques</w:t>
      </w:r>
      <w:r w:rsidR="00FC39C5" w:rsidRPr="0072088E">
        <w:rPr>
          <w:snapToGrid/>
        </w:rPr>
        <w:t xml:space="preserve">. La tribu a jugé particulièrement « dégradant et scandaleux » que leur marque soit associée à ce type de produits alors que la vente et la consommation d’alcool est interdite dans </w:t>
      </w:r>
      <w:r w:rsidR="00B61CF4" w:rsidRPr="0072088E">
        <w:rPr>
          <w:snapToGrid/>
        </w:rPr>
        <w:t>leur</w:t>
      </w:r>
      <w:r w:rsidR="00FC39C5" w:rsidRPr="0072088E">
        <w:rPr>
          <w:snapToGrid/>
        </w:rPr>
        <w:t xml:space="preserve"> réserve qui occupe </w:t>
      </w:r>
      <w:r w:rsidR="0038010D" w:rsidRPr="0072088E">
        <w:rPr>
          <w:snapToGrid/>
        </w:rPr>
        <w:t>une partie du</w:t>
      </w:r>
      <w:r w:rsidR="00FC39C5" w:rsidRPr="0072088E">
        <w:rPr>
          <w:snapToGrid/>
        </w:rPr>
        <w:t xml:space="preserve"> nord-est de l’Arizona, </w:t>
      </w:r>
      <w:r w:rsidR="0038010D" w:rsidRPr="0072088E">
        <w:rPr>
          <w:snapToGrid/>
        </w:rPr>
        <w:t>du</w:t>
      </w:r>
      <w:r w:rsidR="00FC39C5" w:rsidRPr="0072088E">
        <w:rPr>
          <w:snapToGrid/>
        </w:rPr>
        <w:t xml:space="preserve"> sud de l’Utah et </w:t>
      </w:r>
      <w:r w:rsidR="0038010D" w:rsidRPr="0072088E">
        <w:rPr>
          <w:snapToGrid/>
        </w:rPr>
        <w:t>du</w:t>
      </w:r>
      <w:r w:rsidR="00FC39C5" w:rsidRPr="0072088E">
        <w:rPr>
          <w:snapToGrid/>
        </w:rPr>
        <w:t xml:space="preserve"> nord-ouest du Nouveau-Mexique.</w:t>
      </w:r>
      <w:r w:rsidR="00E62F00" w:rsidRPr="0072088E">
        <w:rPr>
          <w:snapToGrid/>
        </w:rPr>
        <w:t xml:space="preserve"> L’entreprise </w:t>
      </w:r>
      <w:r w:rsidR="00E62F00" w:rsidRPr="0072088E">
        <w:rPr>
          <w:i/>
          <w:iCs/>
          <w:snapToGrid/>
        </w:rPr>
        <w:t xml:space="preserve">Urban Outfitters </w:t>
      </w:r>
      <w:r w:rsidR="00E62F00" w:rsidRPr="0072088E">
        <w:rPr>
          <w:snapToGrid/>
        </w:rPr>
        <w:t>a retiré ces produits de son site internet après avoir accusé réception de la lettre</w:t>
      </w:r>
      <w:r w:rsidR="00AC0A6B" w:rsidRPr="0072088E">
        <w:rPr>
          <w:snapToGrid/>
        </w:rPr>
        <w:t xml:space="preserve"> de cessation et d’abstention. </w:t>
      </w:r>
      <w:r w:rsidR="00AC0A6B" w:rsidRPr="00F65FCB">
        <w:rPr>
          <w:snapToGrid/>
          <w:lang w:val="en-GB"/>
        </w:rPr>
        <w:t xml:space="preserve">Cependant, la Nation navajo affirme dans le cadre du procès que d’autres </w:t>
      </w:r>
      <w:r w:rsidR="00CF1172" w:rsidRPr="00F65FCB">
        <w:rPr>
          <w:snapToGrid/>
          <w:lang w:val="en-GB"/>
        </w:rPr>
        <w:t>enseignes</w:t>
      </w:r>
      <w:r w:rsidR="005F1FC2" w:rsidRPr="00F65FCB">
        <w:rPr>
          <w:snapToGrid/>
          <w:lang w:val="en-GB"/>
        </w:rPr>
        <w:t xml:space="preserve"> telles que Free People</w:t>
      </w:r>
      <w:r w:rsidR="00E628E4" w:rsidRPr="00F65FCB">
        <w:rPr>
          <w:snapToGrid/>
          <w:lang w:val="en-GB"/>
        </w:rPr>
        <w:t xml:space="preserve"> utilisent le nom « Navajo » dans des catalogues et des magasins pour vendre leurs produits</w:t>
      </w:r>
      <w:r w:rsidR="00AC0A6B" w:rsidRPr="00F65FCB">
        <w:rPr>
          <w:snapToGrid/>
          <w:lang w:val="en-GB"/>
        </w:rPr>
        <w:t xml:space="preserve">. </w:t>
      </w:r>
      <w:r w:rsidR="002A7EBA" w:rsidRPr="00F65FCB">
        <w:rPr>
          <w:snapToGrid/>
          <w:lang w:val="en-GB"/>
        </w:rPr>
        <w:t>Le site internet de la boutique de vêtements pré</w:t>
      </w:r>
      <w:r w:rsidR="00521586" w:rsidRPr="00F65FCB">
        <w:rPr>
          <w:snapToGrid/>
          <w:lang w:val="en-GB"/>
        </w:rPr>
        <w:t xml:space="preserve">sente </w:t>
      </w:r>
      <w:r w:rsidR="00A57EF0" w:rsidRPr="00F65FCB">
        <w:rPr>
          <w:snapToGrid/>
          <w:lang w:val="en-GB"/>
        </w:rPr>
        <w:t>un ensemble de</w:t>
      </w:r>
      <w:r w:rsidR="00521586" w:rsidRPr="00F65FCB">
        <w:rPr>
          <w:snapToGrid/>
          <w:lang w:val="en-GB"/>
        </w:rPr>
        <w:t xml:space="preserve"> bijoux</w:t>
      </w:r>
      <w:r w:rsidR="00A57EF0" w:rsidRPr="00F65FCB">
        <w:rPr>
          <w:snapToGrid/>
          <w:lang w:val="en-GB"/>
        </w:rPr>
        <w:t xml:space="preserve"> en argent avec des pierres turquoise sous l’appella</w:t>
      </w:r>
      <w:r w:rsidR="009911C8" w:rsidRPr="00F65FCB">
        <w:rPr>
          <w:snapToGrid/>
          <w:lang w:val="en-GB"/>
        </w:rPr>
        <w:t>tion « </w:t>
      </w:r>
      <w:r w:rsidR="00322023" w:rsidRPr="00F65FCB">
        <w:rPr>
          <w:snapToGrid/>
          <w:lang w:val="en-GB"/>
        </w:rPr>
        <w:t xml:space="preserve">Navajo  </w:t>
      </w:r>
      <w:r w:rsidR="009911C8" w:rsidRPr="00F65FCB">
        <w:rPr>
          <w:snapToGrid/>
          <w:lang w:val="en-GB"/>
        </w:rPr>
        <w:t xml:space="preserve">vintage </w:t>
      </w:r>
      <w:r w:rsidR="00F75467" w:rsidRPr="00F65FCB">
        <w:rPr>
          <w:snapToGrid/>
          <w:lang w:val="en-GB"/>
        </w:rPr>
        <w:t>»</w:t>
      </w:r>
      <w:r w:rsidR="002B737F" w:rsidRPr="00F65FCB">
        <w:rPr>
          <w:snapToGrid/>
          <w:lang w:val="en-GB"/>
        </w:rPr>
        <w:t xml:space="preserve"> dont un</w:t>
      </w:r>
      <w:r w:rsidR="00F75467" w:rsidRPr="00F65FCB">
        <w:rPr>
          <w:snapToGrid/>
          <w:lang w:val="en-GB"/>
        </w:rPr>
        <w:t xml:space="preserve"> bracelet manchette fait main décrit </w:t>
      </w:r>
      <w:r w:rsidR="002B737F" w:rsidRPr="00F65FCB">
        <w:rPr>
          <w:snapToGrid/>
          <w:lang w:val="en-GB"/>
        </w:rPr>
        <w:t xml:space="preserve">comme ayant été autrefois vendu à un poste de traite et </w:t>
      </w:r>
      <w:r w:rsidR="00F75467" w:rsidRPr="00F65FCB">
        <w:rPr>
          <w:snapToGrid/>
          <w:lang w:val="en-GB"/>
        </w:rPr>
        <w:t>sur lequel sont gravés des flèches</w:t>
      </w:r>
      <w:r w:rsidR="00BA5739" w:rsidRPr="00F65FCB">
        <w:rPr>
          <w:snapToGrid/>
          <w:lang w:val="en-GB"/>
        </w:rPr>
        <w:t xml:space="preserve"> et est estampillé l’inscription « sterling » au dos.</w:t>
      </w:r>
    </w:p>
    <w:p w:rsidR="00080154" w:rsidRPr="00F65FCB" w:rsidRDefault="004759D1" w:rsidP="00F65FCB">
      <w:pPr>
        <w:pStyle w:val="Texte1"/>
        <w:rPr>
          <w:snapToGrid/>
          <w:lang w:val="en-GB"/>
        </w:rPr>
      </w:pPr>
      <w:r w:rsidRPr="0072088E">
        <w:rPr>
          <w:snapToGrid/>
        </w:rPr>
        <w:t xml:space="preserve">L’entreprise </w:t>
      </w:r>
      <w:r w:rsidRPr="0072088E">
        <w:rPr>
          <w:i/>
          <w:iCs/>
          <w:snapToGrid/>
        </w:rPr>
        <w:t>Urban Outfitters</w:t>
      </w:r>
      <w:r w:rsidR="002D38A3" w:rsidRPr="0072088E">
        <w:rPr>
          <w:snapToGrid/>
        </w:rPr>
        <w:t xml:space="preserve"> n’a pas immédiatement répondu aux critiques. </w:t>
      </w:r>
      <w:r w:rsidR="002D38A3" w:rsidRPr="00F65FCB">
        <w:rPr>
          <w:snapToGrid/>
          <w:lang w:val="en-GB"/>
        </w:rPr>
        <w:t>Son porte-parole, Ed Looram</w:t>
      </w:r>
      <w:r w:rsidR="004D3344" w:rsidRPr="00F65FCB">
        <w:rPr>
          <w:snapToGrid/>
          <w:lang w:val="en-GB"/>
        </w:rPr>
        <w:t>,</w:t>
      </w:r>
      <w:r w:rsidR="002D38A3" w:rsidRPr="00F65FCB">
        <w:rPr>
          <w:snapToGrid/>
          <w:lang w:val="en-GB"/>
        </w:rPr>
        <w:t xml:space="preserve"> a </w:t>
      </w:r>
      <w:r w:rsidR="005F1FC2" w:rsidRPr="00F65FCB">
        <w:rPr>
          <w:snapToGrid/>
          <w:lang w:val="en-GB"/>
        </w:rPr>
        <w:t>affirmé</w:t>
      </w:r>
      <w:r w:rsidR="002D38A3" w:rsidRPr="00F65FCB">
        <w:rPr>
          <w:snapToGrid/>
          <w:lang w:val="en-GB"/>
        </w:rPr>
        <w:t xml:space="preserve"> dans un e</w:t>
      </w:r>
      <w:r w:rsidR="005F1FC2" w:rsidRPr="00F65FCB">
        <w:rPr>
          <w:snapToGrid/>
          <w:lang w:val="en-GB"/>
        </w:rPr>
        <w:t>-</w:t>
      </w:r>
      <w:r w:rsidR="002D38A3" w:rsidRPr="00F65FCB">
        <w:rPr>
          <w:snapToGrid/>
          <w:lang w:val="en-GB"/>
        </w:rPr>
        <w:t xml:space="preserve">mail en octobre dernier que la marque </w:t>
      </w:r>
      <w:r w:rsidR="002D38A3" w:rsidRPr="00F65FCB">
        <w:rPr>
          <w:i/>
          <w:iCs/>
          <w:snapToGrid/>
          <w:lang w:val="en-GB"/>
        </w:rPr>
        <w:t xml:space="preserve">Urban Outfitters </w:t>
      </w:r>
      <w:r w:rsidR="007B34B2" w:rsidRPr="00F65FCB">
        <w:rPr>
          <w:snapToGrid/>
          <w:lang w:val="en-GB"/>
        </w:rPr>
        <w:t>n’avait pas l’intention de modifier ses produits</w:t>
      </w:r>
      <w:r w:rsidR="002A5188" w:rsidRPr="00F65FCB">
        <w:rPr>
          <w:snapToGrid/>
          <w:lang w:val="en-GB"/>
        </w:rPr>
        <w:t xml:space="preserve"> car</w:t>
      </w:r>
      <w:r w:rsidR="006C44AA" w:rsidRPr="00F65FCB">
        <w:rPr>
          <w:snapToGrid/>
          <w:lang w:val="en-GB"/>
        </w:rPr>
        <w:t xml:space="preserve"> « comme beaucoup d’autres marques de mode, nous interprétons les tendances et nous continuerons de le faire </w:t>
      </w:r>
      <w:r w:rsidR="00A441AD" w:rsidRPr="00F65FCB">
        <w:rPr>
          <w:snapToGrid/>
          <w:lang w:val="en-GB"/>
        </w:rPr>
        <w:t>pour</w:t>
      </w:r>
      <w:r w:rsidR="007B34B2" w:rsidRPr="00F65FCB">
        <w:rPr>
          <w:snapToGrid/>
          <w:lang w:val="en-GB"/>
        </w:rPr>
        <w:t xml:space="preserve"> les années à venir</w:t>
      </w:r>
      <w:r w:rsidR="002A5188" w:rsidRPr="00F65FCB">
        <w:rPr>
          <w:snapToGrid/>
          <w:lang w:val="en-GB"/>
        </w:rPr>
        <w:t xml:space="preserve"> », a-t-il </w:t>
      </w:r>
      <w:r w:rsidR="005F1FC2" w:rsidRPr="00F65FCB">
        <w:rPr>
          <w:snapToGrid/>
          <w:lang w:val="en-GB"/>
        </w:rPr>
        <w:t>déclaré</w:t>
      </w:r>
      <w:r w:rsidR="002A5188" w:rsidRPr="00F65FCB">
        <w:rPr>
          <w:snapToGrid/>
          <w:lang w:val="en-GB"/>
        </w:rPr>
        <w:t>.</w:t>
      </w:r>
      <w:r w:rsidR="005F1FC2" w:rsidRPr="00F65FCB">
        <w:rPr>
          <w:snapToGrid/>
          <w:lang w:val="en-GB"/>
        </w:rPr>
        <w:t xml:space="preserve"> Il </w:t>
      </w:r>
      <w:r w:rsidR="004D3344" w:rsidRPr="00F65FCB">
        <w:rPr>
          <w:snapToGrid/>
          <w:lang w:val="en-GB"/>
        </w:rPr>
        <w:t>ajoute que « Le style amérindien et le terme « Navajo »</w:t>
      </w:r>
      <w:r w:rsidR="00945D2C" w:rsidRPr="00F65FCB">
        <w:rPr>
          <w:snapToGrid/>
          <w:lang w:val="en-GB"/>
        </w:rPr>
        <w:t xml:space="preserve"> en particulier</w:t>
      </w:r>
      <w:r w:rsidR="004D3344" w:rsidRPr="00F65FCB">
        <w:rPr>
          <w:snapToGrid/>
          <w:lang w:val="en-GB"/>
        </w:rPr>
        <w:t xml:space="preserve"> n’ont</w:t>
      </w:r>
      <w:r w:rsidR="00945D2C" w:rsidRPr="00F65FCB">
        <w:rPr>
          <w:snapToGrid/>
          <w:lang w:val="en-GB"/>
        </w:rPr>
        <w:t xml:space="preserve"> cessé</w:t>
      </w:r>
      <w:r w:rsidR="004D3344" w:rsidRPr="00F65FCB">
        <w:rPr>
          <w:snapToGrid/>
          <w:lang w:val="en-GB"/>
        </w:rPr>
        <w:t xml:space="preserve"> </w:t>
      </w:r>
      <w:r w:rsidR="00462CA7" w:rsidRPr="00F65FCB">
        <w:rPr>
          <w:snapToGrid/>
          <w:lang w:val="en-GB"/>
        </w:rPr>
        <w:t>d’être utilisés à travers</w:t>
      </w:r>
      <w:r w:rsidR="0029095D" w:rsidRPr="00F65FCB">
        <w:rPr>
          <w:snapToGrid/>
          <w:lang w:val="en-GB"/>
        </w:rPr>
        <w:t xml:space="preserve"> la mode, </w:t>
      </w:r>
      <w:r w:rsidR="00462CA7" w:rsidRPr="00F65FCB">
        <w:rPr>
          <w:snapToGrid/>
          <w:lang w:val="en-GB"/>
        </w:rPr>
        <w:t xml:space="preserve">les beaux-arts et le design au cours des dernières années ». </w:t>
      </w:r>
      <w:r w:rsidR="00F875CA" w:rsidRPr="00F65FCB">
        <w:rPr>
          <w:snapToGrid/>
          <w:lang w:val="en-GB"/>
        </w:rPr>
        <w:t>Il a ensuite refusé de répondre à d’autres questions affirmant que l’affaire est</w:t>
      </w:r>
      <w:r w:rsidR="004A1F0D" w:rsidRPr="00F65FCB">
        <w:rPr>
          <w:snapToGrid/>
          <w:lang w:val="en-GB"/>
        </w:rPr>
        <w:t xml:space="preserve"> dans les mains de leur avocat.</w:t>
      </w:r>
    </w:p>
    <w:p w:rsidR="0029095D" w:rsidRPr="00F65FCB" w:rsidRDefault="00DD582F" w:rsidP="00F65FCB">
      <w:pPr>
        <w:pStyle w:val="Texte1"/>
        <w:rPr>
          <w:snapToGrid/>
          <w:lang w:val="en-GB"/>
        </w:rPr>
      </w:pPr>
      <w:r w:rsidRPr="00F65FCB">
        <w:rPr>
          <w:snapToGrid/>
          <w:lang w:val="en-GB"/>
        </w:rPr>
        <w:lastRenderedPageBreak/>
        <w:t>L</w:t>
      </w:r>
      <w:r w:rsidR="00DE0FF4" w:rsidRPr="00F65FCB">
        <w:rPr>
          <w:snapToGrid/>
          <w:lang w:val="en-GB"/>
        </w:rPr>
        <w:t>’année dernière, l</w:t>
      </w:r>
      <w:r w:rsidRPr="00F65FCB">
        <w:rPr>
          <w:snapToGrid/>
          <w:lang w:val="en-GB"/>
        </w:rPr>
        <w:t>a Na</w:t>
      </w:r>
      <w:r w:rsidR="009911C8" w:rsidRPr="00F65FCB">
        <w:rPr>
          <w:snapToGrid/>
          <w:lang w:val="en-GB"/>
        </w:rPr>
        <w:t xml:space="preserve">tion navajo a réussi à forcer l’annulation de la marque </w:t>
      </w:r>
      <w:r w:rsidR="00DE0FF4" w:rsidRPr="00F65FCB">
        <w:rPr>
          <w:snapToGrid/>
          <w:lang w:val="en-GB"/>
        </w:rPr>
        <w:t xml:space="preserve">« Navaho » </w:t>
      </w:r>
      <w:r w:rsidR="00BB615D" w:rsidRPr="00F65FCB">
        <w:rPr>
          <w:snapToGrid/>
          <w:lang w:val="en-GB"/>
        </w:rPr>
        <w:t>utilisée par</w:t>
      </w:r>
      <w:r w:rsidR="00DE0FF4" w:rsidRPr="00F65FCB">
        <w:rPr>
          <w:snapToGrid/>
          <w:lang w:val="en-GB"/>
        </w:rPr>
        <w:t xml:space="preserve"> une entreprise française qui faisait des affaires aux États-Unis</w:t>
      </w:r>
      <w:r w:rsidR="00074608" w:rsidRPr="00F65FCB">
        <w:rPr>
          <w:snapToGrid/>
          <w:lang w:val="en-GB"/>
        </w:rPr>
        <w:t xml:space="preserve">. La tribu a mis en avant le fait que le nom « Navaho » </w:t>
      </w:r>
      <w:r w:rsidR="00662931" w:rsidRPr="00F65FCB">
        <w:rPr>
          <w:snapToGrid/>
          <w:lang w:val="en-GB"/>
        </w:rPr>
        <w:t>se prononce de la même façon que le nom</w:t>
      </w:r>
      <w:r w:rsidR="00074608" w:rsidRPr="00F65FCB">
        <w:rPr>
          <w:snapToGrid/>
          <w:lang w:val="en-GB"/>
        </w:rPr>
        <w:t xml:space="preserve"> « Navajo »</w:t>
      </w:r>
      <w:r w:rsidR="00662931" w:rsidRPr="00F65FCB">
        <w:rPr>
          <w:snapToGrid/>
          <w:lang w:val="en-GB"/>
        </w:rPr>
        <w:t xml:space="preserve"> </w:t>
      </w:r>
      <w:r w:rsidR="005F1FC2" w:rsidRPr="00F65FCB">
        <w:rPr>
          <w:snapToGrid/>
          <w:lang w:val="en-GB"/>
        </w:rPr>
        <w:t>ce qui a pour conséquence</w:t>
      </w:r>
      <w:r w:rsidR="00662931" w:rsidRPr="00F65FCB">
        <w:rPr>
          <w:snapToGrid/>
          <w:lang w:val="en-GB"/>
        </w:rPr>
        <w:t xml:space="preserve"> une violation des droits de la marque.</w:t>
      </w:r>
      <w:r w:rsidR="004569A1" w:rsidRPr="00F65FCB">
        <w:rPr>
          <w:snapToGrid/>
          <w:lang w:val="en-GB"/>
        </w:rPr>
        <w:t xml:space="preserve"> La Nation navajo accorde </w:t>
      </w:r>
      <w:r w:rsidR="001B25E5" w:rsidRPr="00F65FCB">
        <w:rPr>
          <w:snapToGrid/>
          <w:lang w:val="en-GB"/>
        </w:rPr>
        <w:t>un contrat de</w:t>
      </w:r>
      <w:r w:rsidR="004569A1" w:rsidRPr="00F65FCB">
        <w:rPr>
          <w:snapToGrid/>
          <w:lang w:val="en-GB"/>
        </w:rPr>
        <w:t xml:space="preserve"> licence de marque à certaines entreprises en échange d’</w:t>
      </w:r>
      <w:r w:rsidR="001B25E5" w:rsidRPr="00F65FCB">
        <w:rPr>
          <w:snapToGrid/>
          <w:lang w:val="en-GB"/>
        </w:rPr>
        <w:t>une partie de leur chiffre d’affaires</w:t>
      </w:r>
      <w:r w:rsidR="00DB3900" w:rsidRPr="00F65FCB">
        <w:rPr>
          <w:snapToGrid/>
          <w:lang w:val="en-GB"/>
        </w:rPr>
        <w:t>. Une vingtaine d’entreprises sont suspectées de violation des droits rattachés à la marque Navajo.</w:t>
      </w:r>
    </w:p>
    <w:sectPr w:rsidR="0029095D" w:rsidRPr="00F65FCB" w:rsidSect="00CA789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14" w:rsidRDefault="00382F14" w:rsidP="008D1894">
      <w:pPr>
        <w:spacing w:after="0" w:line="240" w:lineRule="auto"/>
      </w:pPr>
      <w:r>
        <w:separator/>
      </w:r>
    </w:p>
  </w:endnote>
  <w:endnote w:type="continuationSeparator" w:id="0">
    <w:p w:rsidR="00382F14" w:rsidRDefault="00382F14" w:rsidP="008D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9" w:rsidRPr="00CA7899" w:rsidRDefault="001716C6" w:rsidP="00552826">
    <w:pPr>
      <w:tabs>
        <w:tab w:val="center" w:pos="4423"/>
        <w:tab w:val="right" w:pos="9000"/>
      </w:tabs>
      <w:spacing w:after="0" w:line="240" w:lineRule="exact"/>
      <w:rPr>
        <w:rFonts w:eastAsia="Calibri" w:cs="Times New Roman"/>
        <w:sz w:val="16"/>
        <w:lang w:val="it-IT"/>
      </w:rPr>
    </w:pPr>
    <w:r w:rsidRPr="006021AD">
      <w:rPr>
        <w:noProof/>
        <w:lang w:eastAsia="fr-FR"/>
      </w:rPr>
      <w:drawing>
        <wp:anchor distT="0" distB="0" distL="114300" distR="114300" simplePos="0" relativeHeight="251678720" behindDoc="0" locked="0" layoutInCell="1" allowOverlap="1" wp14:anchorId="69ECAD5E" wp14:editId="37C3E0BE">
          <wp:simplePos x="0" y="0"/>
          <wp:positionH relativeFrom="column">
            <wp:posOffset>2462530</wp:posOffset>
          </wp:positionH>
          <wp:positionV relativeFrom="paragraph">
            <wp:posOffset>4445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52826">
      <w:rPr>
        <w:rFonts w:eastAsia="Calibri" w:cs="Times New Roman"/>
        <w:noProof/>
        <w:sz w:val="16"/>
        <w:lang w:eastAsia="fr-FR"/>
      </w:rPr>
      <w:drawing>
        <wp:anchor distT="0" distB="0" distL="114300" distR="114300" simplePos="0" relativeHeight="251666432" behindDoc="0" locked="0" layoutInCell="1" allowOverlap="1" wp14:anchorId="7F7F170C" wp14:editId="49A4302E">
          <wp:simplePos x="0" y="0"/>
          <wp:positionH relativeFrom="column">
            <wp:posOffset>-1270</wp:posOffset>
          </wp:positionH>
          <wp:positionV relativeFrom="paragraph">
            <wp:posOffset>-277495</wp:posOffset>
          </wp:positionV>
          <wp:extent cx="927735" cy="6965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735" cy="696595"/>
                  </a:xfrm>
                  <a:prstGeom prst="rect">
                    <a:avLst/>
                  </a:prstGeom>
                </pic:spPr>
              </pic:pic>
            </a:graphicData>
          </a:graphic>
          <wp14:sizeRelH relativeFrom="page">
            <wp14:pctWidth>0</wp14:pctWidth>
          </wp14:sizeRelH>
          <wp14:sizeRelV relativeFrom="page">
            <wp14:pctHeight>0</wp14:pctHeight>
          </wp14:sizeRelV>
        </wp:anchor>
      </w:drawing>
    </w:r>
    <w:r w:rsidR="00CA7899" w:rsidRPr="00CA7899">
      <w:rPr>
        <w:rFonts w:eastAsia="Calibri" w:cs="Times New Roman"/>
        <w:sz w:val="16"/>
        <w:lang w:val="it-IT"/>
      </w:rPr>
      <w:tab/>
    </w:r>
    <w:r w:rsidR="00CA7899" w:rsidRPr="00CA7899">
      <w:rPr>
        <w:rFonts w:eastAsia="Calibri" w:cs="Times New Roman"/>
        <w:sz w:val="16"/>
        <w:lang w:val="it-IT"/>
      </w:rPr>
      <w:tab/>
      <w:t>U055-v1.</w:t>
    </w:r>
    <w:proofErr w:type="gramStart"/>
    <w:r w:rsidR="00CA7899" w:rsidRPr="00CA7899">
      <w:rPr>
        <w:rFonts w:eastAsia="Calibri" w:cs="Times New Roman"/>
        <w:sz w:val="16"/>
        <w:lang w:val="it-IT"/>
      </w:rPr>
      <w:t>0-HO4</w:t>
    </w:r>
    <w:r w:rsidR="00F65FCB">
      <w:rPr>
        <w:rFonts w:eastAsia="Calibri" w:cs="Times New Roman"/>
        <w:sz w:val="16"/>
        <w:lang w:val="it-IT"/>
      </w:rPr>
      <w:t>-FR</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56" w:rsidRPr="00CA7899" w:rsidRDefault="001716C6" w:rsidP="00552826">
    <w:pPr>
      <w:tabs>
        <w:tab w:val="left" w:pos="2880"/>
        <w:tab w:val="center" w:pos="4423"/>
        <w:tab w:val="right" w:pos="9000"/>
      </w:tabs>
      <w:spacing w:after="0" w:line="240" w:lineRule="exact"/>
      <w:rPr>
        <w:rFonts w:eastAsia="Calibri" w:cs="Times New Roman"/>
        <w:sz w:val="16"/>
        <w:lang w:val="it-IT"/>
      </w:rPr>
    </w:pPr>
    <w:r w:rsidRPr="006021AD">
      <w:rPr>
        <w:noProof/>
        <w:lang w:eastAsia="fr-FR"/>
      </w:rPr>
      <w:drawing>
        <wp:anchor distT="0" distB="0" distL="114300" distR="114300" simplePos="0" relativeHeight="251680768" behindDoc="0" locked="0" layoutInCell="1" allowOverlap="1" wp14:anchorId="69ECAD5E" wp14:editId="37C3E0BE">
          <wp:simplePos x="0" y="0"/>
          <wp:positionH relativeFrom="column">
            <wp:posOffset>2376805</wp:posOffset>
          </wp:positionH>
          <wp:positionV relativeFrom="paragraph">
            <wp:posOffset>-14605</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52826">
      <w:rPr>
        <w:rFonts w:eastAsia="Calibri" w:cs="Times New Roman"/>
        <w:noProof/>
        <w:sz w:val="16"/>
        <w:lang w:eastAsia="fr-FR"/>
      </w:rPr>
      <w:drawing>
        <wp:anchor distT="0" distB="0" distL="114300" distR="114300" simplePos="0" relativeHeight="251668480" behindDoc="0" locked="0" layoutInCell="1" allowOverlap="1" wp14:anchorId="7B4038A2" wp14:editId="69C9996F">
          <wp:simplePos x="0" y="0"/>
          <wp:positionH relativeFrom="column">
            <wp:posOffset>4832985</wp:posOffset>
          </wp:positionH>
          <wp:positionV relativeFrom="paragraph">
            <wp:posOffset>-277495</wp:posOffset>
          </wp:positionV>
          <wp:extent cx="927735" cy="696595"/>
          <wp:effectExtent l="0" t="0" r="571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735" cy="696595"/>
                  </a:xfrm>
                  <a:prstGeom prst="rect">
                    <a:avLst/>
                  </a:prstGeom>
                </pic:spPr>
              </pic:pic>
            </a:graphicData>
          </a:graphic>
          <wp14:sizeRelH relativeFrom="page">
            <wp14:pctWidth>0</wp14:pctWidth>
          </wp14:sizeRelH>
          <wp14:sizeRelV relativeFrom="page">
            <wp14:pctHeight>0</wp14:pctHeight>
          </wp14:sizeRelV>
        </wp:anchor>
      </w:drawing>
    </w:r>
    <w:r w:rsidR="00CA7899" w:rsidRPr="00CA7899">
      <w:rPr>
        <w:rFonts w:eastAsia="Calibri" w:cs="Times New Roman"/>
        <w:sz w:val="16"/>
        <w:lang w:val="it-IT"/>
      </w:rPr>
      <w:t>U055-v1.</w:t>
    </w:r>
    <w:proofErr w:type="gramStart"/>
    <w:r w:rsidR="00CA7899" w:rsidRPr="00CA7899">
      <w:rPr>
        <w:rFonts w:eastAsia="Calibri" w:cs="Times New Roman"/>
        <w:sz w:val="16"/>
        <w:lang w:val="it-IT"/>
      </w:rPr>
      <w:t>0-HO4</w:t>
    </w:r>
    <w:r w:rsidR="00F65FCB">
      <w:rPr>
        <w:rFonts w:eastAsia="Calibri" w:cs="Times New Roman"/>
        <w:sz w:val="16"/>
        <w:lang w:val="it-IT"/>
      </w:rPr>
      <w:t>-FR</w:t>
    </w:r>
    <w:proofErr w:type="gramEnd"/>
    <w:r w:rsidR="00CA7899" w:rsidRPr="00CA7899">
      <w:rPr>
        <w:rFonts w:eastAsia="Calibri" w:cs="Times New Roman"/>
        <w:sz w:val="16"/>
        <w:lang w:val="it-IT"/>
      </w:rPr>
      <w:tab/>
    </w:r>
    <w:r w:rsidR="0072088E">
      <w:rPr>
        <w:rFonts w:eastAsia="Calibri" w:cs="Times New Roman"/>
        <w:sz w:val="16"/>
        <w:lang w:val="it-IT"/>
      </w:rPr>
      <w:tab/>
    </w:r>
    <w:r w:rsidR="00CA7899" w:rsidRPr="00CA7899">
      <w:rPr>
        <w:rFonts w:eastAsia="Calibri" w:cs="Times New Roman"/>
        <w:sz w:val="16"/>
        <w:lang w:val="it-IT"/>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9" w:rsidRPr="00CA7899" w:rsidRDefault="001716C6" w:rsidP="00F65FCB">
    <w:pPr>
      <w:tabs>
        <w:tab w:val="left" w:pos="2880"/>
        <w:tab w:val="center" w:pos="4860"/>
        <w:tab w:val="right" w:pos="8845"/>
      </w:tabs>
      <w:spacing w:after="0" w:line="240" w:lineRule="exact"/>
      <w:rPr>
        <w:rFonts w:eastAsia="Calibri" w:cs="Times New Roman"/>
        <w:sz w:val="16"/>
        <w:lang w:val="it-IT"/>
      </w:rPr>
    </w:pPr>
    <w:r w:rsidRPr="006021AD">
      <w:rPr>
        <w:noProof/>
        <w:lang w:eastAsia="fr-FR"/>
      </w:rPr>
      <w:drawing>
        <wp:anchor distT="0" distB="0" distL="114300" distR="114300" simplePos="0" relativeHeight="251676672" behindDoc="0" locked="0" layoutInCell="1" allowOverlap="1" wp14:anchorId="69ECAD5E" wp14:editId="37C3E0BE">
          <wp:simplePos x="0" y="0"/>
          <wp:positionH relativeFrom="column">
            <wp:posOffset>2500630</wp:posOffset>
          </wp:positionH>
          <wp:positionV relativeFrom="paragraph">
            <wp:posOffset>-24130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52826">
      <w:rPr>
        <w:rFonts w:eastAsia="Calibri" w:cs="Times New Roman"/>
        <w:noProof/>
        <w:sz w:val="16"/>
        <w:lang w:eastAsia="fr-FR"/>
      </w:rPr>
      <w:drawing>
        <wp:anchor distT="0" distB="0" distL="114300" distR="114300" simplePos="0" relativeHeight="251664384" behindDoc="0" locked="0" layoutInCell="1" allowOverlap="1" wp14:anchorId="4C41AAE1" wp14:editId="0E456796">
          <wp:simplePos x="0" y="0"/>
          <wp:positionH relativeFrom="column">
            <wp:posOffset>4680585</wp:posOffset>
          </wp:positionH>
          <wp:positionV relativeFrom="paragraph">
            <wp:posOffset>-272415</wp:posOffset>
          </wp:positionV>
          <wp:extent cx="927735" cy="696595"/>
          <wp:effectExtent l="0" t="0" r="571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735" cy="696595"/>
                  </a:xfrm>
                  <a:prstGeom prst="rect">
                    <a:avLst/>
                  </a:prstGeom>
                </pic:spPr>
              </pic:pic>
            </a:graphicData>
          </a:graphic>
          <wp14:sizeRelH relativeFrom="page">
            <wp14:pctWidth>0</wp14:pctWidth>
          </wp14:sizeRelH>
          <wp14:sizeRelV relativeFrom="page">
            <wp14:pctHeight>0</wp14:pctHeight>
          </wp14:sizeRelV>
        </wp:anchor>
      </w:drawing>
    </w:r>
    <w:r w:rsidR="00CA7899" w:rsidRPr="00CA7899">
      <w:rPr>
        <w:rFonts w:eastAsia="Calibri" w:cs="Times New Roman"/>
        <w:sz w:val="16"/>
        <w:lang w:val="it-IT"/>
      </w:rPr>
      <w:t>U055-v1.</w:t>
    </w:r>
    <w:proofErr w:type="gramStart"/>
    <w:r w:rsidR="00CA7899" w:rsidRPr="00CA7899">
      <w:rPr>
        <w:rFonts w:eastAsia="Calibri" w:cs="Times New Roman"/>
        <w:sz w:val="16"/>
        <w:lang w:val="it-IT"/>
      </w:rPr>
      <w:t>0-HO4</w:t>
    </w:r>
    <w:r w:rsidR="00F65FCB">
      <w:rPr>
        <w:rFonts w:eastAsia="Calibri" w:cs="Times New Roman"/>
        <w:sz w:val="16"/>
        <w:lang w:val="it-IT"/>
      </w:rPr>
      <w:t>-FR</w:t>
    </w:r>
    <w:proofErr w:type="gramEnd"/>
    <w:r w:rsidR="00CA7899" w:rsidRPr="00CA7899">
      <w:rPr>
        <w:rFonts w:eastAsia="Calibri" w:cs="Times New Roman"/>
        <w:sz w:val="16"/>
        <w:lang w:val="it-IT"/>
      </w:rPr>
      <w:tab/>
    </w:r>
    <w:r w:rsidR="0072088E">
      <w:rPr>
        <w:rFonts w:eastAsia="Calibri" w:cs="Times New Roman"/>
        <w:sz w:val="16"/>
        <w:lang w:val="it-IT"/>
      </w:rPr>
      <w:tab/>
    </w:r>
    <w:r w:rsidR="00CA7899" w:rsidRPr="00CA7899">
      <w:rPr>
        <w:rFonts w:eastAsia="Calibri" w:cs="Times New Roman"/>
        <w:sz w:val="16"/>
        <w:lang w:val="it-I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14" w:rsidRDefault="00382F14" w:rsidP="008D1894">
      <w:pPr>
        <w:spacing w:after="0" w:line="240" w:lineRule="auto"/>
      </w:pPr>
      <w:r>
        <w:separator/>
      </w:r>
    </w:p>
  </w:footnote>
  <w:footnote w:type="continuationSeparator" w:id="0">
    <w:p w:rsidR="00382F14" w:rsidRDefault="00382F14" w:rsidP="008D1894">
      <w:pPr>
        <w:spacing w:after="0" w:line="240" w:lineRule="auto"/>
      </w:pPr>
      <w:r>
        <w:continuationSeparator/>
      </w:r>
    </w:p>
  </w:footnote>
  <w:footnote w:id="1">
    <w:p w:rsidR="008D1894" w:rsidRPr="008560B8" w:rsidRDefault="008D1894" w:rsidP="00CA7899">
      <w:pPr>
        <w:pStyle w:val="FootnoteText"/>
        <w:widowControl/>
        <w:tabs>
          <w:tab w:val="left" w:pos="284"/>
        </w:tabs>
        <w:ind w:left="284" w:hanging="284"/>
        <w:contextualSpacing w:val="0"/>
        <w:jc w:val="left"/>
      </w:pPr>
      <w:r w:rsidRPr="00CA7899">
        <w:rPr>
          <w:rStyle w:val="FootnoteReference"/>
          <w:snapToGrid/>
          <w:sz w:val="16"/>
          <w:szCs w:val="20"/>
          <w:vertAlign w:val="baseline"/>
          <w:lang w:val="en-GB"/>
        </w:rPr>
        <w:footnoteRef/>
      </w:r>
      <w:r w:rsidR="008560B8" w:rsidRPr="00CA7899">
        <w:rPr>
          <w:rStyle w:val="FootnoteReference"/>
          <w:snapToGrid/>
          <w:sz w:val="16"/>
          <w:szCs w:val="20"/>
          <w:vertAlign w:val="baseline"/>
          <w:lang w:val="en-GB"/>
        </w:rPr>
        <w:t>.</w:t>
      </w:r>
      <w:r w:rsidR="008560B8" w:rsidRPr="00CA7899">
        <w:rPr>
          <w:rStyle w:val="FootnoteReference"/>
          <w:snapToGrid/>
          <w:sz w:val="16"/>
          <w:szCs w:val="20"/>
          <w:vertAlign w:val="baseline"/>
          <w:lang w:val="en-GB"/>
        </w:rPr>
        <w:tab/>
      </w:r>
      <w:r w:rsidRPr="00CA7899">
        <w:rPr>
          <w:rStyle w:val="FootnoteReference"/>
          <w:snapToGrid/>
          <w:sz w:val="16"/>
          <w:szCs w:val="20"/>
          <w:vertAlign w:val="baseline"/>
          <w:lang w:val="en-GB"/>
        </w:rPr>
        <w:t>Texte adapté pour l’atelier de l’UNESCO à partir de l’article ‘Implementation of the IGAD Sustainable Tourism Master Plan starts in Ethiopia’ Addis Ababa, 29-31st July 2014 [</w:t>
      </w:r>
      <w:r w:rsidR="002002B2" w:rsidRPr="00CA7899">
        <w:rPr>
          <w:rStyle w:val="FootnoteReference"/>
          <w:snapToGrid/>
          <w:sz w:val="16"/>
          <w:szCs w:val="20"/>
          <w:vertAlign w:val="baseline"/>
          <w:lang w:val="en-GB"/>
        </w:rPr>
        <w:t>« Début de l</w:t>
      </w:r>
      <w:r w:rsidRPr="00CA7899">
        <w:rPr>
          <w:rStyle w:val="FootnoteReference"/>
          <w:snapToGrid/>
          <w:sz w:val="16"/>
          <w:szCs w:val="20"/>
          <w:vertAlign w:val="baseline"/>
          <w:lang w:val="en-GB"/>
        </w:rPr>
        <w:t xml:space="preserve">a mise en œuvre du Plan directeur de l'Autorité intergouvernementale </w:t>
      </w:r>
      <w:r w:rsidR="003E7324" w:rsidRPr="00CA7899">
        <w:rPr>
          <w:rStyle w:val="FootnoteReference"/>
          <w:snapToGrid/>
          <w:sz w:val="16"/>
          <w:szCs w:val="20"/>
          <w:vertAlign w:val="baseline"/>
          <w:lang w:val="en-GB"/>
        </w:rPr>
        <w:t>pour</w:t>
      </w:r>
      <w:r w:rsidRPr="00CA7899">
        <w:rPr>
          <w:rStyle w:val="FootnoteReference"/>
          <w:snapToGrid/>
          <w:sz w:val="16"/>
          <w:szCs w:val="20"/>
          <w:vertAlign w:val="baseline"/>
          <w:lang w:val="en-GB"/>
        </w:rPr>
        <w:t xml:space="preserve"> le développement (IGAD) pour un tourisme durable </w:t>
      </w:r>
      <w:r w:rsidR="002002B2" w:rsidRPr="00CA7899">
        <w:rPr>
          <w:rStyle w:val="FootnoteReference"/>
          <w:snapToGrid/>
          <w:sz w:val="16"/>
          <w:szCs w:val="20"/>
          <w:vertAlign w:val="baseline"/>
          <w:lang w:val="en-GB"/>
        </w:rPr>
        <w:t xml:space="preserve">en Éthiopie », </w:t>
      </w:r>
      <w:r w:rsidR="008E2934" w:rsidRPr="00CA7899">
        <w:rPr>
          <w:rStyle w:val="FootnoteReference"/>
          <w:snapToGrid/>
          <w:sz w:val="16"/>
          <w:szCs w:val="20"/>
          <w:vertAlign w:val="baseline"/>
          <w:lang w:val="en-GB"/>
        </w:rPr>
        <w:t xml:space="preserve">Addis-Abeba, </w:t>
      </w:r>
      <w:r w:rsidR="002002B2" w:rsidRPr="00CA7899">
        <w:rPr>
          <w:rStyle w:val="FootnoteReference"/>
          <w:snapToGrid/>
          <w:sz w:val="16"/>
          <w:szCs w:val="20"/>
          <w:vertAlign w:val="baseline"/>
          <w:lang w:val="en-GB"/>
        </w:rPr>
        <w:t>29-31 juillet 2014]</w:t>
      </w:r>
      <w:r w:rsidR="003719FE" w:rsidRPr="00CA7899">
        <w:rPr>
          <w:rStyle w:val="FootnoteReference"/>
          <w:snapToGrid/>
          <w:sz w:val="16"/>
          <w:szCs w:val="20"/>
          <w:vertAlign w:val="baseline"/>
          <w:lang w:val="en-GB"/>
        </w:rPr>
        <w:t xml:space="preserve"> </w:t>
      </w:r>
      <w:hyperlink r:id="rId1" w:history="1">
        <w:r w:rsidR="00D6107C" w:rsidRPr="00CA7899">
          <w:rPr>
            <w:rStyle w:val="FootnoteReference"/>
            <w:snapToGrid/>
            <w:sz w:val="16"/>
            <w:szCs w:val="20"/>
            <w:vertAlign w:val="baseline"/>
            <w:lang w:val="en-GB"/>
          </w:rPr>
          <w:t>http://igad.int/index.php?option=com_content&amp;view=article&amp;id=924:implementation-of-the-igad-sustainable-tourism-master-plan-starts-in-ethiopia&amp;catid=44:economic-cooperation&amp;Itemid=127</w:t>
        </w:r>
      </w:hyperlink>
      <w:r w:rsidR="00D6107C" w:rsidRPr="00CA7899">
        <w:rPr>
          <w:rStyle w:val="FootnoteReference"/>
          <w:snapToGrid/>
          <w:sz w:val="16"/>
          <w:szCs w:val="20"/>
          <w:vertAlign w:val="baseline"/>
          <w:lang w:val="en-GB"/>
        </w:rPr>
        <w:t xml:space="preserve"> (en anglais)</w:t>
      </w:r>
    </w:p>
  </w:footnote>
  <w:footnote w:id="2">
    <w:p w:rsidR="00B00EDC" w:rsidRPr="001E01B9" w:rsidRDefault="00B00EDC" w:rsidP="00CA7899">
      <w:pPr>
        <w:pStyle w:val="FootnoteText"/>
        <w:widowControl/>
        <w:tabs>
          <w:tab w:val="left" w:pos="284"/>
        </w:tabs>
        <w:ind w:left="284" w:hanging="284"/>
        <w:contextualSpacing w:val="0"/>
      </w:pPr>
      <w:r w:rsidRPr="00CA7899">
        <w:rPr>
          <w:rStyle w:val="FootnoteReference"/>
          <w:snapToGrid/>
          <w:sz w:val="16"/>
          <w:szCs w:val="20"/>
          <w:vertAlign w:val="baseline"/>
          <w:lang w:val="en-GB"/>
        </w:rPr>
        <w:footnoteRef/>
      </w:r>
      <w:r w:rsidR="001E01B9" w:rsidRPr="00CA7899">
        <w:rPr>
          <w:rStyle w:val="FootnoteReference"/>
          <w:snapToGrid/>
          <w:sz w:val="16"/>
          <w:szCs w:val="20"/>
          <w:vertAlign w:val="baseline"/>
          <w:lang w:val="en-GB"/>
        </w:rPr>
        <w:t>.</w:t>
      </w:r>
      <w:r w:rsidR="001E01B9" w:rsidRPr="00CA7899">
        <w:rPr>
          <w:rStyle w:val="FootnoteReference"/>
          <w:snapToGrid/>
          <w:sz w:val="16"/>
          <w:szCs w:val="20"/>
          <w:vertAlign w:val="baseline"/>
          <w:lang w:val="en-GB"/>
        </w:rPr>
        <w:tab/>
      </w:r>
      <w:r w:rsidR="00D6107C" w:rsidRPr="00CA7899">
        <w:rPr>
          <w:rStyle w:val="FootnoteReference"/>
          <w:snapToGrid/>
          <w:sz w:val="16"/>
          <w:szCs w:val="20"/>
          <w:vertAlign w:val="baseline"/>
          <w:lang w:val="en-GB"/>
        </w:rPr>
        <w:t xml:space="preserve">Texte adapté à partir </w:t>
      </w:r>
      <w:r w:rsidR="003719FE" w:rsidRPr="00CA7899">
        <w:rPr>
          <w:rStyle w:val="FootnoteReference"/>
          <w:snapToGrid/>
          <w:sz w:val="16"/>
          <w:szCs w:val="20"/>
          <w:vertAlign w:val="baseline"/>
          <w:lang w:val="en-GB"/>
        </w:rPr>
        <w:t xml:space="preserve">de l’article de Sithuthukile Mkhize : ‘A Victory for the Rights of Women in Rural South Africa’ May 7, 2014 [« Une victoire pour les droits de la femme dans les zones rurales d’Afrique du Sud », 7 mai 2014]  </w:t>
      </w:r>
      <w:hyperlink r:id="rId2" w:history="1">
        <w:r w:rsidR="003719FE" w:rsidRPr="00CA7899">
          <w:rPr>
            <w:rStyle w:val="FootnoteReference"/>
            <w:snapToGrid/>
            <w:sz w:val="16"/>
            <w:szCs w:val="20"/>
            <w:vertAlign w:val="baseline"/>
            <w:lang w:val="en-GB"/>
          </w:rPr>
          <w:t>http://www.opensocietyfoundations.org/voices/victory-rights-women-rural-south-africa</w:t>
        </w:r>
      </w:hyperlink>
      <w:r w:rsidR="003719FE" w:rsidRPr="00CA7899">
        <w:rPr>
          <w:rStyle w:val="FootnoteReference"/>
          <w:snapToGrid/>
          <w:sz w:val="16"/>
          <w:szCs w:val="20"/>
          <w:vertAlign w:val="baseline"/>
          <w:lang w:val="en-GB"/>
        </w:rPr>
        <w:t xml:space="preserve"> (en anglais)</w:t>
      </w:r>
    </w:p>
  </w:footnote>
  <w:footnote w:id="3">
    <w:p w:rsidR="00477F4A" w:rsidRPr="00942D25" w:rsidRDefault="00477F4A" w:rsidP="005F4E14">
      <w:pPr>
        <w:pStyle w:val="FootnoteText"/>
      </w:pPr>
      <w:r w:rsidRPr="00CA7899">
        <w:rPr>
          <w:rStyle w:val="FootnoteReference"/>
          <w:snapToGrid/>
          <w:sz w:val="16"/>
          <w:szCs w:val="20"/>
          <w:vertAlign w:val="baseline"/>
          <w:lang w:val="en-GB"/>
        </w:rPr>
        <w:footnoteRef/>
      </w:r>
      <w:r w:rsidR="005F4E14" w:rsidRPr="00CA7899">
        <w:rPr>
          <w:rStyle w:val="FootnoteReference"/>
          <w:snapToGrid/>
          <w:sz w:val="16"/>
          <w:szCs w:val="20"/>
          <w:vertAlign w:val="baseline"/>
          <w:lang w:val="en-GB"/>
        </w:rPr>
        <w:t>.</w:t>
      </w:r>
      <w:r w:rsidR="005F4E14" w:rsidRPr="00CA7899">
        <w:rPr>
          <w:rStyle w:val="FootnoteReference"/>
          <w:snapToGrid/>
          <w:sz w:val="16"/>
          <w:szCs w:val="20"/>
          <w:vertAlign w:val="baseline"/>
          <w:lang w:val="en-GB"/>
        </w:rPr>
        <w:tab/>
      </w:r>
      <w:r w:rsidRPr="00CA7899">
        <w:rPr>
          <w:rStyle w:val="FootnoteReference"/>
          <w:snapToGrid/>
          <w:sz w:val="16"/>
          <w:szCs w:val="20"/>
          <w:vertAlign w:val="baseline"/>
          <w:lang w:val="en-GB"/>
        </w:rPr>
        <w:t xml:space="preserve">Texte adapté à partir des sources suivantes : </w:t>
      </w:r>
      <w:hyperlink r:id="rId3" w:history="1">
        <w:r w:rsidRPr="00CA7899">
          <w:rPr>
            <w:rStyle w:val="FootnoteReference"/>
            <w:snapToGrid/>
            <w:sz w:val="16"/>
            <w:szCs w:val="20"/>
            <w:vertAlign w:val="baseline"/>
            <w:lang w:val="en-GB"/>
          </w:rPr>
          <w:t>http://egyptianstreets.com/2015/04/08/egypt-bans-import-of-all-foreign-made-egyptian-souvenirs/</w:t>
        </w:r>
      </w:hyperlink>
      <w:r w:rsidRPr="00CA7899">
        <w:rPr>
          <w:rStyle w:val="FootnoteReference"/>
          <w:snapToGrid/>
          <w:sz w:val="16"/>
          <w:szCs w:val="20"/>
          <w:vertAlign w:val="baseline"/>
          <w:lang w:val="en-GB"/>
        </w:rPr>
        <w:t xml:space="preserve"> et </w:t>
      </w:r>
      <w:hyperlink r:id="rId4" w:history="1">
        <w:r w:rsidRPr="00CA7899">
          <w:rPr>
            <w:rStyle w:val="FootnoteReference"/>
            <w:snapToGrid/>
            <w:sz w:val="16"/>
            <w:szCs w:val="20"/>
            <w:vertAlign w:val="baseline"/>
            <w:lang w:val="en-GB"/>
          </w:rPr>
          <w:t>http://www.egyptindependent.com/news/minister-bans-importing-folkloric-products-protect-intellectual-property-rights</w:t>
        </w:r>
      </w:hyperlink>
      <w:r w:rsidRPr="00942D25">
        <w:t xml:space="preserve"> (en anglais)</w:t>
      </w:r>
    </w:p>
  </w:footnote>
  <w:footnote w:id="4">
    <w:p w:rsidR="00CD4B38" w:rsidRPr="00C97148" w:rsidRDefault="00CD4B38" w:rsidP="00C97148">
      <w:pPr>
        <w:pStyle w:val="FootnoteText"/>
        <w:widowControl/>
        <w:tabs>
          <w:tab w:val="left" w:pos="284"/>
        </w:tabs>
        <w:ind w:left="284" w:hanging="284"/>
        <w:contextualSpacing w:val="0"/>
        <w:rPr>
          <w:rStyle w:val="FootnoteReference"/>
          <w:snapToGrid/>
          <w:sz w:val="16"/>
          <w:szCs w:val="20"/>
          <w:vertAlign w:val="baseline"/>
          <w:lang w:val="en-GB"/>
        </w:rPr>
      </w:pPr>
      <w:r w:rsidRPr="00C97148">
        <w:rPr>
          <w:rStyle w:val="FootnoteReference"/>
          <w:snapToGrid/>
          <w:sz w:val="16"/>
          <w:szCs w:val="20"/>
          <w:vertAlign w:val="baseline"/>
          <w:lang w:val="en-GB"/>
        </w:rPr>
        <w:footnoteRef/>
      </w:r>
      <w:r w:rsidR="005F4E14" w:rsidRPr="00C97148">
        <w:rPr>
          <w:rStyle w:val="FootnoteReference"/>
          <w:snapToGrid/>
          <w:sz w:val="16"/>
          <w:szCs w:val="20"/>
          <w:vertAlign w:val="baseline"/>
          <w:lang w:val="en-GB"/>
        </w:rPr>
        <w:t>.</w:t>
      </w:r>
      <w:r w:rsidR="005F4E14" w:rsidRPr="00C97148">
        <w:rPr>
          <w:rStyle w:val="FootnoteReference"/>
          <w:snapToGrid/>
          <w:sz w:val="16"/>
          <w:szCs w:val="20"/>
          <w:vertAlign w:val="baseline"/>
          <w:lang w:val="en-GB"/>
        </w:rPr>
        <w:tab/>
      </w:r>
      <w:r w:rsidRPr="00C97148">
        <w:rPr>
          <w:rStyle w:val="FootnoteReference"/>
          <w:snapToGrid/>
          <w:sz w:val="16"/>
          <w:szCs w:val="20"/>
          <w:vertAlign w:val="baseline"/>
          <w:lang w:val="en-GB"/>
        </w:rPr>
        <w:t xml:space="preserve">What Does the TFTA Really Mean for Regional Integration in Africa? by Mark Schoeman, South African Institute of International Affairs, 18 August 2015 [Que représente réellement </w:t>
      </w:r>
      <w:r w:rsidR="00E46C02" w:rsidRPr="00C97148">
        <w:rPr>
          <w:rStyle w:val="FootnoteReference"/>
          <w:snapToGrid/>
          <w:sz w:val="16"/>
          <w:szCs w:val="20"/>
          <w:vertAlign w:val="baseline"/>
          <w:lang w:val="en-GB"/>
        </w:rPr>
        <w:t>la Zone de libre-échange tripartite pour l’intégration régionale en Afrique ? Mark Schoeman, Institut sud-africain des affaires internationales, 18 août 2015]</w:t>
      </w:r>
      <w:r w:rsidR="003F0F3C" w:rsidRPr="00C97148">
        <w:rPr>
          <w:rStyle w:val="FootnoteReference"/>
          <w:snapToGrid/>
          <w:sz w:val="16"/>
          <w:szCs w:val="20"/>
          <w:vertAlign w:val="baseline"/>
          <w:lang w:val="en-GB"/>
        </w:rPr>
        <w:t xml:space="preserve"> </w:t>
      </w:r>
      <w:hyperlink r:id="rId5" w:history="1">
        <w:r w:rsidR="003F0F3C" w:rsidRPr="00C97148">
          <w:rPr>
            <w:rStyle w:val="FootnoteReference"/>
            <w:snapToGrid/>
            <w:sz w:val="16"/>
            <w:szCs w:val="20"/>
            <w:vertAlign w:val="baseline"/>
            <w:lang w:val="en-GB"/>
          </w:rPr>
          <w:t>http://allafrica.com/stories/201508191695.html</w:t>
        </w:r>
      </w:hyperlink>
      <w:r w:rsidR="003F0F3C" w:rsidRPr="00C97148">
        <w:rPr>
          <w:rStyle w:val="FootnoteReference"/>
          <w:snapToGrid/>
          <w:sz w:val="16"/>
          <w:szCs w:val="20"/>
          <w:vertAlign w:val="baseline"/>
          <w:lang w:val="en-GB"/>
        </w:rPr>
        <w:t xml:space="preserve"> (en anglais)</w:t>
      </w:r>
    </w:p>
  </w:footnote>
  <w:footnote w:id="5">
    <w:p w:rsidR="00F96537" w:rsidRPr="00C97148" w:rsidRDefault="00F96537" w:rsidP="00C97148">
      <w:pPr>
        <w:pStyle w:val="FootnoteText"/>
        <w:widowControl/>
        <w:tabs>
          <w:tab w:val="left" w:pos="284"/>
        </w:tabs>
        <w:ind w:left="284" w:hanging="284"/>
        <w:contextualSpacing w:val="0"/>
        <w:rPr>
          <w:rStyle w:val="FootnoteReference"/>
          <w:snapToGrid/>
          <w:sz w:val="16"/>
          <w:szCs w:val="20"/>
          <w:vertAlign w:val="baseline"/>
          <w:lang w:val="en-GB"/>
        </w:rPr>
      </w:pPr>
      <w:r w:rsidRPr="00C97148">
        <w:rPr>
          <w:rStyle w:val="FootnoteReference"/>
          <w:snapToGrid/>
          <w:sz w:val="16"/>
          <w:szCs w:val="20"/>
          <w:vertAlign w:val="baseline"/>
          <w:lang w:val="en-GB"/>
        </w:rPr>
        <w:footnoteRef/>
      </w:r>
      <w:r w:rsidR="005F4E14" w:rsidRPr="00C97148">
        <w:rPr>
          <w:rStyle w:val="FootnoteReference"/>
          <w:snapToGrid/>
          <w:sz w:val="16"/>
          <w:szCs w:val="20"/>
          <w:vertAlign w:val="baseline"/>
          <w:lang w:val="en-GB"/>
        </w:rPr>
        <w:t>.</w:t>
      </w:r>
      <w:r w:rsidR="005F4E14" w:rsidRPr="00C97148">
        <w:rPr>
          <w:rStyle w:val="FootnoteReference"/>
          <w:snapToGrid/>
          <w:sz w:val="16"/>
          <w:szCs w:val="20"/>
          <w:vertAlign w:val="baseline"/>
          <w:lang w:val="en-GB"/>
        </w:rPr>
        <w:tab/>
      </w:r>
      <w:hyperlink r:id="rId6" w:history="1">
        <w:r w:rsidRPr="00C97148">
          <w:rPr>
            <w:rStyle w:val="FootnoteReference"/>
            <w:snapToGrid/>
            <w:sz w:val="16"/>
            <w:szCs w:val="20"/>
            <w:vertAlign w:val="baseline"/>
            <w:lang w:val="en-GB"/>
          </w:rPr>
          <w:t>http://www.tralac.org/resources/by-region/comesa-eac-sadc-tripartite-fta.html</w:t>
        </w:r>
      </w:hyperlink>
      <w:r w:rsidRPr="00C97148">
        <w:rPr>
          <w:rStyle w:val="FootnoteReference"/>
          <w:snapToGrid/>
          <w:sz w:val="16"/>
          <w:szCs w:val="20"/>
          <w:vertAlign w:val="baseline"/>
          <w:lang w:val="en-GB"/>
        </w:rPr>
        <w:t xml:space="preserve"> (en anglais)</w:t>
      </w:r>
    </w:p>
  </w:footnote>
  <w:footnote w:id="6">
    <w:p w:rsidR="00FF2EB3" w:rsidRDefault="00FF2EB3" w:rsidP="00C97148">
      <w:pPr>
        <w:pStyle w:val="FootnoteText"/>
        <w:widowControl/>
        <w:tabs>
          <w:tab w:val="left" w:pos="284"/>
        </w:tabs>
        <w:ind w:left="284" w:hanging="284"/>
        <w:contextualSpacing w:val="0"/>
      </w:pPr>
      <w:r w:rsidRPr="00C97148">
        <w:rPr>
          <w:rStyle w:val="FootnoteReference"/>
          <w:snapToGrid/>
          <w:sz w:val="16"/>
          <w:szCs w:val="20"/>
          <w:vertAlign w:val="baseline"/>
          <w:lang w:val="en-GB"/>
        </w:rPr>
        <w:footnoteRef/>
      </w:r>
      <w:r w:rsidR="005F4E14" w:rsidRPr="00C97148">
        <w:rPr>
          <w:rStyle w:val="FootnoteReference"/>
          <w:snapToGrid/>
          <w:sz w:val="16"/>
          <w:szCs w:val="20"/>
          <w:vertAlign w:val="baseline"/>
          <w:lang w:val="en-GB"/>
        </w:rPr>
        <w:t>.</w:t>
      </w:r>
      <w:r w:rsidR="005F4E14" w:rsidRPr="00C97148">
        <w:rPr>
          <w:rStyle w:val="FootnoteReference"/>
          <w:snapToGrid/>
          <w:sz w:val="16"/>
          <w:szCs w:val="20"/>
          <w:vertAlign w:val="baseline"/>
          <w:lang w:val="en-GB"/>
        </w:rPr>
        <w:tab/>
      </w:r>
      <w:hyperlink r:id="rId7" w:history="1">
        <w:r w:rsidRPr="00C97148">
          <w:rPr>
            <w:rStyle w:val="FootnoteReference"/>
            <w:snapToGrid/>
            <w:sz w:val="16"/>
            <w:szCs w:val="20"/>
            <w:vertAlign w:val="baseline"/>
            <w:lang w:val="en-GB"/>
          </w:rPr>
          <w:t>http://www.tralac.org/images/Resources/Tripartite_FTA/TFTA%20Annex%2009%20IPR%20Revised%20Dec%202010.pdf</w:t>
        </w:r>
      </w:hyperlink>
      <w:r w:rsidRPr="00C97148">
        <w:rPr>
          <w:rStyle w:val="FootnoteReference"/>
          <w:snapToGrid/>
          <w:sz w:val="16"/>
          <w:szCs w:val="20"/>
          <w:vertAlign w:val="baseline"/>
          <w:lang w:val="en-GB"/>
        </w:rPr>
        <w:t xml:space="preserve"> (en anglais)</w:t>
      </w:r>
    </w:p>
  </w:footnote>
  <w:footnote w:id="7">
    <w:p w:rsidR="00BF2B07" w:rsidRPr="00A20310" w:rsidRDefault="00FF3746" w:rsidP="00A20310">
      <w:pPr>
        <w:pStyle w:val="FootnoteText"/>
        <w:widowControl/>
        <w:tabs>
          <w:tab w:val="left" w:pos="284"/>
        </w:tabs>
        <w:ind w:left="284" w:hanging="284"/>
        <w:contextualSpacing w:val="0"/>
        <w:jc w:val="left"/>
        <w:rPr>
          <w:rStyle w:val="Hyperlink"/>
          <w:snapToGrid/>
          <w:color w:val="auto"/>
          <w:szCs w:val="20"/>
          <w:u w:val="none"/>
          <w:lang w:val="en-GB"/>
        </w:rPr>
      </w:pPr>
      <w:r w:rsidRPr="00A20310">
        <w:rPr>
          <w:rStyle w:val="FootnoteReference"/>
          <w:snapToGrid/>
          <w:sz w:val="16"/>
          <w:szCs w:val="20"/>
          <w:vertAlign w:val="baseline"/>
          <w:lang w:val="en-GB"/>
        </w:rPr>
        <w:footnoteRef/>
      </w:r>
      <w:r w:rsidR="005F4E14" w:rsidRPr="00A20310">
        <w:rPr>
          <w:rStyle w:val="FootnoteReference"/>
          <w:snapToGrid/>
          <w:sz w:val="16"/>
          <w:szCs w:val="20"/>
          <w:vertAlign w:val="baseline"/>
          <w:lang w:val="en-GB"/>
        </w:rPr>
        <w:t>.</w:t>
      </w:r>
      <w:r w:rsidR="005F4E14" w:rsidRPr="00A20310">
        <w:rPr>
          <w:rStyle w:val="FootnoteReference"/>
          <w:snapToGrid/>
          <w:sz w:val="16"/>
          <w:szCs w:val="20"/>
          <w:vertAlign w:val="baseline"/>
          <w:lang w:val="en-GB"/>
        </w:rPr>
        <w:tab/>
      </w:r>
      <w:r w:rsidRPr="00A20310">
        <w:rPr>
          <w:rStyle w:val="FootnoteReference"/>
          <w:snapToGrid/>
          <w:sz w:val="16"/>
          <w:szCs w:val="20"/>
          <w:vertAlign w:val="baseline"/>
          <w:lang w:val="en-GB"/>
        </w:rPr>
        <w:t>Texte adapté à</w:t>
      </w:r>
      <w:r w:rsidR="004A1F0D" w:rsidRPr="00A20310">
        <w:rPr>
          <w:rStyle w:val="FootnoteReference"/>
          <w:snapToGrid/>
          <w:sz w:val="16"/>
          <w:szCs w:val="20"/>
          <w:vertAlign w:val="baseline"/>
          <w:lang w:val="en-GB"/>
        </w:rPr>
        <w:t xml:space="preserve"> partir des sources suivantes :</w:t>
      </w:r>
      <w:r w:rsidR="00A20310">
        <w:rPr>
          <w:rStyle w:val="FootnoteReference"/>
          <w:snapToGrid/>
          <w:sz w:val="16"/>
          <w:szCs w:val="20"/>
          <w:vertAlign w:val="baseline"/>
          <w:lang w:val="en-GB"/>
        </w:rPr>
        <w:t xml:space="preserve"> </w:t>
      </w:r>
      <w:hyperlink r:id="rId8" w:history="1">
        <w:r w:rsidR="00BF2B07" w:rsidRPr="00A20310">
          <w:rPr>
            <w:rStyle w:val="FootnoteReference"/>
            <w:snapToGrid/>
            <w:sz w:val="16"/>
            <w:szCs w:val="20"/>
            <w:vertAlign w:val="baseline"/>
            <w:lang w:val="en-GB"/>
          </w:rPr>
          <w:t>http://trade.ec.europa.eu/doclib/docs/2015/july/tradoc_153635.pdf</w:t>
        </w:r>
      </w:hyperlink>
      <w:r w:rsidR="00BF2B07" w:rsidRPr="00A20310">
        <w:rPr>
          <w:rStyle w:val="FootnoteReference"/>
          <w:snapToGrid/>
          <w:sz w:val="16"/>
          <w:szCs w:val="20"/>
          <w:vertAlign w:val="baseline"/>
          <w:lang w:val="en-GB"/>
        </w:rPr>
        <w:t xml:space="preserve">; </w:t>
      </w:r>
      <w:hyperlink r:id="rId9" w:history="1">
        <w:r w:rsidR="00BF2B07" w:rsidRPr="00A20310">
          <w:rPr>
            <w:rStyle w:val="FootnoteReference"/>
            <w:snapToGrid/>
            <w:sz w:val="16"/>
            <w:szCs w:val="20"/>
            <w:vertAlign w:val="baseline"/>
            <w:lang w:val="en-GB"/>
          </w:rPr>
          <w:t>http://cultureactioneurope.org/news/ttip-culture-in-the-european-parliament/</w:t>
        </w:r>
      </w:hyperlink>
      <w:r w:rsidR="00BF2B07" w:rsidRPr="00A20310">
        <w:rPr>
          <w:rStyle w:val="FootnoteReference"/>
          <w:snapToGrid/>
          <w:sz w:val="16"/>
          <w:szCs w:val="20"/>
          <w:vertAlign w:val="baseline"/>
          <w:lang w:val="en-GB"/>
        </w:rPr>
        <w:t xml:space="preserve"> et </w:t>
      </w:r>
      <w:hyperlink r:id="rId10" w:history="1">
        <w:r w:rsidR="00BF2B07" w:rsidRPr="00A20310">
          <w:rPr>
            <w:rStyle w:val="FootnoteReference"/>
            <w:snapToGrid/>
            <w:sz w:val="16"/>
            <w:szCs w:val="20"/>
            <w:vertAlign w:val="baseline"/>
            <w:lang w:val="en-GB"/>
          </w:rPr>
          <w:t>http://epthinktank.eu/2014/08/29/ttip-and-the-cultural-exception/</w:t>
        </w:r>
      </w:hyperlink>
    </w:p>
  </w:footnote>
  <w:footnote w:id="8">
    <w:p w:rsidR="003732E2" w:rsidRPr="003732E2" w:rsidRDefault="00945D2C" w:rsidP="00F65FCB">
      <w:pPr>
        <w:pStyle w:val="FootnoteText"/>
        <w:jc w:val="left"/>
      </w:pPr>
      <w:r w:rsidRPr="003732E2">
        <w:rPr>
          <w:rStyle w:val="FootnoteReference"/>
          <w:sz w:val="16"/>
          <w:szCs w:val="16"/>
          <w:vertAlign w:val="baseline"/>
        </w:rPr>
        <w:footnoteRef/>
      </w:r>
      <w:r w:rsidR="003732E2" w:rsidRPr="003732E2">
        <w:t>.</w:t>
      </w:r>
      <w:r w:rsidR="003732E2" w:rsidRPr="003732E2">
        <w:tab/>
        <w:t xml:space="preserve">Texte adapté de l’article de Felicia Fonseca pour l’atelier de l’UNESCO </w:t>
      </w:r>
      <w:hyperlink r:id="rId11" w:history="1">
        <w:r w:rsidRPr="003732E2">
          <w:rPr>
            <w:rStyle w:val="Hyperlink"/>
          </w:rPr>
          <w:t>http://usatoday30.usatoday.com/money/industries/retail/story/2012-02-29/navajo-trademark-urban-outfitters/53299172/1</w:t>
        </w:r>
      </w:hyperlink>
      <w:r w:rsidRPr="003732E2">
        <w:rPr>
          <w:rStyle w:val="Hyperlink"/>
          <w:color w:val="auto"/>
          <w:u w:val="none"/>
        </w:rPr>
        <w:t xml:space="preserve"> </w:t>
      </w:r>
      <w:r w:rsidRPr="003732E2">
        <w:t>© Associated Press, 29/02/2012</w:t>
      </w:r>
      <w:r w:rsidR="003732E2">
        <w:t xml:space="preserve"> </w:t>
      </w:r>
      <w:r w:rsidR="003732E2">
        <w:rPr>
          <w:rStyle w:val="Hyperlink"/>
          <w:color w:val="auto"/>
          <w:u w:val="none"/>
        </w:rPr>
        <w:t>(en anglais)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9" w:rsidRPr="00CA7899" w:rsidRDefault="00CA7899" w:rsidP="00F65FCB">
    <w:pPr>
      <w:tabs>
        <w:tab w:val="center" w:pos="4423"/>
        <w:tab w:val="right" w:pos="9000"/>
      </w:tabs>
      <w:rPr>
        <w:rFonts w:eastAsia="Calibri" w:cs="Times New Roman"/>
        <w:sz w:val="16"/>
        <w:lang w:val="it-IT"/>
      </w:rPr>
    </w:pPr>
    <w:r w:rsidRPr="00CA7899">
      <w:rPr>
        <w:rFonts w:eastAsia="Calibri" w:cs="Times New Roman"/>
        <w:sz w:val="16"/>
        <w:lang w:val="it-IT"/>
      </w:rPr>
      <w:fldChar w:fldCharType="begin"/>
    </w:r>
    <w:r w:rsidRPr="00CA7899">
      <w:rPr>
        <w:rFonts w:eastAsia="Calibri" w:cs="Times New Roman"/>
        <w:sz w:val="16"/>
        <w:lang w:val="it-IT"/>
      </w:rPr>
      <w:instrText xml:space="preserve"> PAGE </w:instrText>
    </w:r>
    <w:r w:rsidRPr="00CA7899">
      <w:rPr>
        <w:rFonts w:eastAsia="Calibri" w:cs="Times New Roman"/>
        <w:sz w:val="16"/>
        <w:lang w:val="it-IT"/>
      </w:rPr>
      <w:fldChar w:fldCharType="separate"/>
    </w:r>
    <w:r w:rsidR="001716C6">
      <w:rPr>
        <w:rFonts w:eastAsia="Calibri" w:cs="Times New Roman"/>
        <w:noProof/>
        <w:sz w:val="16"/>
        <w:lang w:val="it-IT"/>
      </w:rPr>
      <w:t>2</w:t>
    </w:r>
    <w:r w:rsidRPr="00CA7899">
      <w:rPr>
        <w:rFonts w:eastAsia="Calibri" w:cs="Times New Roman"/>
        <w:sz w:val="16"/>
        <w:lang w:val="it-IT"/>
      </w:rPr>
      <w:fldChar w:fldCharType="end"/>
    </w:r>
    <w:r w:rsidRPr="00CA7899">
      <w:rPr>
        <w:rFonts w:eastAsia="Calibri" w:cs="Times New Roman"/>
        <w:sz w:val="16"/>
        <w:lang w:val="it-IT"/>
      </w:rPr>
      <w:tab/>
    </w:r>
    <w:r w:rsidR="00F65FCB" w:rsidRPr="00360437">
      <w:rPr>
        <w:rFonts w:eastAsia="Calibri" w:cs="Times New Roman"/>
        <w:sz w:val="16"/>
        <w:lang w:val="it-IT"/>
      </w:rPr>
      <w:t>Unit</w:t>
    </w:r>
    <w:r w:rsidR="00F65FCB">
      <w:rPr>
        <w:rFonts w:eastAsia="Calibri"/>
        <w:sz w:val="16"/>
        <w:lang w:val="it-IT"/>
      </w:rPr>
      <w:t>é</w:t>
    </w:r>
    <w:r w:rsidR="00F65FCB" w:rsidRPr="00360437">
      <w:rPr>
        <w:rFonts w:eastAsia="Calibri" w:cs="Times New Roman"/>
        <w:sz w:val="16"/>
        <w:lang w:val="it-IT"/>
      </w:rPr>
      <w:t xml:space="preserve"> </w:t>
    </w:r>
    <w:r w:rsidR="00F65FCB">
      <w:rPr>
        <w:rFonts w:eastAsia="Calibri" w:cs="Times New Roman"/>
        <w:sz w:val="16"/>
        <w:lang w:val="it-IT"/>
      </w:rPr>
      <w:t>55: Atelier sur l’</w:t>
    </w:r>
    <w:r w:rsidR="00F65FCB">
      <w:rPr>
        <w:rFonts w:eastAsia="Calibri"/>
        <w:sz w:val="16"/>
        <w:lang w:val="it-IT"/>
      </w:rPr>
      <w:t>é</w:t>
    </w:r>
    <w:r w:rsidR="00F65FCB">
      <w:rPr>
        <w:rFonts w:eastAsia="Calibri" w:cs="Times New Roman"/>
        <w:sz w:val="16"/>
        <w:lang w:val="it-IT"/>
      </w:rPr>
      <w:t>laboration de politiques de sauveguarde du patrimoine culturel immat</w:t>
    </w:r>
    <w:r w:rsidR="00F65FCB">
      <w:rPr>
        <w:rFonts w:eastAsia="Calibri"/>
        <w:sz w:val="16"/>
        <w:lang w:val="it-IT"/>
      </w:rPr>
      <w:t>é</w:t>
    </w:r>
    <w:r w:rsidR="00F65FCB">
      <w:rPr>
        <w:rFonts w:eastAsia="Calibri" w:cs="Times New Roman"/>
        <w:sz w:val="16"/>
        <w:lang w:val="it-IT"/>
      </w:rPr>
      <w:t>riel</w:t>
    </w:r>
    <w:r w:rsidR="00F65FCB">
      <w:rPr>
        <w:rFonts w:eastAsia="Calibri" w:cs="Times New Roman"/>
        <w:sz w:val="16"/>
        <w:lang w:val="it-IT"/>
      </w:rPr>
      <w:tab/>
      <w:t>Imprim</w:t>
    </w:r>
    <w:r w:rsidR="00F65FCB">
      <w:rPr>
        <w:rFonts w:eastAsia="Calibri" w:cs="Arial"/>
        <w:sz w:val="16"/>
        <w:lang w:val="it-IT"/>
      </w:rPr>
      <w:t>é</w:t>
    </w:r>
    <w:r w:rsidRPr="00CA7899">
      <w:rPr>
        <w:rFonts w:eastAsia="Calibri" w:cs="Times New Roman"/>
        <w:sz w:val="16"/>
        <w:lang w:val="it-IT"/>
      </w:rPr>
      <w:t xml:space="preserve">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9" w:rsidRPr="00CA7899" w:rsidRDefault="00552826" w:rsidP="00552826">
    <w:pPr>
      <w:tabs>
        <w:tab w:val="center" w:pos="4680"/>
        <w:tab w:val="right" w:pos="9000"/>
      </w:tabs>
      <w:rPr>
        <w:rFonts w:eastAsia="Calibri" w:cs="Times New Roman"/>
        <w:sz w:val="16"/>
        <w:lang w:val="it-IT"/>
      </w:rPr>
    </w:pPr>
    <w:r>
      <w:rPr>
        <w:rFonts w:eastAsia="Calibri" w:cs="Times New Roman"/>
        <w:sz w:val="16"/>
        <w:lang w:val="it-IT"/>
      </w:rPr>
      <w:t>Imprim</w:t>
    </w:r>
    <w:r>
      <w:rPr>
        <w:rFonts w:eastAsia="Calibri" w:cs="Arial"/>
        <w:sz w:val="16"/>
        <w:lang w:val="it-IT"/>
      </w:rPr>
      <w:t>é</w:t>
    </w:r>
    <w:r w:rsidR="00CA7899" w:rsidRPr="00CA7899">
      <w:rPr>
        <w:rFonts w:eastAsia="Calibri" w:cs="Times New Roman"/>
        <w:sz w:val="16"/>
        <w:lang w:val="it-IT"/>
      </w:rPr>
      <w:t xml:space="preserve"> 4</w:t>
    </w:r>
    <w:r w:rsidR="00CA7899" w:rsidRPr="00CA7899">
      <w:rPr>
        <w:rFonts w:eastAsia="Calibri" w:cs="Times New Roman"/>
        <w:sz w:val="16"/>
        <w:lang w:val="it-IT"/>
      </w:rPr>
      <w:tab/>
    </w:r>
    <w:r w:rsidRPr="00BB7616">
      <w:rPr>
        <w:rFonts w:eastAsia="Calibri" w:cs="Times New Roman"/>
        <w:sz w:val="16"/>
        <w:lang w:val="it-IT"/>
      </w:rPr>
      <w:t>Unité 55: Atelier sur l’élaboration de politiques de sauveguarde du patrimoine culturel immatériel</w:t>
    </w:r>
    <w:r w:rsidR="00CA7899" w:rsidRPr="00CA7899">
      <w:rPr>
        <w:rFonts w:eastAsia="Calibri" w:cs="Times New Roman"/>
        <w:sz w:val="16"/>
        <w:lang w:val="it-IT"/>
      </w:rPr>
      <w:tab/>
    </w:r>
    <w:r w:rsidR="00CA7899" w:rsidRPr="00CA7899">
      <w:rPr>
        <w:rFonts w:eastAsia="Calibri" w:cs="Times New Roman"/>
        <w:sz w:val="16"/>
        <w:lang w:val="it-IT"/>
      </w:rPr>
      <w:fldChar w:fldCharType="begin"/>
    </w:r>
    <w:r w:rsidR="00CA7899" w:rsidRPr="00CA7899">
      <w:rPr>
        <w:rFonts w:eastAsia="Calibri" w:cs="Times New Roman"/>
        <w:sz w:val="16"/>
        <w:lang w:val="it-IT"/>
      </w:rPr>
      <w:instrText xml:space="preserve"> PAGE </w:instrText>
    </w:r>
    <w:r w:rsidR="00CA7899" w:rsidRPr="00CA7899">
      <w:rPr>
        <w:rFonts w:eastAsia="Calibri" w:cs="Times New Roman"/>
        <w:sz w:val="16"/>
        <w:lang w:val="it-IT"/>
      </w:rPr>
      <w:fldChar w:fldCharType="separate"/>
    </w:r>
    <w:r w:rsidR="001716C6">
      <w:rPr>
        <w:rFonts w:eastAsia="Calibri" w:cs="Times New Roman"/>
        <w:noProof/>
        <w:sz w:val="16"/>
        <w:lang w:val="it-IT"/>
      </w:rPr>
      <w:t>3</w:t>
    </w:r>
    <w:r w:rsidR="00CA7899" w:rsidRPr="00CA7899">
      <w:rPr>
        <w:rFonts w:eastAsia="Calibri" w:cs="Times New Roman"/>
        <w:sz w:val="16"/>
        <w:lang w:val="it-I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99" w:rsidRPr="00CA7899" w:rsidRDefault="00F65FCB" w:rsidP="00CA7899">
    <w:pPr>
      <w:tabs>
        <w:tab w:val="center" w:pos="4513"/>
        <w:tab w:val="right" w:pos="9026"/>
      </w:tabs>
      <w:snapToGrid w:val="0"/>
      <w:spacing w:after="0" w:line="240" w:lineRule="auto"/>
      <w:jc w:val="center"/>
      <w:rPr>
        <w:rFonts w:eastAsia="SimSun" w:cs="Arial"/>
        <w:snapToGrid w:val="0"/>
        <w:sz w:val="16"/>
        <w:szCs w:val="16"/>
        <w:lang w:val="en-US" w:eastAsia="zh-CN"/>
      </w:rPr>
    </w:pPr>
    <w:r>
      <w:rPr>
        <w:rFonts w:eastAsia="SimSun" w:cs="Arial"/>
        <w:snapToGrid w:val="0"/>
        <w:sz w:val="16"/>
        <w:szCs w:val="16"/>
        <w:lang w:val="en-US" w:eastAsia="zh-CN"/>
      </w:rPr>
      <w:t>Imprimé</w:t>
    </w:r>
    <w:r w:rsidR="00CA7899" w:rsidRPr="00CA7899">
      <w:rPr>
        <w:rFonts w:eastAsia="SimSun" w:cs="Arial"/>
        <w:snapToGrid w:val="0"/>
        <w:sz w:val="16"/>
        <w:szCs w:val="16"/>
        <w:lang w:val="en-US" w:eastAsia="zh-CN"/>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07E"/>
    <w:multiLevelType w:val="hybridMultilevel"/>
    <w:tmpl w:val="7FF65D0E"/>
    <w:lvl w:ilvl="0" w:tplc="948C6D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9050AF"/>
    <w:multiLevelType w:val="hybridMultilevel"/>
    <w:tmpl w:val="2C4A6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4E1995"/>
    <w:multiLevelType w:val="hybridMultilevel"/>
    <w:tmpl w:val="5A9CA894"/>
    <w:lvl w:ilvl="0" w:tplc="EF52B5F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9A2B42"/>
    <w:multiLevelType w:val="hybridMultilevel"/>
    <w:tmpl w:val="C3807BA0"/>
    <w:lvl w:ilvl="0" w:tplc="7172C7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F66145"/>
    <w:multiLevelType w:val="hybridMultilevel"/>
    <w:tmpl w:val="E304B8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4F"/>
    <w:rsid w:val="0000553C"/>
    <w:rsid w:val="00005B41"/>
    <w:rsid w:val="00014807"/>
    <w:rsid w:val="00017182"/>
    <w:rsid w:val="00020871"/>
    <w:rsid w:val="00020B0D"/>
    <w:rsid w:val="00025887"/>
    <w:rsid w:val="00027E13"/>
    <w:rsid w:val="00031C93"/>
    <w:rsid w:val="00045127"/>
    <w:rsid w:val="000701AD"/>
    <w:rsid w:val="00074608"/>
    <w:rsid w:val="00074F15"/>
    <w:rsid w:val="00075145"/>
    <w:rsid w:val="00077F27"/>
    <w:rsid w:val="00080154"/>
    <w:rsid w:val="000807CB"/>
    <w:rsid w:val="00083F38"/>
    <w:rsid w:val="000A59A4"/>
    <w:rsid w:val="000F0147"/>
    <w:rsid w:val="00121799"/>
    <w:rsid w:val="00127D64"/>
    <w:rsid w:val="00131F0E"/>
    <w:rsid w:val="00151887"/>
    <w:rsid w:val="00165D62"/>
    <w:rsid w:val="001673F3"/>
    <w:rsid w:val="001716C6"/>
    <w:rsid w:val="00173C4F"/>
    <w:rsid w:val="00173E9B"/>
    <w:rsid w:val="00174A75"/>
    <w:rsid w:val="001768CC"/>
    <w:rsid w:val="00183E77"/>
    <w:rsid w:val="00190F56"/>
    <w:rsid w:val="00195267"/>
    <w:rsid w:val="001A0EAA"/>
    <w:rsid w:val="001A2880"/>
    <w:rsid w:val="001B0563"/>
    <w:rsid w:val="001B25E5"/>
    <w:rsid w:val="001B5A3D"/>
    <w:rsid w:val="001C2474"/>
    <w:rsid w:val="001C4516"/>
    <w:rsid w:val="001E01B9"/>
    <w:rsid w:val="001F6E0E"/>
    <w:rsid w:val="002002B2"/>
    <w:rsid w:val="00225691"/>
    <w:rsid w:val="0023711F"/>
    <w:rsid w:val="00240244"/>
    <w:rsid w:val="00240FD9"/>
    <w:rsid w:val="00244FA4"/>
    <w:rsid w:val="002543EB"/>
    <w:rsid w:val="002619E2"/>
    <w:rsid w:val="002678CA"/>
    <w:rsid w:val="00285650"/>
    <w:rsid w:val="0029095D"/>
    <w:rsid w:val="00290B4D"/>
    <w:rsid w:val="0029160F"/>
    <w:rsid w:val="002943CB"/>
    <w:rsid w:val="00294D69"/>
    <w:rsid w:val="002A5188"/>
    <w:rsid w:val="002A7EBA"/>
    <w:rsid w:val="002B56EA"/>
    <w:rsid w:val="002B601F"/>
    <w:rsid w:val="002B737F"/>
    <w:rsid w:val="002D38A3"/>
    <w:rsid w:val="002F224B"/>
    <w:rsid w:val="002F4C53"/>
    <w:rsid w:val="002F4F0B"/>
    <w:rsid w:val="003015B6"/>
    <w:rsid w:val="00301B0E"/>
    <w:rsid w:val="00316256"/>
    <w:rsid w:val="00322023"/>
    <w:rsid w:val="00323232"/>
    <w:rsid w:val="00332D20"/>
    <w:rsid w:val="003362DE"/>
    <w:rsid w:val="00342268"/>
    <w:rsid w:val="0036099C"/>
    <w:rsid w:val="00363F91"/>
    <w:rsid w:val="00364C4E"/>
    <w:rsid w:val="003719FE"/>
    <w:rsid w:val="003732E2"/>
    <w:rsid w:val="003779C9"/>
    <w:rsid w:val="0038010D"/>
    <w:rsid w:val="00382F14"/>
    <w:rsid w:val="003874D0"/>
    <w:rsid w:val="003A57F6"/>
    <w:rsid w:val="003B260D"/>
    <w:rsid w:val="003D1EA2"/>
    <w:rsid w:val="003E7324"/>
    <w:rsid w:val="003F0F3C"/>
    <w:rsid w:val="003F5FE2"/>
    <w:rsid w:val="00411913"/>
    <w:rsid w:val="004363CD"/>
    <w:rsid w:val="00443252"/>
    <w:rsid w:val="004450CA"/>
    <w:rsid w:val="00455F92"/>
    <w:rsid w:val="004569A1"/>
    <w:rsid w:val="00462CA7"/>
    <w:rsid w:val="004759D1"/>
    <w:rsid w:val="00477F4A"/>
    <w:rsid w:val="0048217C"/>
    <w:rsid w:val="004A1F0D"/>
    <w:rsid w:val="004A2D65"/>
    <w:rsid w:val="004A4EB6"/>
    <w:rsid w:val="004A54AD"/>
    <w:rsid w:val="004C458B"/>
    <w:rsid w:val="004C7650"/>
    <w:rsid w:val="004D0FDF"/>
    <w:rsid w:val="004D3344"/>
    <w:rsid w:val="004F3570"/>
    <w:rsid w:val="005144A5"/>
    <w:rsid w:val="00521586"/>
    <w:rsid w:val="00534734"/>
    <w:rsid w:val="00546B67"/>
    <w:rsid w:val="00551123"/>
    <w:rsid w:val="00552826"/>
    <w:rsid w:val="00557BC8"/>
    <w:rsid w:val="00563426"/>
    <w:rsid w:val="00563456"/>
    <w:rsid w:val="0057117F"/>
    <w:rsid w:val="00580512"/>
    <w:rsid w:val="00584230"/>
    <w:rsid w:val="005970EE"/>
    <w:rsid w:val="005A1178"/>
    <w:rsid w:val="005B2880"/>
    <w:rsid w:val="005B2DE3"/>
    <w:rsid w:val="005F1FC2"/>
    <w:rsid w:val="005F2A00"/>
    <w:rsid w:val="005F4E14"/>
    <w:rsid w:val="005F5937"/>
    <w:rsid w:val="005F5E63"/>
    <w:rsid w:val="005F7A00"/>
    <w:rsid w:val="0061021D"/>
    <w:rsid w:val="00632A34"/>
    <w:rsid w:val="0063767E"/>
    <w:rsid w:val="00640D17"/>
    <w:rsid w:val="00653335"/>
    <w:rsid w:val="00660044"/>
    <w:rsid w:val="00662931"/>
    <w:rsid w:val="00673E54"/>
    <w:rsid w:val="00681E92"/>
    <w:rsid w:val="00692177"/>
    <w:rsid w:val="006933A6"/>
    <w:rsid w:val="00696FD4"/>
    <w:rsid w:val="006C44AA"/>
    <w:rsid w:val="006D18B2"/>
    <w:rsid w:val="006E2F76"/>
    <w:rsid w:val="006E499E"/>
    <w:rsid w:val="006F1E0B"/>
    <w:rsid w:val="00704057"/>
    <w:rsid w:val="007040AC"/>
    <w:rsid w:val="00705DA7"/>
    <w:rsid w:val="007064F8"/>
    <w:rsid w:val="007075C3"/>
    <w:rsid w:val="00715F1A"/>
    <w:rsid w:val="0072088E"/>
    <w:rsid w:val="00721DDE"/>
    <w:rsid w:val="007240A9"/>
    <w:rsid w:val="007343CF"/>
    <w:rsid w:val="00734DAB"/>
    <w:rsid w:val="00737EDE"/>
    <w:rsid w:val="00747554"/>
    <w:rsid w:val="007855B3"/>
    <w:rsid w:val="00791FA7"/>
    <w:rsid w:val="0079224E"/>
    <w:rsid w:val="0079522D"/>
    <w:rsid w:val="007974DE"/>
    <w:rsid w:val="007B34B2"/>
    <w:rsid w:val="007B6B88"/>
    <w:rsid w:val="007C7CCE"/>
    <w:rsid w:val="00817FD9"/>
    <w:rsid w:val="00820643"/>
    <w:rsid w:val="00821CEB"/>
    <w:rsid w:val="00852F76"/>
    <w:rsid w:val="008560B8"/>
    <w:rsid w:val="00870661"/>
    <w:rsid w:val="008711AF"/>
    <w:rsid w:val="00877DEE"/>
    <w:rsid w:val="008827C4"/>
    <w:rsid w:val="008D160B"/>
    <w:rsid w:val="008D1894"/>
    <w:rsid w:val="008D1BE8"/>
    <w:rsid w:val="008E2934"/>
    <w:rsid w:val="008F3C7D"/>
    <w:rsid w:val="00901DD9"/>
    <w:rsid w:val="0090304B"/>
    <w:rsid w:val="00903BC1"/>
    <w:rsid w:val="00916478"/>
    <w:rsid w:val="009276D5"/>
    <w:rsid w:val="00932837"/>
    <w:rsid w:val="00942D25"/>
    <w:rsid w:val="00945D2C"/>
    <w:rsid w:val="009501AF"/>
    <w:rsid w:val="0095486F"/>
    <w:rsid w:val="0095759C"/>
    <w:rsid w:val="00961E24"/>
    <w:rsid w:val="0096231D"/>
    <w:rsid w:val="00962A4F"/>
    <w:rsid w:val="00964412"/>
    <w:rsid w:val="0096674C"/>
    <w:rsid w:val="0097574B"/>
    <w:rsid w:val="009911C8"/>
    <w:rsid w:val="009976A1"/>
    <w:rsid w:val="009A104C"/>
    <w:rsid w:val="009A435C"/>
    <w:rsid w:val="009B2591"/>
    <w:rsid w:val="009B7578"/>
    <w:rsid w:val="009B7E4F"/>
    <w:rsid w:val="009C398E"/>
    <w:rsid w:val="009D5EDF"/>
    <w:rsid w:val="009D7C4E"/>
    <w:rsid w:val="009E3553"/>
    <w:rsid w:val="00A17760"/>
    <w:rsid w:val="00A20310"/>
    <w:rsid w:val="00A34E27"/>
    <w:rsid w:val="00A43842"/>
    <w:rsid w:val="00A441AD"/>
    <w:rsid w:val="00A44CB3"/>
    <w:rsid w:val="00A54383"/>
    <w:rsid w:val="00A57EF0"/>
    <w:rsid w:val="00A73B68"/>
    <w:rsid w:val="00A94BD5"/>
    <w:rsid w:val="00AA5FEC"/>
    <w:rsid w:val="00AB0933"/>
    <w:rsid w:val="00AB56A1"/>
    <w:rsid w:val="00AC0A6B"/>
    <w:rsid w:val="00AC5086"/>
    <w:rsid w:val="00B00EDC"/>
    <w:rsid w:val="00B02860"/>
    <w:rsid w:val="00B30ACD"/>
    <w:rsid w:val="00B32398"/>
    <w:rsid w:val="00B35810"/>
    <w:rsid w:val="00B35D11"/>
    <w:rsid w:val="00B370A1"/>
    <w:rsid w:val="00B420DA"/>
    <w:rsid w:val="00B51771"/>
    <w:rsid w:val="00B61CF4"/>
    <w:rsid w:val="00B61FBC"/>
    <w:rsid w:val="00B649F6"/>
    <w:rsid w:val="00B74916"/>
    <w:rsid w:val="00B77957"/>
    <w:rsid w:val="00B851BF"/>
    <w:rsid w:val="00B92BA0"/>
    <w:rsid w:val="00BA5739"/>
    <w:rsid w:val="00BB615D"/>
    <w:rsid w:val="00BC0D6C"/>
    <w:rsid w:val="00BD13AD"/>
    <w:rsid w:val="00BE4928"/>
    <w:rsid w:val="00BE4DF5"/>
    <w:rsid w:val="00BE763F"/>
    <w:rsid w:val="00BF0414"/>
    <w:rsid w:val="00BF11BC"/>
    <w:rsid w:val="00BF2B07"/>
    <w:rsid w:val="00C02391"/>
    <w:rsid w:val="00C03527"/>
    <w:rsid w:val="00C0791A"/>
    <w:rsid w:val="00C21D78"/>
    <w:rsid w:val="00C474AD"/>
    <w:rsid w:val="00C55AB0"/>
    <w:rsid w:val="00C664CA"/>
    <w:rsid w:val="00C822CE"/>
    <w:rsid w:val="00C82C8D"/>
    <w:rsid w:val="00C843E1"/>
    <w:rsid w:val="00C97148"/>
    <w:rsid w:val="00CA7899"/>
    <w:rsid w:val="00CD4B38"/>
    <w:rsid w:val="00CD5BE2"/>
    <w:rsid w:val="00CE16EA"/>
    <w:rsid w:val="00CE4330"/>
    <w:rsid w:val="00CE4AE0"/>
    <w:rsid w:val="00CF1172"/>
    <w:rsid w:val="00CF344B"/>
    <w:rsid w:val="00D13B1F"/>
    <w:rsid w:val="00D37705"/>
    <w:rsid w:val="00D53F75"/>
    <w:rsid w:val="00D6107C"/>
    <w:rsid w:val="00D64B79"/>
    <w:rsid w:val="00D662EC"/>
    <w:rsid w:val="00D710E0"/>
    <w:rsid w:val="00D771E0"/>
    <w:rsid w:val="00D80CB4"/>
    <w:rsid w:val="00DB2E77"/>
    <w:rsid w:val="00DB3900"/>
    <w:rsid w:val="00DB7845"/>
    <w:rsid w:val="00DC7976"/>
    <w:rsid w:val="00DD24CB"/>
    <w:rsid w:val="00DD47FA"/>
    <w:rsid w:val="00DD582F"/>
    <w:rsid w:val="00DE0FF4"/>
    <w:rsid w:val="00E17BBB"/>
    <w:rsid w:val="00E24C65"/>
    <w:rsid w:val="00E32630"/>
    <w:rsid w:val="00E4064F"/>
    <w:rsid w:val="00E46C02"/>
    <w:rsid w:val="00E56AB7"/>
    <w:rsid w:val="00E622D0"/>
    <w:rsid w:val="00E628E4"/>
    <w:rsid w:val="00E62F00"/>
    <w:rsid w:val="00E94D95"/>
    <w:rsid w:val="00EA72B4"/>
    <w:rsid w:val="00ED567F"/>
    <w:rsid w:val="00EF4EDE"/>
    <w:rsid w:val="00EF6482"/>
    <w:rsid w:val="00F04D70"/>
    <w:rsid w:val="00F146EC"/>
    <w:rsid w:val="00F45A24"/>
    <w:rsid w:val="00F501CA"/>
    <w:rsid w:val="00F65FCB"/>
    <w:rsid w:val="00F664FF"/>
    <w:rsid w:val="00F75467"/>
    <w:rsid w:val="00F875CA"/>
    <w:rsid w:val="00F91521"/>
    <w:rsid w:val="00F94072"/>
    <w:rsid w:val="00F9471D"/>
    <w:rsid w:val="00F962A7"/>
    <w:rsid w:val="00F96537"/>
    <w:rsid w:val="00F96FE3"/>
    <w:rsid w:val="00FA08AC"/>
    <w:rsid w:val="00FB7C3F"/>
    <w:rsid w:val="00FC0783"/>
    <w:rsid w:val="00FC39C5"/>
    <w:rsid w:val="00FC56A1"/>
    <w:rsid w:val="00FC6D40"/>
    <w:rsid w:val="00FD20E0"/>
    <w:rsid w:val="00FF2205"/>
    <w:rsid w:val="00FF2EB3"/>
    <w:rsid w:val="00FF3746"/>
    <w:rsid w:val="00FF5F7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D9"/>
    <w:rPr>
      <w:rFonts w:ascii="Arial" w:hAnsi="Arial"/>
    </w:rPr>
  </w:style>
  <w:style w:type="paragraph" w:styleId="Heading1">
    <w:name w:val="heading 1"/>
    <w:basedOn w:val="Normal"/>
    <w:next w:val="Normal"/>
    <w:link w:val="Heading1Char"/>
    <w:uiPriority w:val="9"/>
    <w:qFormat/>
    <w:rsid w:val="006F1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880"/>
    <w:pPr>
      <w:keepNext/>
      <w:keepLines/>
      <w:spacing w:before="480" w:after="480" w:line="480" w:lineRule="exact"/>
      <w:outlineLvl w:val="1"/>
    </w:pPr>
    <w:rPr>
      <w:rFonts w:eastAsiaTheme="majorEastAsia" w:cstheme="majorBidi"/>
      <w:bCs/>
      <w:color w:val="0066FF"/>
      <w:sz w:val="32"/>
      <w:szCs w:val="26"/>
    </w:rPr>
  </w:style>
  <w:style w:type="paragraph" w:styleId="Heading3">
    <w:name w:val="heading 3"/>
    <w:basedOn w:val="Normal"/>
    <w:next w:val="Normal"/>
    <w:link w:val="Heading3Char"/>
    <w:uiPriority w:val="9"/>
    <w:semiHidden/>
    <w:unhideWhenUsed/>
    <w:qFormat/>
    <w:rsid w:val="00901D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C97148"/>
    <w:pPr>
      <w:keepNext/>
      <w:keepLines/>
      <w:tabs>
        <w:tab w:val="left" w:pos="567"/>
      </w:tabs>
      <w:snapToGrid w:val="0"/>
      <w:spacing w:before="40" w:after="0" w:line="240" w:lineRule="auto"/>
      <w:jc w:val="both"/>
      <w:outlineLvl w:val="3"/>
    </w:pPr>
    <w:rPr>
      <w:rFonts w:asciiTheme="majorHAnsi" w:eastAsiaTheme="majorEastAsia" w:hAnsiTheme="majorHAnsi" w:cstheme="majorBidi"/>
      <w:i/>
      <w:iCs/>
      <w:snapToGrid w:val="0"/>
      <w:color w:val="00206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60B8"/>
    <w:pPr>
      <w:widowControl w:val="0"/>
      <w:snapToGrid w:val="0"/>
      <w:spacing w:after="60" w:line="180" w:lineRule="exact"/>
      <w:ind w:left="340" w:hanging="340"/>
      <w:contextualSpacing/>
      <w:jc w:val="both"/>
    </w:pPr>
    <w:rPr>
      <w:rFonts w:eastAsia="SimSun" w:cs="Arial"/>
      <w:snapToGrid w:val="0"/>
      <w:sz w:val="16"/>
      <w:szCs w:val="16"/>
      <w:lang w:eastAsia="zh-CN"/>
    </w:rPr>
  </w:style>
  <w:style w:type="character" w:customStyle="1" w:styleId="FootnoteTextChar">
    <w:name w:val="Footnote Text Char"/>
    <w:link w:val="FootnoteText"/>
    <w:rsid w:val="008560B8"/>
    <w:rPr>
      <w:rFonts w:ascii="Arial" w:eastAsia="SimSun" w:hAnsi="Arial" w:cs="Arial"/>
      <w:snapToGrid w:val="0"/>
      <w:sz w:val="16"/>
      <w:szCs w:val="16"/>
      <w:lang w:eastAsia="zh-CN"/>
    </w:rPr>
  </w:style>
  <w:style w:type="character" w:styleId="FootnoteReference">
    <w:name w:val="footnote reference"/>
    <w:uiPriority w:val="99"/>
    <w:rsid w:val="008560B8"/>
    <w:rPr>
      <w:rFonts w:ascii="Arial" w:hAnsi="Arial"/>
      <w:sz w:val="14"/>
      <w:szCs w:val="14"/>
      <w:vertAlign w:val="superscript"/>
    </w:rPr>
  </w:style>
  <w:style w:type="character" w:styleId="Hyperlink">
    <w:name w:val="Hyperlink"/>
    <w:basedOn w:val="DefaultParagraphFont"/>
    <w:uiPriority w:val="99"/>
    <w:unhideWhenUsed/>
    <w:rsid w:val="008D1894"/>
    <w:rPr>
      <w:color w:val="0000FF" w:themeColor="hyperlink"/>
      <w:u w:val="single"/>
    </w:rPr>
  </w:style>
  <w:style w:type="paragraph" w:styleId="Header">
    <w:name w:val="header"/>
    <w:basedOn w:val="Normal"/>
    <w:link w:val="HeaderChar"/>
    <w:uiPriority w:val="99"/>
    <w:unhideWhenUsed/>
    <w:rsid w:val="003E73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7324"/>
  </w:style>
  <w:style w:type="paragraph" w:styleId="Footer">
    <w:name w:val="footer"/>
    <w:basedOn w:val="Normal"/>
    <w:link w:val="FooterChar"/>
    <w:uiPriority w:val="99"/>
    <w:unhideWhenUsed/>
    <w:rsid w:val="003E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324"/>
  </w:style>
  <w:style w:type="paragraph" w:styleId="BalloonText">
    <w:name w:val="Balloon Text"/>
    <w:basedOn w:val="Normal"/>
    <w:link w:val="BalloonTextChar"/>
    <w:uiPriority w:val="99"/>
    <w:semiHidden/>
    <w:unhideWhenUsed/>
    <w:rsid w:val="00EF6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482"/>
    <w:rPr>
      <w:rFonts w:ascii="Tahoma" w:hAnsi="Tahoma" w:cs="Tahoma"/>
      <w:sz w:val="16"/>
      <w:szCs w:val="16"/>
    </w:rPr>
  </w:style>
  <w:style w:type="character" w:styleId="FollowedHyperlink">
    <w:name w:val="FollowedHyperlink"/>
    <w:basedOn w:val="DefaultParagraphFont"/>
    <w:uiPriority w:val="99"/>
    <w:semiHidden/>
    <w:unhideWhenUsed/>
    <w:rsid w:val="00D6107C"/>
    <w:rPr>
      <w:color w:val="800080" w:themeColor="followedHyperlink"/>
      <w:u w:val="single"/>
    </w:rPr>
  </w:style>
  <w:style w:type="character" w:customStyle="1" w:styleId="field-content">
    <w:name w:val="field-content"/>
    <w:basedOn w:val="DefaultParagraphFont"/>
    <w:rsid w:val="003719FE"/>
  </w:style>
  <w:style w:type="paragraph" w:styleId="ListParagraph">
    <w:name w:val="List Paragraph"/>
    <w:basedOn w:val="Normal"/>
    <w:uiPriority w:val="34"/>
    <w:qFormat/>
    <w:rsid w:val="00E94D95"/>
    <w:pPr>
      <w:tabs>
        <w:tab w:val="left" w:pos="360"/>
      </w:tabs>
      <w:snapToGrid w:val="0"/>
      <w:spacing w:before="120" w:after="120" w:line="240" w:lineRule="auto"/>
      <w:ind w:left="720" w:hanging="360"/>
      <w:jc w:val="both"/>
    </w:pPr>
    <w:rPr>
      <w:rFonts w:eastAsia="SimSun" w:cs="Arial"/>
      <w:snapToGrid w:val="0"/>
      <w:szCs w:val="24"/>
      <w:lang w:val="en-US" w:eastAsia="zh-CN"/>
    </w:rPr>
  </w:style>
  <w:style w:type="character" w:styleId="Emphasis">
    <w:name w:val="Emphasis"/>
    <w:basedOn w:val="DefaultParagraphFont"/>
    <w:uiPriority w:val="20"/>
    <w:qFormat/>
    <w:rsid w:val="006933A6"/>
    <w:rPr>
      <w:b/>
      <w:bCs/>
      <w:i w:val="0"/>
      <w:iCs w:val="0"/>
    </w:rPr>
  </w:style>
  <w:style w:type="character" w:customStyle="1" w:styleId="st1">
    <w:name w:val="st1"/>
    <w:basedOn w:val="DefaultParagraphFont"/>
    <w:rsid w:val="006933A6"/>
  </w:style>
  <w:style w:type="character" w:customStyle="1" w:styleId="Heading1Char">
    <w:name w:val="Heading 1 Char"/>
    <w:basedOn w:val="DefaultParagraphFont"/>
    <w:link w:val="Heading1"/>
    <w:uiPriority w:val="9"/>
    <w:rsid w:val="006F1E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F1E0B"/>
    <w:pPr>
      <w:outlineLvl w:val="9"/>
    </w:pPr>
    <w:rPr>
      <w:lang w:val="en-US" w:eastAsia="ja-JP"/>
    </w:rPr>
  </w:style>
  <w:style w:type="paragraph" w:styleId="TOC2">
    <w:name w:val="toc 2"/>
    <w:basedOn w:val="Normal"/>
    <w:next w:val="Normal"/>
    <w:autoRedefine/>
    <w:uiPriority w:val="39"/>
    <w:unhideWhenUsed/>
    <w:qFormat/>
    <w:rsid w:val="006F1E0B"/>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01DD9"/>
    <w:pPr>
      <w:tabs>
        <w:tab w:val="right" w:pos="9062"/>
      </w:tabs>
      <w:spacing w:after="100"/>
    </w:pPr>
    <w:rPr>
      <w:rFonts w:eastAsiaTheme="minorEastAsia" w:cs="Arial"/>
      <w:noProof/>
      <w:lang w:eastAsia="ja-JP"/>
    </w:rPr>
  </w:style>
  <w:style w:type="paragraph" w:styleId="TOC3">
    <w:name w:val="toc 3"/>
    <w:basedOn w:val="Normal"/>
    <w:next w:val="Normal"/>
    <w:autoRedefine/>
    <w:uiPriority w:val="39"/>
    <w:semiHidden/>
    <w:unhideWhenUsed/>
    <w:qFormat/>
    <w:rsid w:val="006F1E0B"/>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5B2880"/>
    <w:rPr>
      <w:rFonts w:ascii="Arial" w:eastAsiaTheme="majorEastAsia" w:hAnsi="Arial" w:cstheme="majorBidi"/>
      <w:bCs/>
      <w:color w:val="0066FF"/>
      <w:sz w:val="32"/>
      <w:szCs w:val="26"/>
    </w:rPr>
  </w:style>
  <w:style w:type="character" w:customStyle="1" w:styleId="Heading3Char">
    <w:name w:val="Heading 3 Char"/>
    <w:basedOn w:val="DefaultParagraphFont"/>
    <w:link w:val="Heading3"/>
    <w:uiPriority w:val="9"/>
    <w:semiHidden/>
    <w:rsid w:val="00901DD9"/>
    <w:rPr>
      <w:rFonts w:asciiTheme="majorHAnsi" w:eastAsiaTheme="majorEastAsia" w:hAnsiTheme="majorHAnsi" w:cstheme="majorBidi"/>
      <w:b/>
      <w:bCs/>
      <w:color w:val="4F81BD" w:themeColor="accent1"/>
    </w:rPr>
  </w:style>
  <w:style w:type="paragraph" w:customStyle="1" w:styleId="Style1">
    <w:name w:val="Style1"/>
    <w:basedOn w:val="Normal"/>
    <w:link w:val="Style1Char"/>
    <w:qFormat/>
    <w:rsid w:val="000F0147"/>
    <w:rPr>
      <w:b/>
    </w:rPr>
  </w:style>
  <w:style w:type="character" w:customStyle="1" w:styleId="Style1Char">
    <w:name w:val="Style1 Char"/>
    <w:basedOn w:val="DefaultParagraphFont"/>
    <w:link w:val="Style1"/>
    <w:rsid w:val="000F0147"/>
    <w:rPr>
      <w:b/>
    </w:rPr>
  </w:style>
  <w:style w:type="paragraph" w:customStyle="1" w:styleId="nospaces">
    <w:name w:val="no spaces"/>
    <w:basedOn w:val="Normal"/>
    <w:rsid w:val="008560B8"/>
    <w:pPr>
      <w:tabs>
        <w:tab w:val="left" w:pos="567"/>
      </w:tabs>
      <w:snapToGrid w:val="0"/>
      <w:spacing w:before="120" w:after="0" w:line="240" w:lineRule="auto"/>
      <w:jc w:val="both"/>
    </w:pPr>
    <w:rPr>
      <w:rFonts w:eastAsia="SimSun" w:cs="Arial"/>
      <w:snapToGrid w:val="0"/>
      <w:szCs w:val="24"/>
      <w:lang w:val="en-US" w:eastAsia="zh-CN"/>
    </w:rPr>
  </w:style>
  <w:style w:type="paragraph" w:customStyle="1" w:styleId="Nospaces0">
    <w:name w:val="No spaces"/>
    <w:basedOn w:val="nospaces"/>
    <w:qFormat/>
    <w:rsid w:val="008560B8"/>
    <w:pPr>
      <w:jc w:val="left"/>
    </w:pPr>
    <w:rPr>
      <w:sz w:val="20"/>
      <w:szCs w:val="20"/>
    </w:rPr>
  </w:style>
  <w:style w:type="paragraph" w:customStyle="1" w:styleId="HO1">
    <w:name w:val="HO1"/>
    <w:basedOn w:val="Normal"/>
    <w:link w:val="HO1Car"/>
    <w:rsid w:val="00CA7899"/>
    <w:pPr>
      <w:keepNext/>
      <w:keepLines/>
      <w:tabs>
        <w:tab w:val="left" w:pos="567"/>
      </w:tabs>
      <w:snapToGrid w:val="0"/>
      <w:spacing w:before="480" w:after="0" w:line="480" w:lineRule="exact"/>
      <w:outlineLvl w:val="0"/>
    </w:pPr>
    <w:rPr>
      <w:rFonts w:eastAsia="Times New Roman" w:cs="Arial"/>
      <w:b/>
      <w:bCs/>
      <w:noProof/>
      <w:snapToGrid w:val="0"/>
      <w:color w:val="3366FF"/>
      <w:sz w:val="32"/>
      <w:szCs w:val="32"/>
      <w:lang w:val="en-US" w:eastAsia="zh-CN"/>
    </w:rPr>
  </w:style>
  <w:style w:type="character" w:customStyle="1" w:styleId="HO1Car">
    <w:name w:val="HO1 Car"/>
    <w:basedOn w:val="DefaultParagraphFont"/>
    <w:link w:val="HO1"/>
    <w:rsid w:val="00CA7899"/>
    <w:rPr>
      <w:rFonts w:ascii="Arial" w:eastAsia="Times New Roman" w:hAnsi="Arial" w:cs="Arial"/>
      <w:b/>
      <w:bCs/>
      <w:noProof/>
      <w:snapToGrid w:val="0"/>
      <w:color w:val="3366FF"/>
      <w:sz w:val="32"/>
      <w:szCs w:val="32"/>
      <w:lang w:val="en-US" w:eastAsia="zh-CN"/>
    </w:rPr>
  </w:style>
  <w:style w:type="paragraph" w:customStyle="1" w:styleId="HO2">
    <w:name w:val="HO2"/>
    <w:basedOn w:val="HO1"/>
    <w:link w:val="HO2Car"/>
    <w:rsid w:val="00CA7899"/>
    <w:pPr>
      <w:spacing w:before="0" w:after="480"/>
    </w:pPr>
    <w:rPr>
      <w:caps/>
    </w:rPr>
  </w:style>
  <w:style w:type="character" w:customStyle="1" w:styleId="HO2Car">
    <w:name w:val="HO2 Car"/>
    <w:basedOn w:val="HO1Car"/>
    <w:link w:val="HO2"/>
    <w:rsid w:val="00CA7899"/>
    <w:rPr>
      <w:rFonts w:ascii="Arial" w:eastAsia="Times New Roman" w:hAnsi="Arial" w:cs="Arial"/>
      <w:b/>
      <w:bCs/>
      <w:caps/>
      <w:noProof/>
      <w:snapToGrid w:val="0"/>
      <w:color w:val="3366FF"/>
      <w:sz w:val="32"/>
      <w:szCs w:val="32"/>
      <w:lang w:val="en-US" w:eastAsia="zh-CN"/>
    </w:rPr>
  </w:style>
  <w:style w:type="paragraph" w:customStyle="1" w:styleId="Chapitre">
    <w:name w:val="Chapitre"/>
    <w:basedOn w:val="Heading1"/>
    <w:link w:val="ChapitreCar"/>
    <w:rsid w:val="00CA7899"/>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CA7899"/>
    <w:rPr>
      <w:rFonts w:ascii="Arial" w:eastAsia="Times New Roman" w:hAnsi="Arial" w:cs="Arial"/>
      <w:b/>
      <w:bCs/>
      <w:caps/>
      <w:noProof/>
      <w:snapToGrid w:val="0"/>
      <w:color w:val="3366FF"/>
      <w:kern w:val="28"/>
      <w:sz w:val="70"/>
      <w:szCs w:val="70"/>
      <w:lang w:val="en-GB" w:eastAsia="zh-CN"/>
    </w:rPr>
  </w:style>
  <w:style w:type="paragraph" w:customStyle="1" w:styleId="Texte1">
    <w:name w:val="Texte1"/>
    <w:basedOn w:val="Normal"/>
    <w:link w:val="Texte1Car"/>
    <w:rsid w:val="00CA7899"/>
    <w:pPr>
      <w:tabs>
        <w:tab w:val="left" w:pos="567"/>
      </w:tabs>
      <w:snapToGrid w:val="0"/>
      <w:spacing w:after="60" w:line="280" w:lineRule="exact"/>
      <w:ind w:left="851"/>
      <w:jc w:val="both"/>
    </w:pPr>
    <w:rPr>
      <w:rFonts w:eastAsia="SimSun" w:cs="Arial"/>
      <w:snapToGrid w:val="0"/>
      <w:sz w:val="20"/>
      <w:szCs w:val="24"/>
      <w:lang w:eastAsia="zh-CN"/>
    </w:rPr>
  </w:style>
  <w:style w:type="character" w:customStyle="1" w:styleId="Texte1Car">
    <w:name w:val="Texte1 Car"/>
    <w:link w:val="Texte1"/>
    <w:rsid w:val="00CA7899"/>
    <w:rPr>
      <w:rFonts w:ascii="Arial" w:eastAsia="SimSun" w:hAnsi="Arial" w:cs="Arial"/>
      <w:snapToGrid w:val="0"/>
      <w:sz w:val="20"/>
      <w:szCs w:val="24"/>
      <w:lang w:eastAsia="zh-CN"/>
    </w:rPr>
  </w:style>
  <w:style w:type="character" w:customStyle="1" w:styleId="Heading4Char">
    <w:name w:val="Heading 4 Char"/>
    <w:basedOn w:val="DefaultParagraphFont"/>
    <w:link w:val="Heading4"/>
    <w:rsid w:val="00C97148"/>
    <w:rPr>
      <w:rFonts w:asciiTheme="majorHAnsi" w:eastAsiaTheme="majorEastAsia" w:hAnsiTheme="majorHAnsi" w:cstheme="majorBidi"/>
      <w:i/>
      <w:iCs/>
      <w:snapToGrid w:val="0"/>
      <w:color w:val="002060"/>
      <w:szCs w:val="24"/>
      <w:lang w:val="en-US" w:eastAsia="zh-CN"/>
    </w:rPr>
  </w:style>
  <w:style w:type="paragraph" w:customStyle="1" w:styleId="Soustitre">
    <w:name w:val="Soustitre"/>
    <w:basedOn w:val="Normal"/>
    <w:link w:val="SoustitreCar"/>
    <w:qFormat/>
    <w:rsid w:val="00C97148"/>
    <w:pPr>
      <w:keepNext/>
      <w:spacing w:before="200" w:after="60" w:line="280" w:lineRule="exact"/>
      <w:ind w:left="851"/>
    </w:pPr>
    <w:rPr>
      <w:rFonts w:eastAsia="SimSun" w:cs="Arial"/>
      <w:b/>
      <w:bCs/>
      <w:i/>
      <w:noProof/>
      <w:snapToGrid w:val="0"/>
      <w:sz w:val="20"/>
      <w:szCs w:val="20"/>
    </w:rPr>
  </w:style>
  <w:style w:type="character" w:customStyle="1" w:styleId="SoustitreCar">
    <w:name w:val="Soustitre Car"/>
    <w:link w:val="Soustitre"/>
    <w:rsid w:val="00C97148"/>
    <w:rPr>
      <w:rFonts w:ascii="Arial" w:eastAsia="SimSun" w:hAnsi="Arial" w:cs="Arial"/>
      <w:b/>
      <w:bCs/>
      <w:i/>
      <w:noProof/>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D9"/>
    <w:rPr>
      <w:rFonts w:ascii="Arial" w:hAnsi="Arial"/>
    </w:rPr>
  </w:style>
  <w:style w:type="paragraph" w:styleId="Heading1">
    <w:name w:val="heading 1"/>
    <w:basedOn w:val="Normal"/>
    <w:next w:val="Normal"/>
    <w:link w:val="Heading1Char"/>
    <w:uiPriority w:val="9"/>
    <w:qFormat/>
    <w:rsid w:val="006F1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880"/>
    <w:pPr>
      <w:keepNext/>
      <w:keepLines/>
      <w:spacing w:before="480" w:after="480" w:line="480" w:lineRule="exact"/>
      <w:outlineLvl w:val="1"/>
    </w:pPr>
    <w:rPr>
      <w:rFonts w:eastAsiaTheme="majorEastAsia" w:cstheme="majorBidi"/>
      <w:bCs/>
      <w:color w:val="0066FF"/>
      <w:sz w:val="32"/>
      <w:szCs w:val="26"/>
    </w:rPr>
  </w:style>
  <w:style w:type="paragraph" w:styleId="Heading3">
    <w:name w:val="heading 3"/>
    <w:basedOn w:val="Normal"/>
    <w:next w:val="Normal"/>
    <w:link w:val="Heading3Char"/>
    <w:uiPriority w:val="9"/>
    <w:semiHidden/>
    <w:unhideWhenUsed/>
    <w:qFormat/>
    <w:rsid w:val="00901D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C97148"/>
    <w:pPr>
      <w:keepNext/>
      <w:keepLines/>
      <w:tabs>
        <w:tab w:val="left" w:pos="567"/>
      </w:tabs>
      <w:snapToGrid w:val="0"/>
      <w:spacing w:before="40" w:after="0" w:line="240" w:lineRule="auto"/>
      <w:jc w:val="both"/>
      <w:outlineLvl w:val="3"/>
    </w:pPr>
    <w:rPr>
      <w:rFonts w:asciiTheme="majorHAnsi" w:eastAsiaTheme="majorEastAsia" w:hAnsiTheme="majorHAnsi" w:cstheme="majorBidi"/>
      <w:i/>
      <w:iCs/>
      <w:snapToGrid w:val="0"/>
      <w:color w:val="00206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60B8"/>
    <w:pPr>
      <w:widowControl w:val="0"/>
      <w:snapToGrid w:val="0"/>
      <w:spacing w:after="60" w:line="180" w:lineRule="exact"/>
      <w:ind w:left="340" w:hanging="340"/>
      <w:contextualSpacing/>
      <w:jc w:val="both"/>
    </w:pPr>
    <w:rPr>
      <w:rFonts w:eastAsia="SimSun" w:cs="Arial"/>
      <w:snapToGrid w:val="0"/>
      <w:sz w:val="16"/>
      <w:szCs w:val="16"/>
      <w:lang w:eastAsia="zh-CN"/>
    </w:rPr>
  </w:style>
  <w:style w:type="character" w:customStyle="1" w:styleId="FootnoteTextChar">
    <w:name w:val="Footnote Text Char"/>
    <w:link w:val="FootnoteText"/>
    <w:rsid w:val="008560B8"/>
    <w:rPr>
      <w:rFonts w:ascii="Arial" w:eastAsia="SimSun" w:hAnsi="Arial" w:cs="Arial"/>
      <w:snapToGrid w:val="0"/>
      <w:sz w:val="16"/>
      <w:szCs w:val="16"/>
      <w:lang w:eastAsia="zh-CN"/>
    </w:rPr>
  </w:style>
  <w:style w:type="character" w:styleId="FootnoteReference">
    <w:name w:val="footnote reference"/>
    <w:uiPriority w:val="99"/>
    <w:rsid w:val="008560B8"/>
    <w:rPr>
      <w:rFonts w:ascii="Arial" w:hAnsi="Arial"/>
      <w:sz w:val="14"/>
      <w:szCs w:val="14"/>
      <w:vertAlign w:val="superscript"/>
    </w:rPr>
  </w:style>
  <w:style w:type="character" w:styleId="Hyperlink">
    <w:name w:val="Hyperlink"/>
    <w:basedOn w:val="DefaultParagraphFont"/>
    <w:uiPriority w:val="99"/>
    <w:unhideWhenUsed/>
    <w:rsid w:val="008D1894"/>
    <w:rPr>
      <w:color w:val="0000FF" w:themeColor="hyperlink"/>
      <w:u w:val="single"/>
    </w:rPr>
  </w:style>
  <w:style w:type="paragraph" w:styleId="Header">
    <w:name w:val="header"/>
    <w:basedOn w:val="Normal"/>
    <w:link w:val="HeaderChar"/>
    <w:uiPriority w:val="99"/>
    <w:unhideWhenUsed/>
    <w:rsid w:val="003E73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7324"/>
  </w:style>
  <w:style w:type="paragraph" w:styleId="Footer">
    <w:name w:val="footer"/>
    <w:basedOn w:val="Normal"/>
    <w:link w:val="FooterChar"/>
    <w:uiPriority w:val="99"/>
    <w:unhideWhenUsed/>
    <w:rsid w:val="003E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324"/>
  </w:style>
  <w:style w:type="paragraph" w:styleId="BalloonText">
    <w:name w:val="Balloon Text"/>
    <w:basedOn w:val="Normal"/>
    <w:link w:val="BalloonTextChar"/>
    <w:uiPriority w:val="99"/>
    <w:semiHidden/>
    <w:unhideWhenUsed/>
    <w:rsid w:val="00EF6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482"/>
    <w:rPr>
      <w:rFonts w:ascii="Tahoma" w:hAnsi="Tahoma" w:cs="Tahoma"/>
      <w:sz w:val="16"/>
      <w:szCs w:val="16"/>
    </w:rPr>
  </w:style>
  <w:style w:type="character" w:styleId="FollowedHyperlink">
    <w:name w:val="FollowedHyperlink"/>
    <w:basedOn w:val="DefaultParagraphFont"/>
    <w:uiPriority w:val="99"/>
    <w:semiHidden/>
    <w:unhideWhenUsed/>
    <w:rsid w:val="00D6107C"/>
    <w:rPr>
      <w:color w:val="800080" w:themeColor="followedHyperlink"/>
      <w:u w:val="single"/>
    </w:rPr>
  </w:style>
  <w:style w:type="character" w:customStyle="1" w:styleId="field-content">
    <w:name w:val="field-content"/>
    <w:basedOn w:val="DefaultParagraphFont"/>
    <w:rsid w:val="003719FE"/>
  </w:style>
  <w:style w:type="paragraph" w:styleId="ListParagraph">
    <w:name w:val="List Paragraph"/>
    <w:basedOn w:val="Normal"/>
    <w:uiPriority w:val="34"/>
    <w:qFormat/>
    <w:rsid w:val="00E94D95"/>
    <w:pPr>
      <w:tabs>
        <w:tab w:val="left" w:pos="360"/>
      </w:tabs>
      <w:snapToGrid w:val="0"/>
      <w:spacing w:before="120" w:after="120" w:line="240" w:lineRule="auto"/>
      <w:ind w:left="720" w:hanging="360"/>
      <w:jc w:val="both"/>
    </w:pPr>
    <w:rPr>
      <w:rFonts w:eastAsia="SimSun" w:cs="Arial"/>
      <w:snapToGrid w:val="0"/>
      <w:szCs w:val="24"/>
      <w:lang w:val="en-US" w:eastAsia="zh-CN"/>
    </w:rPr>
  </w:style>
  <w:style w:type="character" w:styleId="Emphasis">
    <w:name w:val="Emphasis"/>
    <w:basedOn w:val="DefaultParagraphFont"/>
    <w:uiPriority w:val="20"/>
    <w:qFormat/>
    <w:rsid w:val="006933A6"/>
    <w:rPr>
      <w:b/>
      <w:bCs/>
      <w:i w:val="0"/>
      <w:iCs w:val="0"/>
    </w:rPr>
  </w:style>
  <w:style w:type="character" w:customStyle="1" w:styleId="st1">
    <w:name w:val="st1"/>
    <w:basedOn w:val="DefaultParagraphFont"/>
    <w:rsid w:val="006933A6"/>
  </w:style>
  <w:style w:type="character" w:customStyle="1" w:styleId="Heading1Char">
    <w:name w:val="Heading 1 Char"/>
    <w:basedOn w:val="DefaultParagraphFont"/>
    <w:link w:val="Heading1"/>
    <w:uiPriority w:val="9"/>
    <w:rsid w:val="006F1E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F1E0B"/>
    <w:pPr>
      <w:outlineLvl w:val="9"/>
    </w:pPr>
    <w:rPr>
      <w:lang w:val="en-US" w:eastAsia="ja-JP"/>
    </w:rPr>
  </w:style>
  <w:style w:type="paragraph" w:styleId="TOC2">
    <w:name w:val="toc 2"/>
    <w:basedOn w:val="Normal"/>
    <w:next w:val="Normal"/>
    <w:autoRedefine/>
    <w:uiPriority w:val="39"/>
    <w:unhideWhenUsed/>
    <w:qFormat/>
    <w:rsid w:val="006F1E0B"/>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01DD9"/>
    <w:pPr>
      <w:tabs>
        <w:tab w:val="right" w:pos="9062"/>
      </w:tabs>
      <w:spacing w:after="100"/>
    </w:pPr>
    <w:rPr>
      <w:rFonts w:eastAsiaTheme="minorEastAsia" w:cs="Arial"/>
      <w:noProof/>
      <w:lang w:eastAsia="ja-JP"/>
    </w:rPr>
  </w:style>
  <w:style w:type="paragraph" w:styleId="TOC3">
    <w:name w:val="toc 3"/>
    <w:basedOn w:val="Normal"/>
    <w:next w:val="Normal"/>
    <w:autoRedefine/>
    <w:uiPriority w:val="39"/>
    <w:semiHidden/>
    <w:unhideWhenUsed/>
    <w:qFormat/>
    <w:rsid w:val="006F1E0B"/>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5B2880"/>
    <w:rPr>
      <w:rFonts w:ascii="Arial" w:eastAsiaTheme="majorEastAsia" w:hAnsi="Arial" w:cstheme="majorBidi"/>
      <w:bCs/>
      <w:color w:val="0066FF"/>
      <w:sz w:val="32"/>
      <w:szCs w:val="26"/>
    </w:rPr>
  </w:style>
  <w:style w:type="character" w:customStyle="1" w:styleId="Heading3Char">
    <w:name w:val="Heading 3 Char"/>
    <w:basedOn w:val="DefaultParagraphFont"/>
    <w:link w:val="Heading3"/>
    <w:uiPriority w:val="9"/>
    <w:semiHidden/>
    <w:rsid w:val="00901DD9"/>
    <w:rPr>
      <w:rFonts w:asciiTheme="majorHAnsi" w:eastAsiaTheme="majorEastAsia" w:hAnsiTheme="majorHAnsi" w:cstheme="majorBidi"/>
      <w:b/>
      <w:bCs/>
      <w:color w:val="4F81BD" w:themeColor="accent1"/>
    </w:rPr>
  </w:style>
  <w:style w:type="paragraph" w:customStyle="1" w:styleId="Style1">
    <w:name w:val="Style1"/>
    <w:basedOn w:val="Normal"/>
    <w:link w:val="Style1Char"/>
    <w:qFormat/>
    <w:rsid w:val="000F0147"/>
    <w:rPr>
      <w:b/>
    </w:rPr>
  </w:style>
  <w:style w:type="character" w:customStyle="1" w:styleId="Style1Char">
    <w:name w:val="Style1 Char"/>
    <w:basedOn w:val="DefaultParagraphFont"/>
    <w:link w:val="Style1"/>
    <w:rsid w:val="000F0147"/>
    <w:rPr>
      <w:b/>
    </w:rPr>
  </w:style>
  <w:style w:type="paragraph" w:customStyle="1" w:styleId="nospaces">
    <w:name w:val="no spaces"/>
    <w:basedOn w:val="Normal"/>
    <w:rsid w:val="008560B8"/>
    <w:pPr>
      <w:tabs>
        <w:tab w:val="left" w:pos="567"/>
      </w:tabs>
      <w:snapToGrid w:val="0"/>
      <w:spacing w:before="120" w:after="0" w:line="240" w:lineRule="auto"/>
      <w:jc w:val="both"/>
    </w:pPr>
    <w:rPr>
      <w:rFonts w:eastAsia="SimSun" w:cs="Arial"/>
      <w:snapToGrid w:val="0"/>
      <w:szCs w:val="24"/>
      <w:lang w:val="en-US" w:eastAsia="zh-CN"/>
    </w:rPr>
  </w:style>
  <w:style w:type="paragraph" w:customStyle="1" w:styleId="Nospaces0">
    <w:name w:val="No spaces"/>
    <w:basedOn w:val="nospaces"/>
    <w:qFormat/>
    <w:rsid w:val="008560B8"/>
    <w:pPr>
      <w:jc w:val="left"/>
    </w:pPr>
    <w:rPr>
      <w:sz w:val="20"/>
      <w:szCs w:val="20"/>
    </w:rPr>
  </w:style>
  <w:style w:type="paragraph" w:customStyle="1" w:styleId="HO1">
    <w:name w:val="HO1"/>
    <w:basedOn w:val="Normal"/>
    <w:link w:val="HO1Car"/>
    <w:rsid w:val="00CA7899"/>
    <w:pPr>
      <w:keepNext/>
      <w:keepLines/>
      <w:tabs>
        <w:tab w:val="left" w:pos="567"/>
      </w:tabs>
      <w:snapToGrid w:val="0"/>
      <w:spacing w:before="480" w:after="0" w:line="480" w:lineRule="exact"/>
      <w:outlineLvl w:val="0"/>
    </w:pPr>
    <w:rPr>
      <w:rFonts w:eastAsia="Times New Roman" w:cs="Arial"/>
      <w:b/>
      <w:bCs/>
      <w:noProof/>
      <w:snapToGrid w:val="0"/>
      <w:color w:val="3366FF"/>
      <w:sz w:val="32"/>
      <w:szCs w:val="32"/>
      <w:lang w:val="en-US" w:eastAsia="zh-CN"/>
    </w:rPr>
  </w:style>
  <w:style w:type="character" w:customStyle="1" w:styleId="HO1Car">
    <w:name w:val="HO1 Car"/>
    <w:basedOn w:val="DefaultParagraphFont"/>
    <w:link w:val="HO1"/>
    <w:rsid w:val="00CA7899"/>
    <w:rPr>
      <w:rFonts w:ascii="Arial" w:eastAsia="Times New Roman" w:hAnsi="Arial" w:cs="Arial"/>
      <w:b/>
      <w:bCs/>
      <w:noProof/>
      <w:snapToGrid w:val="0"/>
      <w:color w:val="3366FF"/>
      <w:sz w:val="32"/>
      <w:szCs w:val="32"/>
      <w:lang w:val="en-US" w:eastAsia="zh-CN"/>
    </w:rPr>
  </w:style>
  <w:style w:type="paragraph" w:customStyle="1" w:styleId="HO2">
    <w:name w:val="HO2"/>
    <w:basedOn w:val="HO1"/>
    <w:link w:val="HO2Car"/>
    <w:rsid w:val="00CA7899"/>
    <w:pPr>
      <w:spacing w:before="0" w:after="480"/>
    </w:pPr>
    <w:rPr>
      <w:caps/>
    </w:rPr>
  </w:style>
  <w:style w:type="character" w:customStyle="1" w:styleId="HO2Car">
    <w:name w:val="HO2 Car"/>
    <w:basedOn w:val="HO1Car"/>
    <w:link w:val="HO2"/>
    <w:rsid w:val="00CA7899"/>
    <w:rPr>
      <w:rFonts w:ascii="Arial" w:eastAsia="Times New Roman" w:hAnsi="Arial" w:cs="Arial"/>
      <w:b/>
      <w:bCs/>
      <w:caps/>
      <w:noProof/>
      <w:snapToGrid w:val="0"/>
      <w:color w:val="3366FF"/>
      <w:sz w:val="32"/>
      <w:szCs w:val="32"/>
      <w:lang w:val="en-US" w:eastAsia="zh-CN"/>
    </w:rPr>
  </w:style>
  <w:style w:type="paragraph" w:customStyle="1" w:styleId="Chapitre">
    <w:name w:val="Chapitre"/>
    <w:basedOn w:val="Heading1"/>
    <w:link w:val="ChapitreCar"/>
    <w:rsid w:val="00CA7899"/>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CA7899"/>
    <w:rPr>
      <w:rFonts w:ascii="Arial" w:eastAsia="Times New Roman" w:hAnsi="Arial" w:cs="Arial"/>
      <w:b/>
      <w:bCs/>
      <w:caps/>
      <w:noProof/>
      <w:snapToGrid w:val="0"/>
      <w:color w:val="3366FF"/>
      <w:kern w:val="28"/>
      <w:sz w:val="70"/>
      <w:szCs w:val="70"/>
      <w:lang w:val="en-GB" w:eastAsia="zh-CN"/>
    </w:rPr>
  </w:style>
  <w:style w:type="paragraph" w:customStyle="1" w:styleId="Texte1">
    <w:name w:val="Texte1"/>
    <w:basedOn w:val="Normal"/>
    <w:link w:val="Texte1Car"/>
    <w:rsid w:val="00CA7899"/>
    <w:pPr>
      <w:tabs>
        <w:tab w:val="left" w:pos="567"/>
      </w:tabs>
      <w:snapToGrid w:val="0"/>
      <w:spacing w:after="60" w:line="280" w:lineRule="exact"/>
      <w:ind w:left="851"/>
      <w:jc w:val="both"/>
    </w:pPr>
    <w:rPr>
      <w:rFonts w:eastAsia="SimSun" w:cs="Arial"/>
      <w:snapToGrid w:val="0"/>
      <w:sz w:val="20"/>
      <w:szCs w:val="24"/>
      <w:lang w:eastAsia="zh-CN"/>
    </w:rPr>
  </w:style>
  <w:style w:type="character" w:customStyle="1" w:styleId="Texte1Car">
    <w:name w:val="Texte1 Car"/>
    <w:link w:val="Texte1"/>
    <w:rsid w:val="00CA7899"/>
    <w:rPr>
      <w:rFonts w:ascii="Arial" w:eastAsia="SimSun" w:hAnsi="Arial" w:cs="Arial"/>
      <w:snapToGrid w:val="0"/>
      <w:sz w:val="20"/>
      <w:szCs w:val="24"/>
      <w:lang w:eastAsia="zh-CN"/>
    </w:rPr>
  </w:style>
  <w:style w:type="character" w:customStyle="1" w:styleId="Heading4Char">
    <w:name w:val="Heading 4 Char"/>
    <w:basedOn w:val="DefaultParagraphFont"/>
    <w:link w:val="Heading4"/>
    <w:rsid w:val="00C97148"/>
    <w:rPr>
      <w:rFonts w:asciiTheme="majorHAnsi" w:eastAsiaTheme="majorEastAsia" w:hAnsiTheme="majorHAnsi" w:cstheme="majorBidi"/>
      <w:i/>
      <w:iCs/>
      <w:snapToGrid w:val="0"/>
      <w:color w:val="002060"/>
      <w:szCs w:val="24"/>
      <w:lang w:val="en-US" w:eastAsia="zh-CN"/>
    </w:rPr>
  </w:style>
  <w:style w:type="paragraph" w:customStyle="1" w:styleId="Soustitre">
    <w:name w:val="Soustitre"/>
    <w:basedOn w:val="Normal"/>
    <w:link w:val="SoustitreCar"/>
    <w:qFormat/>
    <w:rsid w:val="00C97148"/>
    <w:pPr>
      <w:keepNext/>
      <w:spacing w:before="200" w:after="60" w:line="280" w:lineRule="exact"/>
      <w:ind w:left="851"/>
    </w:pPr>
    <w:rPr>
      <w:rFonts w:eastAsia="SimSun" w:cs="Arial"/>
      <w:b/>
      <w:bCs/>
      <w:i/>
      <w:noProof/>
      <w:snapToGrid w:val="0"/>
      <w:sz w:val="20"/>
      <w:szCs w:val="20"/>
    </w:rPr>
  </w:style>
  <w:style w:type="character" w:customStyle="1" w:styleId="SoustitreCar">
    <w:name w:val="Soustitre Car"/>
    <w:link w:val="Soustitre"/>
    <w:rsid w:val="00C97148"/>
    <w:rPr>
      <w:rFonts w:ascii="Arial" w:eastAsia="SimSun" w:hAnsi="Arial" w:cs="Arial"/>
      <w:b/>
      <w:bCs/>
      <w:i/>
      <w:noProof/>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72677">
      <w:bodyDiv w:val="1"/>
      <w:marLeft w:val="0"/>
      <w:marRight w:val="0"/>
      <w:marTop w:val="0"/>
      <w:marBottom w:val="0"/>
      <w:divBdr>
        <w:top w:val="none" w:sz="0" w:space="0" w:color="auto"/>
        <w:left w:val="none" w:sz="0" w:space="0" w:color="auto"/>
        <w:bottom w:val="none" w:sz="0" w:space="0" w:color="auto"/>
        <w:right w:val="none" w:sz="0" w:space="0" w:color="auto"/>
      </w:divBdr>
    </w:div>
    <w:div w:id="522212501">
      <w:bodyDiv w:val="1"/>
      <w:marLeft w:val="0"/>
      <w:marRight w:val="0"/>
      <w:marTop w:val="0"/>
      <w:marBottom w:val="0"/>
      <w:divBdr>
        <w:top w:val="none" w:sz="0" w:space="0" w:color="auto"/>
        <w:left w:val="none" w:sz="0" w:space="0" w:color="auto"/>
        <w:bottom w:val="none" w:sz="0" w:space="0" w:color="auto"/>
        <w:right w:val="none" w:sz="0" w:space="0" w:color="auto"/>
      </w:divBdr>
    </w:div>
    <w:div w:id="657462108">
      <w:bodyDiv w:val="1"/>
      <w:marLeft w:val="0"/>
      <w:marRight w:val="0"/>
      <w:marTop w:val="0"/>
      <w:marBottom w:val="0"/>
      <w:divBdr>
        <w:top w:val="none" w:sz="0" w:space="0" w:color="auto"/>
        <w:left w:val="none" w:sz="0" w:space="0" w:color="auto"/>
        <w:bottom w:val="none" w:sz="0" w:space="0" w:color="auto"/>
        <w:right w:val="none" w:sz="0" w:space="0" w:color="auto"/>
      </w:divBdr>
    </w:div>
    <w:div w:id="13945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ur-lex.europa.eu/legal-content/EN/TXT/?uri=CELEX:12008E207" TargetMode="External"/><Relationship Id="rId4" Type="http://schemas.microsoft.com/office/2007/relationships/stylesWithEffects" Target="stylesWithEffects.xml"/><Relationship Id="rId9" Type="http://schemas.openxmlformats.org/officeDocument/2006/relationships/hyperlink" Target="http://eur-lex.europa.eu/legal-content/EN/TXT/?uri=CELEX:12008E167"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trade.ec.europa.eu/doclib/docs/2015/july/tradoc_153635.pdf" TargetMode="External"/><Relationship Id="rId3" Type="http://schemas.openxmlformats.org/officeDocument/2006/relationships/hyperlink" Target="http://egyptianstreets.com/2015/04/08/egypt-bans-import-of-all-foreign-made-egyptian-souvenirs/" TargetMode="External"/><Relationship Id="rId7" Type="http://schemas.openxmlformats.org/officeDocument/2006/relationships/hyperlink" Target="http://www.tralac.org/images/Resources/Tripartite_FTA/TFTA%20Annex%2009%20IPR%20Revised%20Dec%202010.pdf" TargetMode="External"/><Relationship Id="rId2" Type="http://schemas.openxmlformats.org/officeDocument/2006/relationships/hyperlink" Target="http://www.opensocietyfoundations.org/voices/victory-rights-women-rural-south-africa" TargetMode="External"/><Relationship Id="rId1" Type="http://schemas.openxmlformats.org/officeDocument/2006/relationships/hyperlink" Target="http://igad.int/index.php?option=com_content&amp;view=article&amp;id=924:implementation-of-the-igad-sustainable-tourism-master-plan-starts-in-ethiopia&amp;catid=44:economic-cooperation&amp;Itemid=127" TargetMode="External"/><Relationship Id="rId6" Type="http://schemas.openxmlformats.org/officeDocument/2006/relationships/hyperlink" Target="http://www.tralac.org/resources/by-region/comesa-eac-sadc-tripartite-fta.html" TargetMode="External"/><Relationship Id="rId11" Type="http://schemas.openxmlformats.org/officeDocument/2006/relationships/hyperlink" Target="http://usatoday30.usatoday.com/money/industries/retail/story/2012-02-29/navajo-trademark-urban-outfitters/53299172/1" TargetMode="External"/><Relationship Id="rId5" Type="http://schemas.openxmlformats.org/officeDocument/2006/relationships/hyperlink" Target="http://allafrica.com/stories/201508191695.html" TargetMode="External"/><Relationship Id="rId10" Type="http://schemas.openxmlformats.org/officeDocument/2006/relationships/hyperlink" Target="http://epthinktank.eu/2014/08/29/ttip-and-the-cultural-exception/" TargetMode="External"/><Relationship Id="rId4" Type="http://schemas.openxmlformats.org/officeDocument/2006/relationships/hyperlink" Target="http://www.egyptindependent.com/news/minister-bans-importing-folkloric-products-protect-intellectual-property-rights" TargetMode="External"/><Relationship Id="rId9" Type="http://schemas.openxmlformats.org/officeDocument/2006/relationships/hyperlink" Target="http://cultureactioneurope.org/news/ttip-culture-in-the-european-parli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B2D2-C764-4A67-9836-B5F81046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3138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UNESCO</cp:lastModifiedBy>
  <cp:revision>7</cp:revision>
  <cp:lastPrinted>2015-09-18T10:19:00Z</cp:lastPrinted>
  <dcterms:created xsi:type="dcterms:W3CDTF">2016-04-01T11:43:00Z</dcterms:created>
  <dcterms:modified xsi:type="dcterms:W3CDTF">2018-02-20T10:22:00Z</dcterms:modified>
</cp:coreProperties>
</file>