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3756E" w14:textId="25A18608" w:rsidR="00C13EA7" w:rsidRPr="004861AA" w:rsidRDefault="00C13EA7" w:rsidP="004861AA">
      <w:pPr>
        <w:pStyle w:val="Chapitre"/>
        <w:jc w:val="both"/>
        <w:rPr>
          <w:lang w:val="en-US" w:eastAsia="en-US"/>
        </w:rPr>
      </w:pPr>
      <w:r w:rsidRPr="004861AA">
        <w:rPr>
          <w:lang w:val="en-US" w:eastAsia="en-US"/>
        </w:rPr>
        <w:t xml:space="preserve">unit </w:t>
      </w:r>
      <w:r w:rsidR="00911D76">
        <w:rPr>
          <w:lang w:val="en-US" w:eastAsia="en-US"/>
        </w:rPr>
        <w:t>57</w:t>
      </w:r>
    </w:p>
    <w:p w14:paraId="52CCDC09" w14:textId="77777777" w:rsidR="00C13EA7" w:rsidRDefault="00C13EA7" w:rsidP="004861AA">
      <w:pPr>
        <w:pStyle w:val="UPlan"/>
        <w:rPr>
          <w:lang w:val="en-US" w:eastAsia="en-US"/>
        </w:rPr>
      </w:pPr>
      <w:r w:rsidRPr="004861AA">
        <w:rPr>
          <w:lang w:val="en-US" w:eastAsia="en-US"/>
        </w:rPr>
        <w:t>introducing periodic reporting</w:t>
      </w:r>
    </w:p>
    <w:p w14:paraId="1822231F" w14:textId="77777777" w:rsidR="004861AA" w:rsidRPr="004861AA" w:rsidRDefault="004861AA" w:rsidP="004861AA">
      <w:pPr>
        <w:rPr>
          <w:rFonts w:ascii="Arial" w:hAnsi="Arial" w:cs="Arial"/>
          <w:bCs/>
          <w:iCs/>
          <w:sz w:val="20"/>
          <w:szCs w:val="20"/>
        </w:rPr>
      </w:pPr>
      <w:r w:rsidRPr="004861AA">
        <w:rPr>
          <w:rFonts w:ascii="Arial" w:hAnsi="Arial" w:cs="Arial"/>
          <w:sz w:val="20"/>
          <w:szCs w:val="20"/>
        </w:rPr>
        <w:t xml:space="preserve">Published in 2019 by the United Nations Educational, Scientific and Cultural Organization, 7, place de </w:t>
      </w:r>
      <w:proofErr w:type="spellStart"/>
      <w:r w:rsidRPr="004861AA">
        <w:rPr>
          <w:rFonts w:ascii="Arial" w:hAnsi="Arial" w:cs="Arial"/>
          <w:sz w:val="20"/>
          <w:szCs w:val="20"/>
        </w:rPr>
        <w:t>Fontenoy</w:t>
      </w:r>
      <w:proofErr w:type="spellEnd"/>
      <w:r w:rsidRPr="004861AA">
        <w:rPr>
          <w:rFonts w:ascii="Arial" w:hAnsi="Arial" w:cs="Arial"/>
          <w:sz w:val="20"/>
          <w:szCs w:val="20"/>
        </w:rPr>
        <w:t>, 75352 Paris 07 SP, France</w:t>
      </w:r>
    </w:p>
    <w:p w14:paraId="70AA0FF6" w14:textId="77777777" w:rsidR="004861AA" w:rsidRPr="004861AA" w:rsidRDefault="004861AA" w:rsidP="004861AA">
      <w:pPr>
        <w:rPr>
          <w:rFonts w:ascii="Arial" w:hAnsi="Arial" w:cs="Arial"/>
          <w:sz w:val="20"/>
          <w:szCs w:val="20"/>
        </w:rPr>
      </w:pPr>
      <w:r w:rsidRPr="004861AA">
        <w:rPr>
          <w:rFonts w:ascii="Arial" w:hAnsi="Arial" w:cs="Arial"/>
          <w:sz w:val="20"/>
          <w:szCs w:val="20"/>
        </w:rPr>
        <w:t>© UNESCO 2019</w:t>
      </w:r>
    </w:p>
    <w:p w14:paraId="473336F2" w14:textId="77777777" w:rsidR="004861AA" w:rsidRPr="004861AA" w:rsidRDefault="004861AA" w:rsidP="004861AA">
      <w:pPr>
        <w:rPr>
          <w:rFonts w:ascii="Arial" w:hAnsi="Arial" w:cs="Arial"/>
          <w:sz w:val="20"/>
          <w:szCs w:val="20"/>
        </w:rPr>
      </w:pPr>
      <w:r w:rsidRPr="004861AA">
        <w:rPr>
          <w:rFonts w:ascii="Arial" w:hAnsi="Arial" w:cs="Arial"/>
          <w:noProof/>
          <w:sz w:val="20"/>
          <w:szCs w:val="20"/>
          <w:lang w:val="fr-FR" w:eastAsia="ja-JP"/>
        </w:rPr>
        <w:drawing>
          <wp:inline distT="0" distB="0" distL="0" distR="0" wp14:anchorId="6C08F706" wp14:editId="2EF996BE">
            <wp:extent cx="756527" cy="266031"/>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14:paraId="12CFAF05" w14:textId="77777777" w:rsidR="004861AA" w:rsidRPr="004861AA" w:rsidRDefault="004861AA" w:rsidP="004861AA">
      <w:pPr>
        <w:rPr>
          <w:rFonts w:ascii="Arial" w:hAnsi="Arial" w:cs="Arial"/>
          <w:sz w:val="20"/>
          <w:szCs w:val="20"/>
        </w:rPr>
      </w:pPr>
      <w:r w:rsidRPr="004861AA">
        <w:rPr>
          <w:rFonts w:ascii="Arial" w:hAnsi="Arial" w:cs="Arial"/>
          <w:sz w:val="20"/>
          <w:szCs w:val="20"/>
        </w:rPr>
        <w:t>This publication is available in Open Access under the Attribution-</w:t>
      </w:r>
      <w:proofErr w:type="spellStart"/>
      <w:r w:rsidRPr="004861AA">
        <w:rPr>
          <w:rFonts w:ascii="Arial" w:hAnsi="Arial" w:cs="Arial"/>
          <w:sz w:val="20"/>
          <w:szCs w:val="20"/>
        </w:rPr>
        <w:t>ShareAlike</w:t>
      </w:r>
      <w:proofErr w:type="spellEnd"/>
      <w:r w:rsidRPr="004861AA">
        <w:rPr>
          <w:rFonts w:ascii="Arial" w:hAnsi="Arial" w:cs="Arial"/>
          <w:sz w:val="20"/>
          <w:szCs w:val="20"/>
        </w:rPr>
        <w:t xml:space="preserve"> 3.0 IGO (CC-BY-SA 3.0 IGO) license (</w:t>
      </w:r>
      <w:hyperlink r:id="rId9" w:history="1">
        <w:r w:rsidRPr="004861AA">
          <w:rPr>
            <w:rStyle w:val="Hyperlink"/>
            <w:rFonts w:ascii="Arial" w:hAnsi="Arial" w:cs="Arial"/>
            <w:sz w:val="20"/>
            <w:szCs w:val="20"/>
          </w:rPr>
          <w:t>http://creativecommons.org/licenses/by-sa/3.0/igo/</w:t>
        </w:r>
      </w:hyperlink>
      <w:r w:rsidRPr="004861AA">
        <w:rPr>
          <w:rFonts w:ascii="Arial" w:hAnsi="Arial" w:cs="Arial"/>
          <w:sz w:val="20"/>
          <w:szCs w:val="20"/>
        </w:rPr>
        <w:t xml:space="preserve">). By using the content of this publication, the users accept to </w:t>
      </w:r>
      <w:proofErr w:type="gramStart"/>
      <w:r w:rsidRPr="004861AA">
        <w:rPr>
          <w:rFonts w:ascii="Arial" w:hAnsi="Arial" w:cs="Arial"/>
          <w:sz w:val="20"/>
          <w:szCs w:val="20"/>
        </w:rPr>
        <w:t>be bound</w:t>
      </w:r>
      <w:proofErr w:type="gramEnd"/>
      <w:r w:rsidRPr="004861AA">
        <w:rPr>
          <w:rFonts w:ascii="Arial" w:hAnsi="Arial" w:cs="Arial"/>
          <w:sz w:val="20"/>
          <w:szCs w:val="20"/>
        </w:rPr>
        <w:t xml:space="preserve"> by the terms of use of the UNESCO Open Access Repository (</w:t>
      </w:r>
      <w:hyperlink r:id="rId10" w:history="1">
        <w:r w:rsidRPr="004861AA">
          <w:rPr>
            <w:rStyle w:val="Hyperlink"/>
            <w:rFonts w:ascii="Arial" w:hAnsi="Arial" w:cs="Arial"/>
            <w:sz w:val="20"/>
            <w:szCs w:val="20"/>
          </w:rPr>
          <w:t>http://www.unesco.org/open-access/terms-use-ccbysa-en</w:t>
        </w:r>
      </w:hyperlink>
      <w:r w:rsidRPr="004861AA">
        <w:rPr>
          <w:rFonts w:ascii="Arial" w:hAnsi="Arial" w:cs="Arial"/>
          <w:sz w:val="20"/>
          <w:szCs w:val="20"/>
        </w:rPr>
        <w:t>).</w:t>
      </w:r>
    </w:p>
    <w:p w14:paraId="447A02C5" w14:textId="77777777" w:rsidR="004861AA" w:rsidRPr="004861AA" w:rsidRDefault="004861AA" w:rsidP="004861AA">
      <w:pPr>
        <w:rPr>
          <w:rFonts w:ascii="Arial" w:hAnsi="Arial" w:cs="Arial"/>
          <w:sz w:val="20"/>
          <w:szCs w:val="20"/>
        </w:rPr>
      </w:pPr>
      <w:r w:rsidRPr="004861AA">
        <w:rPr>
          <w:rFonts w:ascii="Arial" w:hAnsi="Arial" w:cs="Arial"/>
          <w:sz w:val="20"/>
          <w:szCs w:val="20"/>
        </w:rPr>
        <w:t xml:space="preserve">The images of this publication </w:t>
      </w:r>
      <w:proofErr w:type="gramStart"/>
      <w:r w:rsidRPr="004861AA">
        <w:rPr>
          <w:rFonts w:ascii="Arial" w:hAnsi="Arial" w:cs="Arial"/>
          <w:sz w:val="20"/>
          <w:szCs w:val="20"/>
        </w:rPr>
        <w:t>do not fall under the CC-BY-SA licence and may not be used, reproduced, or commercialized without the prior permission of the copyright holders</w:t>
      </w:r>
      <w:proofErr w:type="gramEnd"/>
      <w:r w:rsidRPr="004861AA">
        <w:rPr>
          <w:rFonts w:ascii="Arial" w:hAnsi="Arial" w:cs="Arial"/>
          <w:sz w:val="20"/>
          <w:szCs w:val="20"/>
        </w:rPr>
        <w:t>.</w:t>
      </w:r>
    </w:p>
    <w:p w14:paraId="17C92300" w14:textId="77777777" w:rsidR="004861AA" w:rsidRPr="004861AA" w:rsidRDefault="004861AA" w:rsidP="004861AA">
      <w:pPr>
        <w:rPr>
          <w:rFonts w:ascii="Arial" w:hAnsi="Arial" w:cs="Arial"/>
          <w:sz w:val="20"/>
          <w:szCs w:val="20"/>
        </w:rPr>
      </w:pPr>
      <w:r w:rsidRPr="004861AA">
        <w:rPr>
          <w:rFonts w:ascii="Arial" w:hAnsi="Arial" w:cs="Arial"/>
          <w:sz w:val="20"/>
          <w:szCs w:val="20"/>
        </w:rPr>
        <w:t>The designations employed and the presentation of material throughout this publication do not imply the expression of any opinion whatsoever on the part of UNESCO concerning the legal status of any country, territory, city or area or of its authorities, or concerning the delimitation o</w:t>
      </w:r>
      <w:r w:rsidR="00A50D12">
        <w:rPr>
          <w:rFonts w:ascii="Arial" w:hAnsi="Arial" w:cs="Arial"/>
          <w:sz w:val="20"/>
          <w:szCs w:val="20"/>
        </w:rPr>
        <w:t>f its frontiers or boundaries.</w:t>
      </w:r>
    </w:p>
    <w:p w14:paraId="1A506BE7" w14:textId="77777777" w:rsidR="004861AA" w:rsidRPr="004861AA" w:rsidRDefault="004861AA" w:rsidP="004861AA">
      <w:pPr>
        <w:rPr>
          <w:rFonts w:ascii="Arial" w:hAnsi="Arial" w:cs="Arial"/>
          <w:sz w:val="20"/>
          <w:szCs w:val="20"/>
        </w:rPr>
      </w:pPr>
      <w:r w:rsidRPr="004861AA">
        <w:rPr>
          <w:rFonts w:ascii="Arial" w:hAnsi="Arial" w:cs="Arial"/>
          <w:sz w:val="20"/>
          <w:szCs w:val="20"/>
        </w:rPr>
        <w:t>The ideas and opinions expressed in this publication are those of the authors; they are not necessarily those of UNESCO and do not commit the Organization.</w:t>
      </w:r>
    </w:p>
    <w:p w14:paraId="1A48398A" w14:textId="77777777" w:rsidR="004861AA" w:rsidRDefault="004861AA" w:rsidP="00A50D12">
      <w:r>
        <w:br w:type="page"/>
      </w:r>
    </w:p>
    <w:p w14:paraId="5FD41495" w14:textId="77777777" w:rsidR="00A50D12" w:rsidRPr="00A50D12" w:rsidRDefault="00A50D12" w:rsidP="00A50D12">
      <w:pPr>
        <w:pStyle w:val="Titcoul"/>
      </w:pPr>
      <w:r w:rsidRPr="00CC59E3">
        <w:lastRenderedPageBreak/>
        <w:t>Lesson Plan</w:t>
      </w:r>
    </w:p>
    <w:p w14:paraId="662693D5" w14:textId="77777777" w:rsidR="00C13EA7" w:rsidRPr="00A0252F" w:rsidRDefault="00C13EA7" w:rsidP="00A0252F">
      <w:pPr>
        <w:pStyle w:val="Lessonplan"/>
        <w:rPr>
          <w:b/>
          <w:caps/>
        </w:rPr>
      </w:pPr>
      <w:r w:rsidRPr="00A0252F">
        <w:rPr>
          <w:b/>
          <w:caps/>
        </w:rPr>
        <w:t>DURATION</w:t>
      </w:r>
    </w:p>
    <w:p w14:paraId="71024E4F" w14:textId="409FAF5B" w:rsidR="00C13EA7" w:rsidRPr="00A0252F" w:rsidRDefault="00C13EA7" w:rsidP="00A0252F">
      <w:pPr>
        <w:pStyle w:val="Lessonplan"/>
      </w:pPr>
      <w:r w:rsidRPr="00A0252F">
        <w:t xml:space="preserve">1 hour </w:t>
      </w:r>
      <w:r w:rsidR="00C24345" w:rsidRPr="00A0252F">
        <w:t>3</w:t>
      </w:r>
      <w:r w:rsidR="00C75D43">
        <w:t>0</w:t>
      </w:r>
      <w:r w:rsidRPr="00A0252F">
        <w:t xml:space="preserve"> minutes</w:t>
      </w:r>
      <w:r w:rsidR="00C75D43">
        <w:t xml:space="preserve"> (+20 </w:t>
      </w:r>
      <w:proofErr w:type="spellStart"/>
      <w:r w:rsidR="00C75D43">
        <w:t>min</w:t>
      </w:r>
      <w:r w:rsidR="00911D76">
        <w:t>s</w:t>
      </w:r>
      <w:proofErr w:type="spellEnd"/>
      <w:r w:rsidR="00C75D43">
        <w:t>, if the optional exercise is included)</w:t>
      </w:r>
    </w:p>
    <w:p w14:paraId="0083172D" w14:textId="77777777" w:rsidR="00C13EA7" w:rsidRPr="00A0252F" w:rsidRDefault="00A0252F" w:rsidP="00A0252F">
      <w:pPr>
        <w:pStyle w:val="Lessonplan"/>
        <w:rPr>
          <w:rStyle w:val="hps"/>
        </w:rPr>
      </w:pPr>
      <w:r w:rsidRPr="00A0252F">
        <w:rPr>
          <w:b/>
          <w:caps/>
        </w:rPr>
        <w:t>Objectives</w:t>
      </w:r>
    </w:p>
    <w:p w14:paraId="401CD12B" w14:textId="3A613B90" w:rsidR="00C13EA7" w:rsidRPr="00A0252F" w:rsidRDefault="0045267D" w:rsidP="00A0252F">
      <w:pPr>
        <w:pStyle w:val="Lessonplan"/>
        <w:rPr>
          <w:rStyle w:val="hps"/>
        </w:rPr>
      </w:pPr>
      <w:r w:rsidRPr="00A0252F">
        <w:rPr>
          <w:rStyle w:val="hps"/>
        </w:rPr>
        <w:t>Introduce participants to the Convention’s periodic reporting system</w:t>
      </w:r>
      <w:r w:rsidR="000A67FA">
        <w:rPr>
          <w:rStyle w:val="hps"/>
        </w:rPr>
        <w:t xml:space="preserve"> </w:t>
      </w:r>
      <w:r w:rsidRPr="00A0252F">
        <w:rPr>
          <w:rStyle w:val="hps"/>
        </w:rPr>
        <w:t xml:space="preserve">and </w:t>
      </w:r>
      <w:r w:rsidR="000A67FA">
        <w:rPr>
          <w:rStyle w:val="hps"/>
        </w:rPr>
        <w:t xml:space="preserve">guidance materials, while </w:t>
      </w:r>
      <w:r w:rsidRPr="00A0252F">
        <w:rPr>
          <w:rStyle w:val="hps"/>
        </w:rPr>
        <w:t>r</w:t>
      </w:r>
      <w:r w:rsidR="00C13EA7" w:rsidRPr="00A0252F">
        <w:rPr>
          <w:rStyle w:val="hps"/>
        </w:rPr>
        <w:t>einforc</w:t>
      </w:r>
      <w:r w:rsidR="000A67FA">
        <w:rPr>
          <w:rStyle w:val="hps"/>
        </w:rPr>
        <w:t>ing</w:t>
      </w:r>
      <w:r w:rsidR="00C13EA7" w:rsidRPr="00A0252F">
        <w:rPr>
          <w:rStyle w:val="hps"/>
        </w:rPr>
        <w:t xml:space="preserve"> </w:t>
      </w:r>
      <w:r w:rsidRPr="00A0252F">
        <w:rPr>
          <w:rStyle w:val="hps"/>
        </w:rPr>
        <w:t xml:space="preserve">their </w:t>
      </w:r>
      <w:r w:rsidR="00C13EA7" w:rsidRPr="00A0252F">
        <w:rPr>
          <w:rStyle w:val="hps"/>
        </w:rPr>
        <w:t>existing knowledge of the key concepts and approaches underpinning the Convention</w:t>
      </w:r>
      <w:r w:rsidR="000A67FA">
        <w:rPr>
          <w:rStyle w:val="hps"/>
        </w:rPr>
        <w:t xml:space="preserve"> and its reporting</w:t>
      </w:r>
      <w:r w:rsidRPr="00A0252F">
        <w:rPr>
          <w:rStyle w:val="hps"/>
        </w:rPr>
        <w:t>.</w:t>
      </w:r>
    </w:p>
    <w:p w14:paraId="2C9144D3" w14:textId="77777777" w:rsidR="00C13EA7" w:rsidRPr="0086635C" w:rsidRDefault="00C13EA7" w:rsidP="00A0252F">
      <w:pPr>
        <w:pStyle w:val="Lessonplan"/>
        <w:rPr>
          <w:rFonts w:asciiTheme="minorHAnsi" w:hAnsiTheme="minorHAnsi" w:cstheme="minorHAnsi"/>
          <w:sz w:val="22"/>
          <w:szCs w:val="22"/>
        </w:rPr>
      </w:pPr>
      <w:r w:rsidRPr="00A0252F">
        <w:rPr>
          <w:b/>
          <w:caps/>
        </w:rPr>
        <w:t>Description</w:t>
      </w:r>
    </w:p>
    <w:p w14:paraId="5C0A2EAA" w14:textId="63CFF1F8" w:rsidR="00C13EA7" w:rsidRPr="00A0252F" w:rsidRDefault="00C13EA7" w:rsidP="00A0252F">
      <w:pPr>
        <w:pStyle w:val="Lessonplan"/>
        <w:rPr>
          <w:rStyle w:val="hps"/>
        </w:rPr>
      </w:pPr>
      <w:r w:rsidRPr="00A0252F">
        <w:rPr>
          <w:rStyle w:val="hps"/>
        </w:rPr>
        <w:t xml:space="preserve">The unit </w:t>
      </w:r>
      <w:r w:rsidR="00EC7765" w:rsidRPr="00A0252F">
        <w:rPr>
          <w:rStyle w:val="hps"/>
        </w:rPr>
        <w:t>begin</w:t>
      </w:r>
      <w:r w:rsidRPr="00A0252F">
        <w:rPr>
          <w:rStyle w:val="hps"/>
        </w:rPr>
        <w:t>s with an introduction to periodic reporting under the Convention</w:t>
      </w:r>
      <w:r w:rsidR="0045267D" w:rsidRPr="00A0252F">
        <w:rPr>
          <w:rStyle w:val="hps"/>
        </w:rPr>
        <w:t>. It</w:t>
      </w:r>
      <w:r w:rsidRPr="00A0252F">
        <w:rPr>
          <w:rStyle w:val="hps"/>
        </w:rPr>
        <w:t xml:space="preserve"> </w:t>
      </w:r>
      <w:r w:rsidR="0045267D" w:rsidRPr="00A0252F">
        <w:rPr>
          <w:rStyle w:val="hps"/>
        </w:rPr>
        <w:t xml:space="preserve">introduces </w:t>
      </w:r>
      <w:r w:rsidRPr="00A0252F">
        <w:rPr>
          <w:rStyle w:val="hps"/>
        </w:rPr>
        <w:t>the new results-based approach with a discussion of its merits and of the roles played by various actors</w:t>
      </w:r>
      <w:r w:rsidR="0045267D" w:rsidRPr="00A0252F">
        <w:rPr>
          <w:rStyle w:val="hps"/>
        </w:rPr>
        <w:t xml:space="preserve"> in this process,</w:t>
      </w:r>
      <w:r w:rsidRPr="00A0252F">
        <w:rPr>
          <w:rStyle w:val="hps"/>
        </w:rPr>
        <w:t xml:space="preserve"> including</w:t>
      </w:r>
      <w:r w:rsidR="0045267D" w:rsidRPr="00A0252F">
        <w:rPr>
          <w:rStyle w:val="hps"/>
        </w:rPr>
        <w:t xml:space="preserve"> national</w:t>
      </w:r>
      <w:r w:rsidRPr="00A0252F">
        <w:rPr>
          <w:rStyle w:val="hps"/>
        </w:rPr>
        <w:t xml:space="preserve"> focal points, government officials in various ministries/agencies, non-governmental organisations, civil society groups, cultural communities and groups, etc.</w:t>
      </w:r>
      <w:r w:rsidR="00E43BE3" w:rsidRPr="00A0252F">
        <w:rPr>
          <w:rStyle w:val="hps"/>
        </w:rPr>
        <w:t xml:space="preserve"> </w:t>
      </w:r>
      <w:r w:rsidR="003C71CE" w:rsidRPr="00A0252F">
        <w:rPr>
          <w:rStyle w:val="hps"/>
        </w:rPr>
        <w:t>The p</w:t>
      </w:r>
      <w:r w:rsidR="00E43BE3" w:rsidRPr="00A0252F">
        <w:rPr>
          <w:rStyle w:val="hps"/>
        </w:rPr>
        <w:t xml:space="preserve">articipants </w:t>
      </w:r>
      <w:proofErr w:type="gramStart"/>
      <w:r w:rsidR="00E43BE3" w:rsidRPr="00A0252F">
        <w:rPr>
          <w:rStyle w:val="hps"/>
        </w:rPr>
        <w:t>are also introduced</w:t>
      </w:r>
      <w:proofErr w:type="gramEnd"/>
      <w:r w:rsidR="00E43BE3" w:rsidRPr="00A0252F">
        <w:rPr>
          <w:rStyle w:val="hps"/>
        </w:rPr>
        <w:t xml:space="preserve"> to the main supporting materials they will need, in particular the Guidance Notes prepared for the </w:t>
      </w:r>
      <w:r w:rsidR="003A3A05">
        <w:rPr>
          <w:rStyle w:val="hps"/>
        </w:rPr>
        <w:t>overall results framework</w:t>
      </w:r>
      <w:r w:rsidR="00E43BE3" w:rsidRPr="00A0252F">
        <w:rPr>
          <w:rStyle w:val="hps"/>
        </w:rPr>
        <w:t xml:space="preserve"> and periodic reporting.</w:t>
      </w:r>
      <w:r w:rsidR="00EC7765" w:rsidRPr="00A0252F">
        <w:rPr>
          <w:rStyle w:val="hps"/>
        </w:rPr>
        <w:t xml:space="preserve"> A number of concepts </w:t>
      </w:r>
      <w:r w:rsidR="003C71CE" w:rsidRPr="00A0252F">
        <w:rPr>
          <w:rStyle w:val="hps"/>
        </w:rPr>
        <w:t xml:space="preserve">used </w:t>
      </w:r>
      <w:r w:rsidR="00EC7765" w:rsidRPr="00A0252F">
        <w:rPr>
          <w:rStyle w:val="hps"/>
        </w:rPr>
        <w:t xml:space="preserve">specifically in the revised periodic reporting online form </w:t>
      </w:r>
      <w:proofErr w:type="gramStart"/>
      <w:r w:rsidR="00EC7765" w:rsidRPr="00A0252F">
        <w:rPr>
          <w:rStyle w:val="hps"/>
        </w:rPr>
        <w:t>are also introduced and</w:t>
      </w:r>
      <w:r w:rsidR="000A67FA">
        <w:rPr>
          <w:rStyle w:val="hps"/>
        </w:rPr>
        <w:t xml:space="preserve"> explained</w:t>
      </w:r>
      <w:proofErr w:type="gramEnd"/>
      <w:r w:rsidR="00EC7765" w:rsidRPr="00A0252F">
        <w:rPr>
          <w:rStyle w:val="hps"/>
        </w:rPr>
        <w:t>.</w:t>
      </w:r>
    </w:p>
    <w:p w14:paraId="0DAD0BB3" w14:textId="77777777" w:rsidR="00C13EA7" w:rsidRPr="00A0252F" w:rsidRDefault="00C13EA7" w:rsidP="00A0252F">
      <w:pPr>
        <w:pStyle w:val="Lessonplan"/>
        <w:rPr>
          <w:b/>
          <w:caps/>
        </w:rPr>
      </w:pPr>
      <w:r w:rsidRPr="00A0252F">
        <w:rPr>
          <w:b/>
          <w:caps/>
        </w:rPr>
        <w:t>SEQUENCE OF SESSIONS</w:t>
      </w:r>
    </w:p>
    <w:p w14:paraId="42A680A2" w14:textId="08271E28" w:rsidR="00C13EA7" w:rsidRPr="008670FA" w:rsidRDefault="00C13EA7" w:rsidP="00EC7765">
      <w:pPr>
        <w:pStyle w:val="Upuce"/>
        <w:numPr>
          <w:ilvl w:val="0"/>
          <w:numId w:val="0"/>
        </w:numPr>
        <w:spacing w:after="0" w:line="276" w:lineRule="auto"/>
        <w:ind w:left="113"/>
        <w:rPr>
          <w:rStyle w:val="hps"/>
          <w:szCs w:val="20"/>
          <w:lang w:val="en-GB" w:eastAsia="en-US"/>
        </w:rPr>
      </w:pPr>
      <w:r w:rsidRPr="00512591">
        <w:rPr>
          <w:rStyle w:val="hps"/>
          <w:b/>
          <w:szCs w:val="20"/>
          <w:lang w:val="en-US" w:eastAsia="en-US"/>
        </w:rPr>
        <w:t xml:space="preserve">Session 1: An overview of the periodic reporting </w:t>
      </w:r>
      <w:r w:rsidR="00E72067">
        <w:rPr>
          <w:rStyle w:val="hps"/>
          <w:b/>
          <w:szCs w:val="20"/>
          <w:lang w:val="en-US" w:eastAsia="en-US"/>
        </w:rPr>
        <w:t>mechanism</w:t>
      </w:r>
      <w:r w:rsidR="00E72067" w:rsidRPr="00512591">
        <w:rPr>
          <w:rStyle w:val="hps"/>
          <w:b/>
          <w:szCs w:val="20"/>
          <w:lang w:val="en-US" w:eastAsia="en-US"/>
        </w:rPr>
        <w:t xml:space="preserve"> </w:t>
      </w:r>
      <w:r w:rsidR="00CA2D52" w:rsidRPr="00512591">
        <w:rPr>
          <w:rStyle w:val="hps"/>
          <w:b/>
          <w:szCs w:val="20"/>
          <w:lang w:val="en-US" w:eastAsia="en-US"/>
        </w:rPr>
        <w:t>(</w:t>
      </w:r>
      <w:r w:rsidR="00C75D43">
        <w:rPr>
          <w:rStyle w:val="hps"/>
          <w:b/>
          <w:szCs w:val="20"/>
          <w:lang w:val="en-US" w:eastAsia="en-US"/>
        </w:rPr>
        <w:t>45</w:t>
      </w:r>
      <w:r w:rsidR="00CA2D52" w:rsidRPr="00512591">
        <w:rPr>
          <w:rStyle w:val="hps"/>
          <w:b/>
          <w:szCs w:val="20"/>
          <w:lang w:val="en-US" w:eastAsia="en-US"/>
        </w:rPr>
        <w:t xml:space="preserve"> minutes)</w:t>
      </w:r>
      <w:r w:rsidRPr="00512591">
        <w:rPr>
          <w:rStyle w:val="hps"/>
          <w:b/>
          <w:szCs w:val="20"/>
          <w:lang w:val="en-US" w:eastAsia="en-US"/>
        </w:rPr>
        <w:t>:</w:t>
      </w:r>
      <w:r w:rsidRPr="00512591">
        <w:rPr>
          <w:rStyle w:val="hps"/>
          <w:szCs w:val="20"/>
          <w:lang w:val="en-US" w:eastAsia="en-US"/>
        </w:rPr>
        <w:t xml:space="preserve"> This introduces participants </w:t>
      </w:r>
      <w:r w:rsidR="00EC7765" w:rsidRPr="00512591">
        <w:rPr>
          <w:rStyle w:val="hps"/>
          <w:szCs w:val="20"/>
          <w:lang w:val="en-US" w:eastAsia="en-US"/>
        </w:rPr>
        <w:t xml:space="preserve">to </w:t>
      </w:r>
      <w:r w:rsidRPr="00512591">
        <w:rPr>
          <w:rStyle w:val="hps"/>
          <w:szCs w:val="20"/>
          <w:lang w:val="en-US" w:eastAsia="en-US"/>
        </w:rPr>
        <w:t>periodic reporting under the Convention</w:t>
      </w:r>
      <w:r w:rsidR="00E72067">
        <w:rPr>
          <w:rStyle w:val="hps"/>
          <w:szCs w:val="20"/>
          <w:lang w:val="en-US" w:eastAsia="en-US"/>
        </w:rPr>
        <w:t xml:space="preserve"> </w:t>
      </w:r>
      <w:r w:rsidR="005F360B">
        <w:rPr>
          <w:rStyle w:val="hps"/>
          <w:szCs w:val="20"/>
          <w:lang w:val="en-US" w:eastAsia="en-US"/>
        </w:rPr>
        <w:t xml:space="preserve">using the </w:t>
      </w:r>
      <w:r w:rsidR="00E72067">
        <w:rPr>
          <w:rStyle w:val="hps"/>
          <w:szCs w:val="20"/>
          <w:lang w:val="en-US" w:eastAsia="en-US"/>
        </w:rPr>
        <w:t>Operational Directives</w:t>
      </w:r>
      <w:r w:rsidR="005F360B">
        <w:rPr>
          <w:rStyle w:val="hps"/>
          <w:szCs w:val="20"/>
          <w:lang w:val="en-US" w:eastAsia="en-US"/>
        </w:rPr>
        <w:t xml:space="preserve"> as a reference and working tool (participants should have access to the Basic Texts of the Convention). The session</w:t>
      </w:r>
      <w:r w:rsidR="00E72067">
        <w:rPr>
          <w:rStyle w:val="hps"/>
          <w:szCs w:val="20"/>
          <w:lang w:val="en-US" w:eastAsia="en-US"/>
        </w:rPr>
        <w:t xml:space="preserve"> discusses the </w:t>
      </w:r>
      <w:r w:rsidRPr="00512591">
        <w:rPr>
          <w:rStyle w:val="hps"/>
          <w:szCs w:val="20"/>
          <w:lang w:val="en-US" w:eastAsia="en-US"/>
        </w:rPr>
        <w:t>various objectives</w:t>
      </w:r>
      <w:r w:rsidR="00E72067">
        <w:rPr>
          <w:rStyle w:val="hps"/>
          <w:szCs w:val="20"/>
          <w:lang w:val="en-US" w:eastAsia="en-US"/>
        </w:rPr>
        <w:t xml:space="preserve"> of the reporting process</w:t>
      </w:r>
      <w:r w:rsidRPr="00512591">
        <w:rPr>
          <w:rStyle w:val="hps"/>
          <w:szCs w:val="20"/>
          <w:lang w:val="en-US" w:eastAsia="en-US"/>
        </w:rPr>
        <w:t>, its calendar, and the roles of the Committee and General Assembly, etc.</w:t>
      </w:r>
      <w:r w:rsidR="004E4945" w:rsidRPr="00512591">
        <w:rPr>
          <w:rStyle w:val="hps"/>
          <w:szCs w:val="20"/>
          <w:lang w:val="en-US" w:eastAsia="en-US"/>
        </w:rPr>
        <w:t xml:space="preserve"> </w:t>
      </w:r>
      <w:r w:rsidRPr="00911D76">
        <w:rPr>
          <w:rStyle w:val="hps"/>
          <w:szCs w:val="20"/>
          <w:lang w:val="en-GB" w:eastAsia="en-US"/>
        </w:rPr>
        <w:t xml:space="preserve">In addition, the various purposes of periodic reporting </w:t>
      </w:r>
      <w:proofErr w:type="gramStart"/>
      <w:r w:rsidRPr="00911D76">
        <w:rPr>
          <w:rStyle w:val="hps"/>
          <w:szCs w:val="20"/>
          <w:lang w:val="en-GB" w:eastAsia="en-US"/>
        </w:rPr>
        <w:t>are considered</w:t>
      </w:r>
      <w:proofErr w:type="gramEnd"/>
      <w:r w:rsidRPr="00911D76">
        <w:rPr>
          <w:rStyle w:val="hps"/>
          <w:szCs w:val="20"/>
          <w:lang w:val="en-GB" w:eastAsia="en-US"/>
        </w:rPr>
        <w:t>, including monitoring implementation, as well as serving as a valuable information tool for</w:t>
      </w:r>
      <w:r w:rsidR="00406E87" w:rsidRPr="00911D76">
        <w:rPr>
          <w:rStyle w:val="hps"/>
          <w:szCs w:val="20"/>
          <w:lang w:val="en-GB" w:eastAsia="en-US"/>
        </w:rPr>
        <w:t xml:space="preserve"> States </w:t>
      </w:r>
      <w:r w:rsidRPr="00911D76">
        <w:rPr>
          <w:rStyle w:val="hps"/>
          <w:szCs w:val="20"/>
          <w:lang w:val="en-GB" w:eastAsia="en-US"/>
        </w:rPr>
        <w:t>Parties to assess progress and the effectiveness of their policies.</w:t>
      </w:r>
      <w:r w:rsidR="00E7077B" w:rsidRPr="00911D76">
        <w:rPr>
          <w:rStyle w:val="hps"/>
          <w:szCs w:val="20"/>
          <w:lang w:val="en-GB" w:eastAsia="en-US"/>
        </w:rPr>
        <w:t xml:space="preserve"> The role of </w:t>
      </w:r>
      <w:r w:rsidR="00EC7765" w:rsidRPr="00911D76">
        <w:rPr>
          <w:rStyle w:val="hps"/>
          <w:szCs w:val="20"/>
          <w:lang w:val="en-GB" w:eastAsia="en-US"/>
        </w:rPr>
        <w:t xml:space="preserve">national </w:t>
      </w:r>
      <w:r w:rsidR="00E7077B" w:rsidRPr="00911D76">
        <w:rPr>
          <w:rStyle w:val="hps"/>
          <w:szCs w:val="20"/>
          <w:lang w:val="en-GB" w:eastAsia="en-US"/>
        </w:rPr>
        <w:t xml:space="preserve">Focal Points </w:t>
      </w:r>
      <w:r w:rsidR="00EC7765" w:rsidRPr="00911D76">
        <w:rPr>
          <w:rStyle w:val="hps"/>
          <w:szCs w:val="20"/>
          <w:lang w:val="en-GB" w:eastAsia="en-US"/>
        </w:rPr>
        <w:t xml:space="preserve">in this process </w:t>
      </w:r>
      <w:proofErr w:type="gramStart"/>
      <w:r w:rsidR="00E7077B" w:rsidRPr="00911D76">
        <w:rPr>
          <w:rStyle w:val="hps"/>
          <w:szCs w:val="20"/>
          <w:lang w:val="en-GB" w:eastAsia="en-US"/>
        </w:rPr>
        <w:t xml:space="preserve">is </w:t>
      </w:r>
      <w:r w:rsidR="00EC7765" w:rsidRPr="00911D76">
        <w:rPr>
          <w:rStyle w:val="hps"/>
          <w:szCs w:val="20"/>
          <w:lang w:val="en-GB" w:eastAsia="en-US"/>
        </w:rPr>
        <w:t xml:space="preserve">also </w:t>
      </w:r>
      <w:r w:rsidR="00E7077B" w:rsidRPr="00911D76">
        <w:rPr>
          <w:rStyle w:val="hps"/>
          <w:szCs w:val="20"/>
          <w:lang w:val="en-GB" w:eastAsia="en-US"/>
        </w:rPr>
        <w:t>examined</w:t>
      </w:r>
      <w:proofErr w:type="gramEnd"/>
      <w:r w:rsidR="00EC7765" w:rsidRPr="00911D76">
        <w:rPr>
          <w:rStyle w:val="hps"/>
          <w:szCs w:val="20"/>
          <w:lang w:val="en-GB" w:eastAsia="en-US"/>
        </w:rPr>
        <w:t>.</w:t>
      </w:r>
    </w:p>
    <w:p w14:paraId="08A19FF2" w14:textId="4D4E7A82" w:rsidR="00EC7765" w:rsidRPr="00524218" w:rsidRDefault="00194997" w:rsidP="00524218">
      <w:pPr>
        <w:pStyle w:val="Upuce"/>
        <w:numPr>
          <w:ilvl w:val="0"/>
          <w:numId w:val="0"/>
        </w:numPr>
        <w:spacing w:after="0" w:line="276" w:lineRule="auto"/>
        <w:ind w:left="113"/>
        <w:rPr>
          <w:rStyle w:val="hps"/>
          <w:szCs w:val="20"/>
          <w:lang w:val="en-GB" w:eastAsia="en-US"/>
        </w:rPr>
      </w:pPr>
      <w:r w:rsidRPr="00CD770E">
        <w:rPr>
          <w:rStyle w:val="hps"/>
          <w:b/>
          <w:szCs w:val="20"/>
          <w:lang w:val="en-US" w:eastAsia="en-US"/>
        </w:rPr>
        <w:t>Session 2:</w:t>
      </w:r>
      <w:r w:rsidR="00EC7765" w:rsidRPr="00CD770E">
        <w:rPr>
          <w:rStyle w:val="hps"/>
          <w:b/>
          <w:szCs w:val="20"/>
          <w:lang w:val="en-US" w:eastAsia="en-US"/>
        </w:rPr>
        <w:t xml:space="preserve"> Introducing the </w:t>
      </w:r>
      <w:r w:rsidR="00CD770E">
        <w:rPr>
          <w:rStyle w:val="hps"/>
          <w:b/>
          <w:szCs w:val="20"/>
          <w:lang w:val="en-US" w:eastAsia="en-US"/>
        </w:rPr>
        <w:t>g</w:t>
      </w:r>
      <w:r w:rsidR="00EC7765" w:rsidRPr="00CD770E">
        <w:rPr>
          <w:rStyle w:val="hps"/>
          <w:b/>
          <w:szCs w:val="20"/>
          <w:lang w:val="en-US" w:eastAsia="en-US"/>
        </w:rPr>
        <w:t xml:space="preserve">uidance </w:t>
      </w:r>
      <w:r w:rsidR="00CD770E">
        <w:rPr>
          <w:rStyle w:val="hps"/>
          <w:b/>
          <w:szCs w:val="20"/>
          <w:lang w:val="en-US" w:eastAsia="en-US"/>
        </w:rPr>
        <w:t>n</w:t>
      </w:r>
      <w:r w:rsidR="00EC7765" w:rsidRPr="00CD770E">
        <w:rPr>
          <w:rStyle w:val="hps"/>
          <w:b/>
          <w:szCs w:val="20"/>
          <w:lang w:val="en-US" w:eastAsia="en-US"/>
        </w:rPr>
        <w:t xml:space="preserve">otes </w:t>
      </w:r>
      <w:r w:rsidR="00FD37A8">
        <w:rPr>
          <w:rStyle w:val="hps"/>
          <w:b/>
          <w:szCs w:val="20"/>
          <w:lang w:val="en-US" w:eastAsia="en-US"/>
        </w:rPr>
        <w:t>(45 minutes)</w:t>
      </w:r>
      <w:r w:rsidR="00EC7765" w:rsidRPr="00CD770E">
        <w:rPr>
          <w:rStyle w:val="hps"/>
          <w:b/>
          <w:szCs w:val="20"/>
          <w:lang w:val="en-US" w:eastAsia="en-US"/>
        </w:rPr>
        <w:t>:</w:t>
      </w:r>
      <w:r w:rsidR="00EC7765" w:rsidRPr="00CD770E">
        <w:rPr>
          <w:rStyle w:val="hps"/>
          <w:szCs w:val="20"/>
          <w:lang w:val="en-US" w:eastAsia="en-US"/>
        </w:rPr>
        <w:t xml:space="preserve"> In this session, the </w:t>
      </w:r>
      <w:r w:rsidR="00D234AB">
        <w:rPr>
          <w:rStyle w:val="hps"/>
          <w:szCs w:val="20"/>
          <w:lang w:val="en-US" w:eastAsia="en-US"/>
        </w:rPr>
        <w:t>g</w:t>
      </w:r>
      <w:r w:rsidR="00D234AB" w:rsidRPr="00CD770E">
        <w:rPr>
          <w:rStyle w:val="hps"/>
          <w:szCs w:val="20"/>
          <w:lang w:val="en-US" w:eastAsia="en-US"/>
        </w:rPr>
        <w:t xml:space="preserve">uidance </w:t>
      </w:r>
      <w:r w:rsidR="00D234AB">
        <w:rPr>
          <w:rStyle w:val="hps"/>
          <w:szCs w:val="20"/>
          <w:lang w:val="en-US" w:eastAsia="en-US"/>
        </w:rPr>
        <w:t>n</w:t>
      </w:r>
      <w:r w:rsidR="00D234AB" w:rsidRPr="00CD770E">
        <w:rPr>
          <w:rStyle w:val="hps"/>
          <w:szCs w:val="20"/>
          <w:lang w:val="en-US" w:eastAsia="en-US"/>
        </w:rPr>
        <w:t xml:space="preserve">otes </w:t>
      </w:r>
      <w:r w:rsidR="00EC7765" w:rsidRPr="00CD770E">
        <w:rPr>
          <w:rStyle w:val="hps"/>
          <w:szCs w:val="20"/>
          <w:lang w:val="en-US" w:eastAsia="en-US"/>
        </w:rPr>
        <w:t xml:space="preserve">prepared for the </w:t>
      </w:r>
      <w:r w:rsidR="00F22B68" w:rsidRPr="00CD770E">
        <w:rPr>
          <w:rStyle w:val="hps"/>
          <w:szCs w:val="20"/>
          <w:lang w:val="en-US" w:eastAsia="en-US"/>
        </w:rPr>
        <w:t>overall results framework</w:t>
      </w:r>
      <w:r w:rsidR="00EC7765" w:rsidRPr="00CD770E">
        <w:rPr>
          <w:rStyle w:val="hps"/>
          <w:szCs w:val="20"/>
          <w:lang w:val="en-US" w:eastAsia="en-US"/>
        </w:rPr>
        <w:t xml:space="preserve"> and periodic reporting </w:t>
      </w:r>
      <w:proofErr w:type="gramStart"/>
      <w:r w:rsidR="00EC7765" w:rsidRPr="00CD770E">
        <w:rPr>
          <w:rStyle w:val="hps"/>
          <w:szCs w:val="20"/>
          <w:lang w:val="en-US" w:eastAsia="en-US"/>
        </w:rPr>
        <w:t>are introduced</w:t>
      </w:r>
      <w:proofErr w:type="gramEnd"/>
      <w:r w:rsidR="00EC7765" w:rsidRPr="00CD770E">
        <w:rPr>
          <w:rStyle w:val="hps"/>
          <w:szCs w:val="20"/>
          <w:lang w:val="en-US" w:eastAsia="en-US"/>
        </w:rPr>
        <w:t>, along with some key concepts used in the periodic reporting form.</w:t>
      </w:r>
      <w:r w:rsidR="00D234AB">
        <w:rPr>
          <w:rStyle w:val="hps"/>
          <w:szCs w:val="20"/>
          <w:lang w:val="en-US" w:eastAsia="en-US"/>
        </w:rPr>
        <w:t xml:space="preserve"> </w:t>
      </w:r>
      <w:r w:rsidR="00AE145A" w:rsidRPr="00524218">
        <w:rPr>
          <w:rStyle w:val="hps"/>
          <w:szCs w:val="20"/>
          <w:lang w:val="en-GB" w:eastAsia="en-US"/>
        </w:rPr>
        <w:t xml:space="preserve">Hands-on experience of using the </w:t>
      </w:r>
      <w:r w:rsidR="005F360B" w:rsidRPr="00524218">
        <w:rPr>
          <w:rStyle w:val="hps"/>
          <w:szCs w:val="20"/>
          <w:lang w:val="en-GB" w:eastAsia="en-US"/>
        </w:rPr>
        <w:t xml:space="preserve">periodic reporting </w:t>
      </w:r>
      <w:r w:rsidR="00AE145A" w:rsidRPr="00524218">
        <w:rPr>
          <w:rStyle w:val="hps"/>
          <w:szCs w:val="20"/>
          <w:lang w:val="en-GB" w:eastAsia="en-US"/>
        </w:rPr>
        <w:t xml:space="preserve">form </w:t>
      </w:r>
      <w:proofErr w:type="gramStart"/>
      <w:r w:rsidR="00AE145A" w:rsidRPr="00524218">
        <w:rPr>
          <w:rStyle w:val="hps"/>
          <w:szCs w:val="20"/>
          <w:lang w:val="en-GB" w:eastAsia="en-US"/>
        </w:rPr>
        <w:t>is given</w:t>
      </w:r>
      <w:proofErr w:type="gramEnd"/>
      <w:r w:rsidR="00AE145A" w:rsidRPr="00524218">
        <w:rPr>
          <w:rStyle w:val="hps"/>
          <w:szCs w:val="20"/>
          <w:lang w:val="en-GB" w:eastAsia="en-US"/>
        </w:rPr>
        <w:t xml:space="preserve"> in this session.</w:t>
      </w:r>
    </w:p>
    <w:p w14:paraId="4F0DFE26" w14:textId="3ACDAAA6" w:rsidR="005F360B" w:rsidRPr="006637E8" w:rsidRDefault="005F360B" w:rsidP="00C24345">
      <w:pPr>
        <w:pStyle w:val="Upuce"/>
        <w:numPr>
          <w:ilvl w:val="0"/>
          <w:numId w:val="0"/>
        </w:numPr>
        <w:spacing w:after="0" w:line="276" w:lineRule="auto"/>
        <w:ind w:left="113"/>
        <w:rPr>
          <w:rStyle w:val="hps"/>
          <w:szCs w:val="20"/>
          <w:lang w:val="en-GB" w:eastAsia="en-US"/>
        </w:rPr>
      </w:pPr>
      <w:r>
        <w:rPr>
          <w:rStyle w:val="hps"/>
          <w:b/>
          <w:szCs w:val="20"/>
          <w:lang w:val="en-US" w:eastAsia="en-US"/>
        </w:rPr>
        <w:t xml:space="preserve">Optional exercise (20 </w:t>
      </w:r>
      <w:proofErr w:type="spellStart"/>
      <w:r>
        <w:rPr>
          <w:rStyle w:val="hps"/>
          <w:b/>
          <w:szCs w:val="20"/>
          <w:lang w:val="en-US" w:eastAsia="en-US"/>
        </w:rPr>
        <w:t>min</w:t>
      </w:r>
      <w:r w:rsidR="00911D76">
        <w:rPr>
          <w:rStyle w:val="hps"/>
          <w:b/>
          <w:szCs w:val="20"/>
          <w:lang w:val="en-US" w:eastAsia="en-US"/>
        </w:rPr>
        <w:t>s</w:t>
      </w:r>
      <w:proofErr w:type="spellEnd"/>
      <w:r>
        <w:rPr>
          <w:rStyle w:val="hps"/>
          <w:b/>
          <w:szCs w:val="20"/>
          <w:lang w:val="en-US" w:eastAsia="en-US"/>
        </w:rPr>
        <w:t>): Key concept</w:t>
      </w:r>
      <w:r w:rsidR="000A2A3B">
        <w:rPr>
          <w:rStyle w:val="hps"/>
          <w:b/>
          <w:szCs w:val="20"/>
          <w:lang w:val="en-US" w:eastAsia="en-US"/>
        </w:rPr>
        <w:t>s</w:t>
      </w:r>
      <w:r>
        <w:rPr>
          <w:rStyle w:val="hps"/>
          <w:b/>
          <w:szCs w:val="20"/>
          <w:lang w:val="en-US" w:eastAsia="en-US"/>
        </w:rPr>
        <w:t xml:space="preserve"> used in periodic reporting</w:t>
      </w:r>
    </w:p>
    <w:p w14:paraId="7AAD41F0" w14:textId="77777777" w:rsidR="00C13EA7" w:rsidRPr="00A0252F" w:rsidRDefault="00C13EA7" w:rsidP="00A0252F">
      <w:pPr>
        <w:pStyle w:val="Lessonplan"/>
        <w:rPr>
          <w:b/>
          <w:caps/>
        </w:rPr>
      </w:pPr>
      <w:r w:rsidRPr="00A0252F">
        <w:rPr>
          <w:b/>
          <w:caps/>
        </w:rPr>
        <w:t>Supporting documents</w:t>
      </w:r>
    </w:p>
    <w:p w14:paraId="63C78507" w14:textId="77777777" w:rsidR="00A0252F" w:rsidRPr="00D520A0" w:rsidRDefault="00A0252F" w:rsidP="00A0252F">
      <w:pPr>
        <w:pStyle w:val="Upuce"/>
        <w:tabs>
          <w:tab w:val="clear" w:pos="360"/>
        </w:tabs>
        <w:rPr>
          <w:lang w:val="en-GB"/>
        </w:rPr>
      </w:pPr>
      <w:r w:rsidRPr="00D520A0">
        <w:rPr>
          <w:lang w:val="en-GB"/>
        </w:rPr>
        <w:t>Facilitator’s notes Unit </w:t>
      </w:r>
      <w:r>
        <w:rPr>
          <w:lang w:val="en-GB"/>
        </w:rPr>
        <w:t>57</w:t>
      </w:r>
    </w:p>
    <w:p w14:paraId="78474CA9" w14:textId="77777777" w:rsidR="00A0252F" w:rsidRPr="00D520A0" w:rsidRDefault="00A0252F" w:rsidP="00A0252F">
      <w:pPr>
        <w:pStyle w:val="Upuce"/>
        <w:tabs>
          <w:tab w:val="clear" w:pos="360"/>
        </w:tabs>
        <w:rPr>
          <w:lang w:val="en-GB"/>
        </w:rPr>
      </w:pPr>
      <w:r w:rsidRPr="00D520A0">
        <w:rPr>
          <w:lang w:val="en-GB"/>
        </w:rPr>
        <w:t xml:space="preserve">PowerPoint presentation Unit </w:t>
      </w:r>
      <w:r>
        <w:rPr>
          <w:lang w:val="en-GB"/>
        </w:rPr>
        <w:t>57</w:t>
      </w:r>
    </w:p>
    <w:p w14:paraId="6254D78B" w14:textId="77777777" w:rsidR="00A0252F" w:rsidRDefault="00A0252F" w:rsidP="00A0252F">
      <w:pPr>
        <w:pStyle w:val="Upuce"/>
        <w:tabs>
          <w:tab w:val="clear" w:pos="360"/>
        </w:tabs>
        <w:rPr>
          <w:lang w:val="en-GB"/>
        </w:rPr>
      </w:pPr>
      <w:r w:rsidRPr="00D520A0">
        <w:rPr>
          <w:lang w:val="en-GB"/>
        </w:rPr>
        <w:t>Participant’s text Unit </w:t>
      </w:r>
      <w:r>
        <w:rPr>
          <w:lang w:val="en-GB"/>
        </w:rPr>
        <w:t>57</w:t>
      </w:r>
    </w:p>
    <w:p w14:paraId="6BDDDBEA" w14:textId="23A1A786" w:rsidR="00A0252F" w:rsidRDefault="00A0252F" w:rsidP="00A0252F">
      <w:pPr>
        <w:pStyle w:val="Upuce"/>
        <w:tabs>
          <w:tab w:val="clear" w:pos="360"/>
        </w:tabs>
        <w:rPr>
          <w:lang w:val="en-GB"/>
        </w:rPr>
      </w:pPr>
      <w:r>
        <w:rPr>
          <w:lang w:val="en-GB"/>
        </w:rPr>
        <w:t xml:space="preserve">Handout 1 </w:t>
      </w:r>
      <w:r w:rsidRPr="00D520A0">
        <w:rPr>
          <w:lang w:val="en-GB"/>
        </w:rPr>
        <w:t>Unit </w:t>
      </w:r>
      <w:r>
        <w:rPr>
          <w:lang w:val="en-GB"/>
        </w:rPr>
        <w:t xml:space="preserve">57 </w:t>
      </w:r>
      <w:r w:rsidR="00D234AB">
        <w:rPr>
          <w:lang w:val="en-GB"/>
        </w:rPr>
        <w:t>Optional exercise: Key terms in periodic reporting</w:t>
      </w:r>
    </w:p>
    <w:p w14:paraId="7DFCB46E" w14:textId="77777777" w:rsidR="00C13EA7" w:rsidRPr="00380DD8" w:rsidRDefault="00380DD8" w:rsidP="00380DD8">
      <w:pPr>
        <w:pStyle w:val="Titcoul"/>
      </w:pPr>
      <w:r>
        <w:t>Facilitator’s Narrative</w:t>
      </w:r>
    </w:p>
    <w:p w14:paraId="62A2CC4E" w14:textId="77777777" w:rsidR="00E17EF7" w:rsidRPr="00380DD8" w:rsidRDefault="00E17EF7" w:rsidP="00380DD8">
      <w:pPr>
        <w:pStyle w:val="Style1"/>
      </w:pPr>
      <w:r w:rsidRPr="00380DD8">
        <w:t xml:space="preserve">Before starting Session 1, the facilitator </w:t>
      </w:r>
      <w:r w:rsidR="00552E05" w:rsidRPr="00380DD8">
        <w:t>should stress the need for</w:t>
      </w:r>
      <w:r w:rsidRPr="00380DD8">
        <w:t xml:space="preserve"> participants </w:t>
      </w:r>
      <w:r w:rsidR="00552E05" w:rsidRPr="00380DD8">
        <w:t>to be</w:t>
      </w:r>
      <w:r w:rsidRPr="00380DD8">
        <w:t xml:space="preserve"> familiar with the key concepts of the Convention (as presented in Unit 3 of the IMP workshop) and they </w:t>
      </w:r>
      <w:proofErr w:type="gramStart"/>
      <w:r w:rsidRPr="00380DD8">
        <w:t>may be guided</w:t>
      </w:r>
      <w:proofErr w:type="gramEnd"/>
      <w:r w:rsidRPr="00380DD8">
        <w:t xml:space="preserve"> towards these as a supplementary resource if they feel they need it. In view of the short time available for this workshop, there is not time to go through these in plenary, but participants should feel free to ask the facilitator for further explanation on any key concepts that they are unfamiliar </w:t>
      </w:r>
      <w:proofErr w:type="gramStart"/>
      <w:r w:rsidRPr="00380DD8">
        <w:t>with</w:t>
      </w:r>
      <w:proofErr w:type="gramEnd"/>
      <w:r w:rsidRPr="00380DD8">
        <w:t>.</w:t>
      </w:r>
    </w:p>
    <w:p w14:paraId="1A84BF5A" w14:textId="721993EF" w:rsidR="00C13EA7" w:rsidRPr="00380DD8" w:rsidRDefault="00380DD8" w:rsidP="00380DD8">
      <w:pPr>
        <w:pStyle w:val="Titcoul"/>
        <w:jc w:val="both"/>
        <w:rPr>
          <w:lang w:val="en-US" w:eastAsia="en-US"/>
        </w:rPr>
      </w:pPr>
      <w:r>
        <w:rPr>
          <w:b w:val="0"/>
          <w:i/>
          <w:lang w:val="fr-FR" w:eastAsia="ja-JP"/>
        </w:rPr>
        <w:drawing>
          <wp:anchor distT="0" distB="0" distL="114300" distR="114300" simplePos="0" relativeHeight="251659264" behindDoc="0" locked="0" layoutInCell="1" allowOverlap="1" wp14:anchorId="3818D0B7" wp14:editId="2B0BC038">
            <wp:simplePos x="0" y="0"/>
            <wp:positionH relativeFrom="column">
              <wp:posOffset>0</wp:posOffset>
            </wp:positionH>
            <wp:positionV relativeFrom="paragraph">
              <wp:posOffset>1014730</wp:posOffset>
            </wp:positionV>
            <wp:extent cx="258792" cy="258792"/>
            <wp:effectExtent l="0" t="0" r="8255" b="825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3404.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58792" cy="258792"/>
                    </a:xfrm>
                    <a:prstGeom prst="rect">
                      <a:avLst/>
                    </a:prstGeom>
                  </pic:spPr>
                </pic:pic>
              </a:graphicData>
            </a:graphic>
          </wp:anchor>
        </w:drawing>
      </w:r>
      <w:r>
        <w:rPr>
          <w:lang w:val="en-US" w:eastAsia="en-US"/>
        </w:rPr>
        <w:t>Session 1: aN OVERVIEW OF THE PERIODIC REPORTING</w:t>
      </w:r>
      <w:r w:rsidR="00E72067">
        <w:rPr>
          <w:lang w:val="en-US" w:eastAsia="en-US"/>
        </w:rPr>
        <w:t xml:space="preserve"> mechanism</w:t>
      </w:r>
    </w:p>
    <w:p w14:paraId="71ADB290" w14:textId="77777777" w:rsidR="00380DD8" w:rsidRPr="00380DD8" w:rsidRDefault="00CA2D52" w:rsidP="00380DD8">
      <w:pPr>
        <w:pStyle w:val="Style1"/>
        <w:rPr>
          <w:b/>
          <w:i/>
        </w:rPr>
      </w:pPr>
      <w:r>
        <w:rPr>
          <w:b/>
          <w:i/>
        </w:rPr>
        <w:t>Estimated time: 30 minutes</w:t>
      </w:r>
    </w:p>
    <w:p w14:paraId="2FA83A78" w14:textId="6161EE9A" w:rsidR="00FA45D8" w:rsidRDefault="00C13EA7" w:rsidP="00380DD8">
      <w:pPr>
        <w:pStyle w:val="Style1"/>
      </w:pPr>
      <w:r w:rsidRPr="0086635C">
        <w:t>Th</w:t>
      </w:r>
      <w:r w:rsidR="00552E05">
        <w:t>is</w:t>
      </w:r>
      <w:r w:rsidRPr="0086635C">
        <w:t xml:space="preserve"> session introduces the participants to the periodic reporting process as it </w:t>
      </w:r>
      <w:proofErr w:type="gramStart"/>
      <w:r w:rsidRPr="0086635C">
        <w:t>is established</w:t>
      </w:r>
      <w:proofErr w:type="gramEnd"/>
      <w:r w:rsidRPr="0086635C">
        <w:t xml:space="preserve"> under the Convention, in particular</w:t>
      </w:r>
      <w:r w:rsidR="00552E05">
        <w:t>:</w:t>
      </w:r>
      <w:r w:rsidRPr="0086635C">
        <w:t xml:space="preserve"> its various objectives, its calendar, the roles of the Committee and General Assembly, etc. It also addresses what the purposes of the periodic reporting requirement. This session </w:t>
      </w:r>
      <w:r w:rsidR="00E72067">
        <w:t xml:space="preserve">mentions briefly the link between the overall results framework for the Convention and periodic reporting, but </w:t>
      </w:r>
      <w:r w:rsidRPr="0086635C">
        <w:t xml:space="preserve">does not consider </w:t>
      </w:r>
      <w:r w:rsidR="00E72067">
        <w:t xml:space="preserve">it in any detail nor </w:t>
      </w:r>
      <w:r w:rsidRPr="0086635C">
        <w:t xml:space="preserve">its impact on how periodic reporting is to </w:t>
      </w:r>
      <w:proofErr w:type="gramStart"/>
      <w:r w:rsidRPr="0086635C">
        <w:t>be carried out</w:t>
      </w:r>
      <w:r w:rsidR="0086635C">
        <w:t>,</w:t>
      </w:r>
      <w:proofErr w:type="gramEnd"/>
      <w:r w:rsidR="0086635C">
        <w:t xml:space="preserve"> which is addressed in later units</w:t>
      </w:r>
      <w:r w:rsidRPr="0086635C">
        <w:t>.</w:t>
      </w:r>
      <w:r w:rsidR="00FA45D8">
        <w:t xml:space="preserve"> It also introduces participants to the question as to their role as national Focal Points for periodic reporting might involve.</w:t>
      </w:r>
    </w:p>
    <w:p w14:paraId="63D7E6AE" w14:textId="77777777" w:rsidR="00512591" w:rsidRPr="00FD47F5" w:rsidRDefault="005739E2" w:rsidP="00FD47F5">
      <w:pPr>
        <w:pStyle w:val="Slide"/>
      </w:pPr>
      <w:r w:rsidRPr="00FD47F5">
        <w:t>slide 2</w:t>
      </w:r>
    </w:p>
    <w:p w14:paraId="6CB9A049" w14:textId="77777777" w:rsidR="005739E2" w:rsidRPr="00B74B32" w:rsidRDefault="005739E2" w:rsidP="00FD47F5">
      <w:pPr>
        <w:pStyle w:val="Slide2"/>
        <w:rPr>
          <w:rFonts w:asciiTheme="minorHAnsi" w:hAnsiTheme="minorHAnsi" w:cstheme="minorHAnsi"/>
        </w:rPr>
      </w:pPr>
      <w:r w:rsidRPr="00FD47F5">
        <w:t>Reporting under the 2003 Convention</w:t>
      </w:r>
    </w:p>
    <w:p w14:paraId="2847131F" w14:textId="77777777" w:rsidR="005739E2" w:rsidRPr="00FD47F5" w:rsidRDefault="005739E2" w:rsidP="00FD47F5">
      <w:pPr>
        <w:pStyle w:val="Style1"/>
      </w:pPr>
      <w:r>
        <w:t xml:space="preserve">This slide reminds us of the importance of periodic reporting in the Convention: </w:t>
      </w:r>
      <w:r w:rsidRPr="0086635C">
        <w:t>One of the few direct obligations (using the language “shall”)</w:t>
      </w:r>
      <w:r>
        <w:t xml:space="preserve"> in the Convention</w:t>
      </w:r>
      <w:r w:rsidRPr="0086635C">
        <w:t xml:space="preserve"> </w:t>
      </w:r>
      <w:proofErr w:type="gramStart"/>
      <w:r w:rsidRPr="0086635C">
        <w:t>is found</w:t>
      </w:r>
      <w:proofErr w:type="gramEnd"/>
      <w:r w:rsidRPr="0086635C">
        <w:t xml:space="preserve"> in Articles 29 and 30 setting out the obligations of States Parties to submit periodic reports and the Committee to provide summaries of these for the General Assembly. Article 29 allows for a broad interpretation as to what Parties report on, allowing the Committee the necessary flexibility to revise and develop the system as new requirements </w:t>
      </w:r>
      <w:proofErr w:type="gramStart"/>
      <w:r w:rsidRPr="0086635C">
        <w:t>are identified</w:t>
      </w:r>
      <w:proofErr w:type="gramEnd"/>
      <w:r w:rsidRPr="0086635C">
        <w:t xml:space="preserve">. This the Committee has done as one of the functions set out in Article 7(e) through preparing </w:t>
      </w:r>
      <w:r w:rsidR="001565CC">
        <w:t>O</w:t>
      </w:r>
      <w:r w:rsidR="001565CC" w:rsidRPr="0086635C">
        <w:t xml:space="preserve">perational </w:t>
      </w:r>
      <w:r w:rsidR="001565CC">
        <w:t>D</w:t>
      </w:r>
      <w:r w:rsidR="001565CC" w:rsidRPr="0086635C">
        <w:t xml:space="preserve">irectives </w:t>
      </w:r>
      <w:r w:rsidRPr="0086635C">
        <w:t>in this regard (OD</w:t>
      </w:r>
      <w:r w:rsidR="001565CC">
        <w:t>s</w:t>
      </w:r>
      <w:r w:rsidRPr="0086635C">
        <w:t xml:space="preserve"> 151-166).</w:t>
      </w:r>
      <w:r>
        <w:t xml:space="preserve"> If the participants need further detail</w:t>
      </w:r>
      <w:r w:rsidR="001565CC">
        <w:t>s</w:t>
      </w:r>
      <w:r>
        <w:t>, refer them to Articles 29 and 30 of the Convention.</w:t>
      </w:r>
    </w:p>
    <w:p w14:paraId="49B556D1" w14:textId="77777777" w:rsidR="005739E2" w:rsidRDefault="00BA752C" w:rsidP="00FD47F5">
      <w:pPr>
        <w:pStyle w:val="Style1"/>
      </w:pPr>
      <w:r w:rsidRPr="0086635C">
        <w:t xml:space="preserve">Periodic reports </w:t>
      </w:r>
      <w:r>
        <w:t xml:space="preserve">may </w:t>
      </w:r>
      <w:r w:rsidRPr="0086635C">
        <w:t>take many forms. For example, the reporting requirements</w:t>
      </w:r>
      <w:r>
        <w:t xml:space="preserve"> for</w:t>
      </w:r>
      <w:r w:rsidRPr="0086635C">
        <w:t xml:space="preserve"> the Paris Agreement (2015) on climate change</w:t>
      </w:r>
      <w:r>
        <w:t xml:space="preserve"> </w:t>
      </w:r>
      <w:r w:rsidRPr="0086635C">
        <w:t xml:space="preserve">are </w:t>
      </w:r>
      <w:r>
        <w:t xml:space="preserve">placed </w:t>
      </w:r>
      <w:r w:rsidRPr="0086635C">
        <w:t xml:space="preserve">within a detailed ‘transparency framework’. The 1992 Convention on Biological Diversity is a voluntary framework and </w:t>
      </w:r>
      <w:proofErr w:type="gramStart"/>
      <w:r w:rsidRPr="0086635C">
        <w:t>is linked</w:t>
      </w:r>
      <w:proofErr w:type="gramEnd"/>
      <w:r w:rsidRPr="0086635C">
        <w:t xml:space="preserve"> to national clearing-house mechanisms, the Aichi Biodiversity Targets, and other environmental multilateral agreements. </w:t>
      </w:r>
      <w:r>
        <w:t xml:space="preserve">It is important to stress that, although a </w:t>
      </w:r>
      <w:r w:rsidRPr="0086635C">
        <w:t xml:space="preserve">primary purpose of </w:t>
      </w:r>
      <w:r>
        <w:t>any</w:t>
      </w:r>
      <w:r w:rsidRPr="0086635C">
        <w:t xml:space="preserve"> periodic reporting </w:t>
      </w:r>
      <w:r>
        <w:t>mechanism</w:t>
      </w:r>
      <w:r w:rsidRPr="0086635C">
        <w:t xml:space="preserve"> is to check implementation by States Parties of their obligations under the Convention, this is only one of the purposes of periodic reporting. </w:t>
      </w:r>
      <w:r>
        <w:rPr>
          <w:color w:val="000000"/>
        </w:rPr>
        <w:t>Hence, although the detailed requirements of p</w:t>
      </w:r>
      <w:r w:rsidRPr="0086635C">
        <w:t>eriodic reporting</w:t>
      </w:r>
      <w:r>
        <w:t xml:space="preserve"> mechanisms differ, they generally </w:t>
      </w:r>
      <w:r w:rsidRPr="0086635C">
        <w:t>serv</w:t>
      </w:r>
      <w:r>
        <w:t>e</w:t>
      </w:r>
      <w:r w:rsidRPr="0086635C">
        <w:t xml:space="preserve"> as a valuable information tool for</w:t>
      </w:r>
      <w:r w:rsidR="001565CC">
        <w:t xml:space="preserve"> States</w:t>
      </w:r>
      <w:r w:rsidRPr="0086635C">
        <w:t xml:space="preserve"> Parties </w:t>
      </w:r>
      <w:r w:rsidR="001565CC">
        <w:t>to</w:t>
      </w:r>
      <w:r w:rsidR="001565CC" w:rsidRPr="0086635C">
        <w:t xml:space="preserve"> </w:t>
      </w:r>
      <w:r w:rsidR="001565CC">
        <w:t>evaluate</w:t>
      </w:r>
      <w:r w:rsidR="001565CC" w:rsidRPr="0086635C">
        <w:t xml:space="preserve"> </w:t>
      </w:r>
      <w:r w:rsidRPr="0086635C">
        <w:t xml:space="preserve">the effectiveness of their policies. </w:t>
      </w:r>
    </w:p>
    <w:p w14:paraId="4CD05F80" w14:textId="77777777" w:rsidR="00CD03DF" w:rsidRPr="00FD47F5" w:rsidRDefault="00CD03DF" w:rsidP="00CD03DF">
      <w:pPr>
        <w:pStyle w:val="Slide"/>
      </w:pPr>
      <w:r w:rsidRPr="00FD47F5">
        <w:t xml:space="preserve">slide </w:t>
      </w:r>
      <w:r>
        <w:t>3</w:t>
      </w:r>
    </w:p>
    <w:p w14:paraId="70EC8797" w14:textId="77777777" w:rsidR="00CD03DF" w:rsidRPr="00B9430D" w:rsidRDefault="00CD03DF" w:rsidP="00B9430D">
      <w:pPr>
        <w:pStyle w:val="Slide2"/>
        <w:rPr>
          <w:rFonts w:asciiTheme="minorHAnsi" w:hAnsiTheme="minorHAnsi" w:cstheme="minorHAnsi"/>
        </w:rPr>
      </w:pPr>
      <w:r>
        <w:t>Purposes of periodic reporting</w:t>
      </w:r>
      <w:r w:rsidRPr="00FD47F5">
        <w:t xml:space="preserve"> </w:t>
      </w:r>
    </w:p>
    <w:p w14:paraId="63733CF3" w14:textId="77777777" w:rsidR="002362A2" w:rsidRDefault="00CD03DF" w:rsidP="00FD47F5">
      <w:pPr>
        <w:pStyle w:val="Style1"/>
      </w:pPr>
      <w:r>
        <w:t>P</w:t>
      </w:r>
      <w:r w:rsidR="00BA752C" w:rsidRPr="0086635C">
        <w:t xml:space="preserve">eriodic reporting also </w:t>
      </w:r>
      <w:r w:rsidR="00BA752C">
        <w:t>giv</w:t>
      </w:r>
      <w:r w:rsidR="00BA752C" w:rsidRPr="0086635C">
        <w:t xml:space="preserve">es States Parties </w:t>
      </w:r>
      <w:r w:rsidR="00BA752C">
        <w:t>an</w:t>
      </w:r>
      <w:r w:rsidR="00BA752C" w:rsidRPr="0086635C">
        <w:t xml:space="preserve"> opportunity to take stock regularly of the progress achieved and challenges encountered when implementing the 2003 Convention</w:t>
      </w:r>
      <w:r w:rsidR="001565CC">
        <w:t>.</w:t>
      </w:r>
      <w:r w:rsidR="00B3283F">
        <w:t xml:space="preserve"> I</w:t>
      </w:r>
      <w:r w:rsidR="00194997">
        <w:t>t is important</w:t>
      </w:r>
      <w:r w:rsidR="00BA752C">
        <w:t xml:space="preserve"> for the facilitator </w:t>
      </w:r>
      <w:r w:rsidR="00194997">
        <w:t xml:space="preserve">to emphasize </w:t>
      </w:r>
      <w:r w:rsidR="00BA752C">
        <w:t>f</w:t>
      </w:r>
      <w:r w:rsidR="004A7E60">
        <w:t>r</w:t>
      </w:r>
      <w:r w:rsidR="00BA752C">
        <w:t xml:space="preserve">om the start </w:t>
      </w:r>
      <w:r w:rsidR="00194997">
        <w:t xml:space="preserve">how </w:t>
      </w:r>
      <w:r w:rsidR="00194997" w:rsidRPr="00194997">
        <w:t>periodic reporting</w:t>
      </w:r>
      <w:r w:rsidR="00194997">
        <w:t xml:space="preserve"> can serve as a very</w:t>
      </w:r>
      <w:r w:rsidR="00194997" w:rsidRPr="00194997">
        <w:t xml:space="preserve"> useful </w:t>
      </w:r>
      <w:r w:rsidR="00194997">
        <w:t xml:space="preserve">source of information </w:t>
      </w:r>
      <w:r w:rsidR="00194997" w:rsidRPr="00194997">
        <w:t>for countries</w:t>
      </w:r>
      <w:r w:rsidR="00194997">
        <w:t xml:space="preserve"> </w:t>
      </w:r>
      <w:proofErr w:type="gramStart"/>
      <w:r w:rsidR="00194997">
        <w:t>and also</w:t>
      </w:r>
      <w:proofErr w:type="gramEnd"/>
      <w:r w:rsidR="00194997">
        <w:t xml:space="preserve"> as a policy-making tool</w:t>
      </w:r>
      <w:r w:rsidR="00194997" w:rsidRPr="00194997">
        <w:t>.</w:t>
      </w:r>
      <w:r w:rsidR="00194997">
        <w:t xml:space="preserve"> </w:t>
      </w:r>
    </w:p>
    <w:p w14:paraId="3D1AA0BE" w14:textId="6F7B2CD1" w:rsidR="00BA752C" w:rsidRPr="00FD47F5" w:rsidRDefault="00194997" w:rsidP="00FD47F5">
      <w:pPr>
        <w:pStyle w:val="Style1"/>
      </w:pPr>
      <w:r>
        <w:t>Following a rather negative assessment of how periodic reporting was operating under the Convention, the Internal Oversight Service of UNESCO (</w:t>
      </w:r>
      <w:r w:rsidRPr="00194997">
        <w:t xml:space="preserve">IOS) recommended </w:t>
      </w:r>
      <w:r>
        <w:t xml:space="preserve">in 2013 a </w:t>
      </w:r>
      <w:r w:rsidRPr="00194997">
        <w:t>mov</w:t>
      </w:r>
      <w:r>
        <w:t>e</w:t>
      </w:r>
      <w:r w:rsidRPr="00194997">
        <w:t xml:space="preserve"> towards a results-based approach to</w:t>
      </w:r>
      <w:r>
        <w:t xml:space="preserve">wards monitoring and evaluating the Convention’s implementation. </w:t>
      </w:r>
      <w:r w:rsidRPr="00194997">
        <w:t xml:space="preserve">For this </w:t>
      </w:r>
      <w:r w:rsidR="00F9520C">
        <w:t>purpose</w:t>
      </w:r>
      <w:r w:rsidRPr="00194997">
        <w:t xml:space="preserve">, it was necessary to develop an overall results framework (ORF) for the Convention that would allow for </w:t>
      </w:r>
      <w:r w:rsidR="00F9520C" w:rsidRPr="00194997">
        <w:t xml:space="preserve">results (outputs and outcomes) </w:t>
      </w:r>
      <w:r w:rsidR="00F9520C">
        <w:t xml:space="preserve">to be </w:t>
      </w:r>
      <w:proofErr w:type="gramStart"/>
      <w:r w:rsidRPr="00194997">
        <w:t>captur</w:t>
      </w:r>
      <w:r w:rsidR="00F9520C">
        <w:t>ed</w:t>
      </w:r>
      <w:proofErr w:type="gramEnd"/>
      <w:r w:rsidRPr="00194997">
        <w:t xml:space="preserve"> and report</w:t>
      </w:r>
      <w:r w:rsidR="00F9520C">
        <w:t>ed</w:t>
      </w:r>
      <w:r w:rsidRPr="00194997">
        <w:t xml:space="preserve"> on</w:t>
      </w:r>
      <w:r w:rsidR="00F9520C">
        <w:t xml:space="preserve">. Through such a framework and an associated reporting mechanism, </w:t>
      </w:r>
      <w:r w:rsidR="00F9520C" w:rsidRPr="00194997">
        <w:t>what results</w:t>
      </w:r>
      <w:r w:rsidR="00F9520C">
        <w:t xml:space="preserve"> have been and</w:t>
      </w:r>
      <w:r w:rsidR="00F9520C" w:rsidRPr="00194997">
        <w:t xml:space="preserve"> are to </w:t>
      </w:r>
      <w:proofErr w:type="gramStart"/>
      <w:r w:rsidR="00F9520C" w:rsidRPr="00194997">
        <w:t>be achieved</w:t>
      </w:r>
      <w:proofErr w:type="gramEnd"/>
      <w:r w:rsidR="00F9520C">
        <w:t xml:space="preserve"> can be made much</w:t>
      </w:r>
      <w:r w:rsidRPr="00194997">
        <w:t xml:space="preserve"> clear</w:t>
      </w:r>
      <w:r w:rsidR="00F9520C">
        <w:t xml:space="preserve">er for States Parties, the </w:t>
      </w:r>
      <w:r w:rsidR="001565CC">
        <w:t>C</w:t>
      </w:r>
      <w:r w:rsidR="00F9520C">
        <w:t>ommittee and UNESCO</w:t>
      </w:r>
      <w:r w:rsidRPr="00194997">
        <w:t xml:space="preserve">. </w:t>
      </w:r>
      <w:r w:rsidR="00F9520C" w:rsidRPr="00BA752C">
        <w:t>One</w:t>
      </w:r>
      <w:r w:rsidRPr="00BA752C">
        <w:t xml:space="preserve"> major consideration underlying the process of developing an </w:t>
      </w:r>
      <w:r w:rsidR="001565CC">
        <w:t>ORF</w:t>
      </w:r>
      <w:r w:rsidRPr="00BA752C">
        <w:t xml:space="preserve"> for the Convention </w:t>
      </w:r>
      <w:r w:rsidR="00F9520C" w:rsidRPr="00BA752C">
        <w:t>(</w:t>
      </w:r>
      <w:r w:rsidRPr="00BA752C">
        <w:t>and revising the periodic reporting system on that basis</w:t>
      </w:r>
      <w:r w:rsidR="00F9520C" w:rsidRPr="00BA752C">
        <w:t>)</w:t>
      </w:r>
      <w:r w:rsidRPr="00BA752C">
        <w:t xml:space="preserve"> was </w:t>
      </w:r>
      <w:r w:rsidRPr="00BA752C">
        <w:rPr>
          <w:i/>
          <w:iCs/>
        </w:rPr>
        <w:t xml:space="preserve">how the reporting process </w:t>
      </w:r>
      <w:proofErr w:type="gramStart"/>
      <w:r w:rsidRPr="00BA752C">
        <w:rPr>
          <w:i/>
          <w:iCs/>
        </w:rPr>
        <w:t>c</w:t>
      </w:r>
      <w:r w:rsidR="00F9520C" w:rsidRPr="00BA752C">
        <w:rPr>
          <w:i/>
          <w:iCs/>
        </w:rPr>
        <w:t>ould</w:t>
      </w:r>
      <w:r w:rsidRPr="00BA752C">
        <w:rPr>
          <w:i/>
          <w:iCs/>
        </w:rPr>
        <w:t xml:space="preserve"> be made</w:t>
      </w:r>
      <w:proofErr w:type="gramEnd"/>
      <w:r w:rsidRPr="00BA752C">
        <w:rPr>
          <w:i/>
          <w:iCs/>
        </w:rPr>
        <w:t xml:space="preserve"> more user-friendly and useful for submitting States Parties and to the Convention as a whole</w:t>
      </w:r>
      <w:r w:rsidRPr="00BA752C">
        <w:t>.</w:t>
      </w:r>
    </w:p>
    <w:p w14:paraId="419580A6" w14:textId="77777777" w:rsidR="00FA45D8" w:rsidRPr="00FD47F5" w:rsidRDefault="00BA752C" w:rsidP="00FD47F5">
      <w:pPr>
        <w:pStyle w:val="Style1"/>
      </w:pPr>
      <w:r w:rsidRPr="0086635C">
        <w:t xml:space="preserve">Periodic reporting therefore serves as a tool to monitor the effective operationalization of the Convention at the national level. If it serves this purpose well, it can then be an invaluable basis for developing related policies. It also provides the Committee (and General Assembly) with an overview of the progress of implementing the Convention worldwide (and, with the new system, regionally) which allows for gaps in implementation to be identified and for new ODs to be developed to address these. </w:t>
      </w:r>
      <w:proofErr w:type="gramStart"/>
      <w:r w:rsidR="00FA45D8">
        <w:t>The benefits of aligning periodic reporting to a broader results-based monitoring framework should be strongly emphasized to participants, so that they understand that reporting is not an end in itself (i.e. fulfilling the task of filling out a form)</w:t>
      </w:r>
      <w:r w:rsidR="009901F9">
        <w:t>,</w:t>
      </w:r>
      <w:r w:rsidR="00FA45D8">
        <w:t xml:space="preserve"> but is rather part of the process of monitoring the </w:t>
      </w:r>
      <w:r w:rsidR="00FA45D8" w:rsidRPr="00F9520C">
        <w:rPr>
          <w:i/>
          <w:iCs/>
        </w:rPr>
        <w:t>results</w:t>
      </w:r>
      <w:r w:rsidR="00FA45D8">
        <w:t xml:space="preserve"> of implementing measures, setting baselines on the basis of this, evaluating progress, setting future targets and, crucially, enabling countries to set policies that help them to meet these targets.</w:t>
      </w:r>
      <w:proofErr w:type="gramEnd"/>
    </w:p>
    <w:p w14:paraId="1F75422A" w14:textId="005C3D2B" w:rsidR="00B8740A" w:rsidRDefault="00CD03DF" w:rsidP="00FD47F5">
      <w:pPr>
        <w:pStyle w:val="Style1"/>
        <w:rPr>
          <w:rFonts w:cstheme="minorHAnsi"/>
        </w:rPr>
      </w:pPr>
      <w:r>
        <w:rPr>
          <w:rFonts w:cstheme="minorHAnsi"/>
          <w:color w:val="000000"/>
        </w:rPr>
        <w:t>Unit 58</w:t>
      </w:r>
      <w:r w:rsidR="009901F9">
        <w:rPr>
          <w:rFonts w:cstheme="minorHAnsi"/>
          <w:color w:val="000000"/>
        </w:rPr>
        <w:t xml:space="preserve"> examines h</w:t>
      </w:r>
      <w:r w:rsidR="005739E2">
        <w:rPr>
          <w:rFonts w:cstheme="minorHAnsi"/>
          <w:color w:val="000000"/>
        </w:rPr>
        <w:t>ow</w:t>
      </w:r>
      <w:r w:rsidR="00194997" w:rsidRPr="00BA752C">
        <w:rPr>
          <w:rFonts w:cstheme="minorHAnsi"/>
          <w:color w:val="000000"/>
        </w:rPr>
        <w:t xml:space="preserve"> a results-based reporting mechanism can </w:t>
      </w:r>
      <w:r w:rsidR="00FA45D8">
        <w:rPr>
          <w:rFonts w:cstheme="minorHAnsi"/>
          <w:color w:val="000000"/>
        </w:rPr>
        <w:t>become</w:t>
      </w:r>
      <w:r w:rsidR="00F9520C">
        <w:rPr>
          <w:rFonts w:cstheme="minorHAnsi"/>
        </w:rPr>
        <w:t xml:space="preserve"> a more useful process for </w:t>
      </w:r>
      <w:r w:rsidR="009901F9">
        <w:rPr>
          <w:rFonts w:cstheme="minorHAnsi"/>
        </w:rPr>
        <w:t xml:space="preserve">countries </w:t>
      </w:r>
      <w:r w:rsidR="004A7E60">
        <w:rPr>
          <w:rFonts w:cstheme="minorHAnsi"/>
        </w:rPr>
        <w:t>and</w:t>
      </w:r>
      <w:r w:rsidR="00F9520C">
        <w:rPr>
          <w:rFonts w:cstheme="minorHAnsi"/>
        </w:rPr>
        <w:t xml:space="preserve"> </w:t>
      </w:r>
      <w:proofErr w:type="gramStart"/>
      <w:r w:rsidR="00F9520C">
        <w:rPr>
          <w:rFonts w:cstheme="minorHAnsi"/>
        </w:rPr>
        <w:t>can be incorporated</w:t>
      </w:r>
      <w:proofErr w:type="gramEnd"/>
      <w:r w:rsidR="00F9520C">
        <w:rPr>
          <w:rFonts w:cstheme="minorHAnsi"/>
        </w:rPr>
        <w:t xml:space="preserve"> into the policy-making cycle</w:t>
      </w:r>
      <w:r w:rsidR="009901F9">
        <w:rPr>
          <w:rFonts w:cstheme="minorHAnsi"/>
        </w:rPr>
        <w:t>.</w:t>
      </w:r>
    </w:p>
    <w:p w14:paraId="7806C57C" w14:textId="72879D3A" w:rsidR="00824AB3" w:rsidRPr="00FD47F5" w:rsidRDefault="00824AB3" w:rsidP="00824AB3">
      <w:pPr>
        <w:pStyle w:val="Slide"/>
      </w:pPr>
      <w:r w:rsidRPr="00FD47F5">
        <w:t>slide</w:t>
      </w:r>
      <w:r>
        <w:t>S</w:t>
      </w:r>
      <w:r w:rsidRPr="00FD47F5">
        <w:t xml:space="preserve"> </w:t>
      </w:r>
      <w:r>
        <w:t>4 &amp; 5</w:t>
      </w:r>
    </w:p>
    <w:p w14:paraId="356A1259" w14:textId="182C5D7A" w:rsidR="00824AB3" w:rsidRDefault="00824AB3" w:rsidP="00FD47F5">
      <w:pPr>
        <w:pStyle w:val="Style1"/>
        <w:rPr>
          <w:rFonts w:cstheme="minorHAnsi"/>
        </w:rPr>
      </w:pPr>
      <w:r>
        <w:rPr>
          <w:rFonts w:cstheme="minorHAnsi"/>
        </w:rPr>
        <w:t xml:space="preserve">These two slides provide a quick glance of the overall results framework for the Convention. The facilitators can say that it </w:t>
      </w:r>
      <w:proofErr w:type="gramStart"/>
      <w:r>
        <w:rPr>
          <w:rFonts w:cstheme="minorHAnsi"/>
        </w:rPr>
        <w:t>will be explored</w:t>
      </w:r>
      <w:proofErr w:type="gramEnd"/>
      <w:r>
        <w:rPr>
          <w:rFonts w:cstheme="minorHAnsi"/>
        </w:rPr>
        <w:t xml:space="preserve"> at length during the workshop. At this point</w:t>
      </w:r>
      <w:r w:rsidR="00D234AB">
        <w:rPr>
          <w:rFonts w:cstheme="minorHAnsi"/>
        </w:rPr>
        <w:t>,</w:t>
      </w:r>
      <w:r>
        <w:rPr>
          <w:rFonts w:cstheme="minorHAnsi"/>
        </w:rPr>
        <w:t xml:space="preserve"> it is only important to be aware that the periodic reporting form </w:t>
      </w:r>
      <w:proofErr w:type="gramStart"/>
      <w:r>
        <w:rPr>
          <w:rFonts w:cstheme="minorHAnsi"/>
        </w:rPr>
        <w:t>was developed</w:t>
      </w:r>
      <w:proofErr w:type="gramEnd"/>
      <w:r>
        <w:rPr>
          <w:rFonts w:cstheme="minorHAnsi"/>
        </w:rPr>
        <w:t xml:space="preserve"> based on the </w:t>
      </w:r>
      <w:r w:rsidR="00D234AB">
        <w:rPr>
          <w:rFonts w:cstheme="minorHAnsi"/>
        </w:rPr>
        <w:t>overall results framework</w:t>
      </w:r>
      <w:r>
        <w:rPr>
          <w:rFonts w:cstheme="minorHAnsi"/>
        </w:rPr>
        <w:t xml:space="preserve"> with reference to the Operational Directives.</w:t>
      </w:r>
    </w:p>
    <w:p w14:paraId="70780146" w14:textId="2EB945F0" w:rsidR="00B9430D" w:rsidRPr="00FD47F5" w:rsidRDefault="00B9430D" w:rsidP="00B9430D">
      <w:pPr>
        <w:pStyle w:val="Slide"/>
      </w:pPr>
      <w:r w:rsidRPr="00FD47F5">
        <w:t xml:space="preserve">slide </w:t>
      </w:r>
      <w:r w:rsidR="00824AB3">
        <w:t>6</w:t>
      </w:r>
    </w:p>
    <w:p w14:paraId="46D5C73A" w14:textId="7981262A" w:rsidR="00B9430D" w:rsidRPr="00B9430D" w:rsidRDefault="003C139C" w:rsidP="00B9430D">
      <w:pPr>
        <w:pStyle w:val="Slide2"/>
        <w:rPr>
          <w:rFonts w:asciiTheme="minorHAnsi" w:hAnsiTheme="minorHAnsi" w:cstheme="minorHAnsi"/>
        </w:rPr>
      </w:pPr>
      <w:r w:rsidRPr="008E4906">
        <w:rPr>
          <w:lang w:val="en-GB"/>
        </w:rPr>
        <w:t xml:space="preserve">Reports on the implementation of the Convention </w:t>
      </w:r>
    </w:p>
    <w:p w14:paraId="1248CC06" w14:textId="78335E9D" w:rsidR="00C13EA7" w:rsidRDefault="00C13EA7" w:rsidP="00FD47F5">
      <w:pPr>
        <w:pStyle w:val="Style1"/>
      </w:pPr>
      <w:r w:rsidRPr="00FD47F5">
        <w:t xml:space="preserve">ODs 153 to 158 </w:t>
      </w:r>
      <w:r w:rsidR="00430CDA">
        <w:t xml:space="preserve">spell out to the key requirements for Part I of the periodic reports, which is on the implementation of the Convention (Part II concerns reporting on elements inscribed on the Representative List of the Convention). They </w:t>
      </w:r>
      <w:r w:rsidRPr="00FD47F5">
        <w:t xml:space="preserve">are relevant to the design of the </w:t>
      </w:r>
      <w:r w:rsidR="00AC75B0" w:rsidRPr="00FD47F5">
        <w:t>periodic reporting form ICH-10</w:t>
      </w:r>
      <w:r w:rsidRPr="00FD47F5">
        <w:t>.</w:t>
      </w:r>
      <w:r w:rsidR="00AC75B0" w:rsidRPr="00CD03DF">
        <w:rPr>
          <w:rStyle w:val="FootnoteReference"/>
        </w:rPr>
        <w:footnoteReference w:id="1"/>
      </w:r>
      <w:r w:rsidRPr="00CD03DF">
        <w:rPr>
          <w:vertAlign w:val="superscript"/>
        </w:rPr>
        <w:t xml:space="preserve"> </w:t>
      </w:r>
      <w:r w:rsidRPr="00FD47F5">
        <w:t xml:space="preserve">The facilitator should invite participants to </w:t>
      </w:r>
      <w:proofErr w:type="gramStart"/>
      <w:r w:rsidRPr="00FD47F5">
        <w:t>read through</w:t>
      </w:r>
      <w:proofErr w:type="gramEnd"/>
      <w:r w:rsidRPr="00FD47F5">
        <w:t xml:space="preserve"> ODs 153-158 </w:t>
      </w:r>
      <w:r w:rsidR="005D7F0E">
        <w:t xml:space="preserve">in the Basic Texts. </w:t>
      </w:r>
      <w:r w:rsidR="00C96976" w:rsidRPr="00FD47F5">
        <w:t xml:space="preserve">Participants had the opportunity to explore the online form prior to the workshop and you may ask them here to share their initial impressions. </w:t>
      </w:r>
    </w:p>
    <w:p w14:paraId="4F21108A" w14:textId="38BDABB8" w:rsidR="00390F36" w:rsidRDefault="005D7F0E" w:rsidP="00390F36">
      <w:pPr>
        <w:pStyle w:val="Slide"/>
      </w:pPr>
      <w:r>
        <w:t>slide</w:t>
      </w:r>
      <w:r w:rsidR="003C139C">
        <w:t xml:space="preserve"> </w:t>
      </w:r>
      <w:r w:rsidR="00824AB3">
        <w:t>7</w:t>
      </w:r>
    </w:p>
    <w:p w14:paraId="428468D5" w14:textId="77777777" w:rsidR="00390F36" w:rsidRPr="0086635C" w:rsidRDefault="00390F36" w:rsidP="00390F36">
      <w:pPr>
        <w:pStyle w:val="Slide2"/>
        <w:rPr>
          <w:color w:val="00B050"/>
        </w:rPr>
      </w:pPr>
      <w:r>
        <w:t>REGIONAL SYSTEM OF NATIONAL REPORTING</w:t>
      </w:r>
    </w:p>
    <w:p w14:paraId="6CB68007" w14:textId="480B31BD" w:rsidR="00390F36" w:rsidRDefault="00390F36" w:rsidP="00390F36">
      <w:pPr>
        <w:pStyle w:val="Maintext"/>
      </w:pPr>
      <w:r>
        <w:t xml:space="preserve">One of the most </w:t>
      </w:r>
      <w:r w:rsidRPr="0086635C">
        <w:t>important aspect</w:t>
      </w:r>
      <w:r>
        <w:t>s</w:t>
      </w:r>
      <w:r w:rsidRPr="0086635C">
        <w:t xml:space="preserve"> of th</w:t>
      </w:r>
      <w:r>
        <w:t>e</w:t>
      </w:r>
      <w:r w:rsidRPr="0086635C">
        <w:t xml:space="preserve"> </w:t>
      </w:r>
      <w:r>
        <w:t>Operational Directives dealing with periodic reporting under the Convention (ODs 152-166)</w:t>
      </w:r>
      <w:r w:rsidRPr="0086635C">
        <w:t xml:space="preserve"> is the periodicity based on a regional system</w:t>
      </w:r>
      <w:r w:rsidR="003C139C">
        <w:t xml:space="preserve"> of reporting</w:t>
      </w:r>
      <w:r w:rsidRPr="0086635C">
        <w:t xml:space="preserve"> similar to that now operating </w:t>
      </w:r>
      <w:r>
        <w:t>with</w:t>
      </w:r>
      <w:r w:rsidRPr="0086635C">
        <w:t xml:space="preserve"> the 1972 World Heritage Convention.</w:t>
      </w:r>
    </w:p>
    <w:p w14:paraId="305A85C7" w14:textId="77777777" w:rsidR="00390F36" w:rsidRPr="0086635C" w:rsidRDefault="00390F36" w:rsidP="00390F36">
      <w:pPr>
        <w:pStyle w:val="Maintext"/>
      </w:pPr>
      <w:r>
        <w:t>This slide shows the content of</w:t>
      </w:r>
      <w:r w:rsidRPr="0086635C">
        <w:t xml:space="preserve"> OD 152</w:t>
      </w:r>
      <w:r>
        <w:t xml:space="preserve"> which </w:t>
      </w:r>
      <w:r w:rsidRPr="0086635C">
        <w:t>makes clear</w:t>
      </w:r>
      <w:r>
        <w:t xml:space="preserve"> that</w:t>
      </w:r>
      <w:r w:rsidRPr="0086635C">
        <w:t xml:space="preserve"> a major advantage of such a system is that it will allow for monitoring to be undertaken at the regional level, and for regional trends to be identified. It may also help to encourage </w:t>
      </w:r>
      <w:r>
        <w:t xml:space="preserve">States </w:t>
      </w:r>
      <w:r w:rsidRPr="0086635C">
        <w:t xml:space="preserve">Parties to report on time </w:t>
      </w:r>
      <w:r>
        <w:t>due to</w:t>
      </w:r>
      <w:r w:rsidRPr="0086635C">
        <w:t xml:space="preserve"> the support provided through national Focal Points and the regional-level capacity-building training.</w:t>
      </w:r>
    </w:p>
    <w:p w14:paraId="1BCAF93D" w14:textId="4F59EA97" w:rsidR="00390F36" w:rsidRDefault="005D7F0E" w:rsidP="00390F36">
      <w:pPr>
        <w:pStyle w:val="Slide"/>
      </w:pPr>
      <w:r>
        <w:t>slide</w:t>
      </w:r>
      <w:r w:rsidR="003C139C">
        <w:t xml:space="preserve"> </w:t>
      </w:r>
      <w:r w:rsidR="00824AB3">
        <w:t>8</w:t>
      </w:r>
    </w:p>
    <w:p w14:paraId="54C859BF" w14:textId="72FC749C" w:rsidR="00390F36" w:rsidRPr="0086635C" w:rsidRDefault="00390F36" w:rsidP="00390F36">
      <w:pPr>
        <w:pStyle w:val="Slide2"/>
      </w:pPr>
      <w:r w:rsidRPr="00390F36">
        <w:rPr>
          <w:lang w:val="en-GB"/>
        </w:rPr>
        <w:t>Regional Overview of reports</w:t>
      </w:r>
      <w:r>
        <w:t>:</w:t>
      </w:r>
    </w:p>
    <w:p w14:paraId="67371110" w14:textId="1D560FFD" w:rsidR="00390F36" w:rsidRDefault="00390F36" w:rsidP="00524218">
      <w:pPr>
        <w:pStyle w:val="Maintext"/>
      </w:pPr>
      <w:r>
        <w:t xml:space="preserve">The participant text provides some </w:t>
      </w:r>
      <w:r w:rsidR="003C139C">
        <w:t xml:space="preserve">background </w:t>
      </w:r>
      <w:r>
        <w:t xml:space="preserve">information on why the periodic reporting process </w:t>
      </w:r>
      <w:proofErr w:type="gramStart"/>
      <w:r>
        <w:t>was reformed</w:t>
      </w:r>
      <w:proofErr w:type="gramEnd"/>
      <w:r>
        <w:t xml:space="preserve"> under the 2003 Convention. In particular, it highlights the weaknesses of the periodic reporting system as identified by UNESCO’s Internal Oversight Service in 2013. </w:t>
      </w:r>
      <w:r>
        <w:rPr>
          <w:bCs/>
        </w:rPr>
        <w:t xml:space="preserve">To get a clearer understanding of the nature of the information that </w:t>
      </w:r>
      <w:proofErr w:type="gramStart"/>
      <w:r>
        <w:rPr>
          <w:bCs/>
        </w:rPr>
        <w:t>was gathered</w:t>
      </w:r>
      <w:proofErr w:type="gramEnd"/>
      <w:r>
        <w:rPr>
          <w:bCs/>
        </w:rPr>
        <w:t xml:space="preserve"> during previous reporting cycles (before the system was revised), participants </w:t>
      </w:r>
      <w:r w:rsidR="003C139C">
        <w:rPr>
          <w:bCs/>
        </w:rPr>
        <w:t>may</w:t>
      </w:r>
      <w:r>
        <w:rPr>
          <w:bCs/>
        </w:rPr>
        <w:t xml:space="preserve"> also refer to the cumulative studies of periodic reports available on the Convention’s website</w:t>
      </w:r>
      <w:r>
        <w:t>.</w:t>
      </w:r>
      <w:r>
        <w:rPr>
          <w:rStyle w:val="FootnoteReference"/>
        </w:rPr>
        <w:footnoteReference w:id="2"/>
      </w:r>
    </w:p>
    <w:p w14:paraId="6DD04F46" w14:textId="0AAC9570" w:rsidR="00567B0A" w:rsidRPr="00FF3EFA" w:rsidRDefault="00567B0A" w:rsidP="00567B0A">
      <w:pPr>
        <w:pStyle w:val="Slide"/>
        <w:rPr>
          <w:lang w:val="en-GB"/>
        </w:rPr>
      </w:pPr>
      <w:r w:rsidRPr="0086635C">
        <w:t xml:space="preserve">slide </w:t>
      </w:r>
      <w:r w:rsidR="00824AB3">
        <w:t>9 &amp; 10</w:t>
      </w:r>
    </w:p>
    <w:p w14:paraId="6B7E343A" w14:textId="4940CE93" w:rsidR="00567B0A" w:rsidRPr="00743A64" w:rsidRDefault="008E4906" w:rsidP="00567B0A">
      <w:pPr>
        <w:pStyle w:val="Slide2"/>
      </w:pPr>
      <w:r>
        <w:t>Aims</w:t>
      </w:r>
      <w:r w:rsidR="00567B0A">
        <w:t xml:space="preserve"> </w:t>
      </w:r>
      <w:r w:rsidR="00567B0A" w:rsidRPr="00743A64">
        <w:t>of the periodic reporting process</w:t>
      </w:r>
    </w:p>
    <w:p w14:paraId="63A68264" w14:textId="77777777" w:rsidR="00567B0A" w:rsidRPr="0086635C" w:rsidRDefault="00567B0A" w:rsidP="00567B0A">
      <w:pPr>
        <w:pStyle w:val="Maintext"/>
      </w:pPr>
      <w:r w:rsidRPr="0086635C">
        <w:t xml:space="preserve">This slide presents some of the main </w:t>
      </w:r>
      <w:r>
        <w:t>characteristics and benefits</w:t>
      </w:r>
      <w:r w:rsidRPr="0086635C">
        <w:t xml:space="preserve"> </w:t>
      </w:r>
      <w:r>
        <w:t xml:space="preserve">of </w:t>
      </w:r>
      <w:r w:rsidRPr="0086635C">
        <w:t>the periodic reporting process</w:t>
      </w:r>
      <w:r>
        <w:t xml:space="preserve"> towards, which is a </w:t>
      </w:r>
      <w:r w:rsidRPr="00053FDA">
        <w:rPr>
          <w:i/>
          <w:iCs/>
        </w:rPr>
        <w:t>results-based reporting system</w:t>
      </w:r>
      <w:r>
        <w:t>:</w:t>
      </w:r>
    </w:p>
    <w:p w14:paraId="05E510C5" w14:textId="77777777" w:rsidR="00567B0A" w:rsidRPr="0086635C" w:rsidRDefault="00567B0A" w:rsidP="00567B0A">
      <w:pPr>
        <w:pStyle w:val="Maintext"/>
        <w:numPr>
          <w:ilvl w:val="0"/>
          <w:numId w:val="18"/>
        </w:numPr>
        <w:rPr>
          <w:szCs w:val="22"/>
          <w:lang w:val="en-GB"/>
        </w:rPr>
      </w:pPr>
      <w:r w:rsidRPr="0086635C">
        <w:rPr>
          <w:szCs w:val="22"/>
          <w:lang w:val="en-GB"/>
        </w:rPr>
        <w:t>A periodic reporting format that is</w:t>
      </w:r>
      <w:r>
        <w:rPr>
          <w:szCs w:val="22"/>
          <w:lang w:val="en-GB"/>
        </w:rPr>
        <w:t xml:space="preserve"> </w:t>
      </w:r>
      <w:r w:rsidRPr="0086635C">
        <w:rPr>
          <w:szCs w:val="22"/>
          <w:lang w:val="en-GB"/>
        </w:rPr>
        <w:t xml:space="preserve">aligned with the overarching goals of implementing the 2003 Convention and with the </w:t>
      </w:r>
      <w:r>
        <w:rPr>
          <w:szCs w:val="22"/>
          <w:lang w:val="en-GB"/>
        </w:rPr>
        <w:t>overall results framework</w:t>
      </w:r>
      <w:r w:rsidRPr="0086635C">
        <w:rPr>
          <w:szCs w:val="22"/>
          <w:lang w:val="en-GB"/>
        </w:rPr>
        <w:t xml:space="preserve">, providing a mechanism that monitors </w:t>
      </w:r>
      <w:r w:rsidRPr="0086635C">
        <w:rPr>
          <w:i/>
          <w:iCs/>
          <w:szCs w:val="22"/>
          <w:lang w:val="en-GB"/>
        </w:rPr>
        <w:t>effective implementation</w:t>
      </w:r>
      <w:r w:rsidRPr="0086635C">
        <w:rPr>
          <w:szCs w:val="22"/>
          <w:lang w:val="en-GB"/>
        </w:rPr>
        <w:t xml:space="preserve"> of the Convention by focusing on outputs, outcomes and impact.</w:t>
      </w:r>
    </w:p>
    <w:p w14:paraId="3FC11242" w14:textId="77777777" w:rsidR="00567B0A" w:rsidRPr="0086635C" w:rsidRDefault="00567B0A" w:rsidP="00567B0A">
      <w:pPr>
        <w:pStyle w:val="Maintext"/>
        <w:numPr>
          <w:ilvl w:val="0"/>
          <w:numId w:val="18"/>
        </w:numPr>
        <w:rPr>
          <w:szCs w:val="22"/>
          <w:lang w:val="en-GB"/>
        </w:rPr>
      </w:pPr>
      <w:r w:rsidRPr="0086635C">
        <w:rPr>
          <w:szCs w:val="22"/>
          <w:lang w:val="en-GB"/>
        </w:rPr>
        <w:t>A periodic reporting format that i</w:t>
      </w:r>
      <w:r>
        <w:rPr>
          <w:szCs w:val="22"/>
          <w:lang w:val="en-GB"/>
        </w:rPr>
        <w:t xml:space="preserve">s </w:t>
      </w:r>
      <w:r w:rsidRPr="0086635C">
        <w:rPr>
          <w:szCs w:val="22"/>
          <w:lang w:val="en-GB"/>
        </w:rPr>
        <w:t>user-friendly and clear for reporting States Parties, and avoids unnecessary (and often obscuring) detail in reporting, while allowing for examples of good practices.</w:t>
      </w:r>
    </w:p>
    <w:p w14:paraId="6CE64CC2" w14:textId="77777777" w:rsidR="00567B0A" w:rsidRPr="0086635C" w:rsidRDefault="00567B0A" w:rsidP="00567B0A">
      <w:pPr>
        <w:pStyle w:val="Maintext"/>
        <w:numPr>
          <w:ilvl w:val="0"/>
          <w:numId w:val="18"/>
        </w:numPr>
        <w:rPr>
          <w:szCs w:val="22"/>
          <w:lang w:val="en-GB"/>
        </w:rPr>
      </w:pPr>
      <w:r w:rsidRPr="0086635C">
        <w:rPr>
          <w:szCs w:val="22"/>
          <w:lang w:val="en-GB"/>
        </w:rPr>
        <w:t>A tool to allow for more effective monitoring of implementation by the Committee, and thereby facilitate evaluation and planning, by developing some standards for the information gathered by national monitoring systems over time.</w:t>
      </w:r>
    </w:p>
    <w:p w14:paraId="5A1BA610" w14:textId="77777777" w:rsidR="00567B0A" w:rsidRPr="0086635C" w:rsidRDefault="00567B0A" w:rsidP="00567B0A">
      <w:pPr>
        <w:pStyle w:val="Maintext"/>
        <w:numPr>
          <w:ilvl w:val="0"/>
          <w:numId w:val="18"/>
        </w:numPr>
        <w:rPr>
          <w:szCs w:val="22"/>
          <w:lang w:val="en-GB"/>
        </w:rPr>
      </w:pPr>
      <w:r w:rsidRPr="0086635C">
        <w:rPr>
          <w:szCs w:val="22"/>
          <w:lang w:val="en-GB"/>
        </w:rPr>
        <w:t xml:space="preserve">To provide States Parties with a useful tool for identifying the appropriateness of specific implementing </w:t>
      </w:r>
      <w:proofErr w:type="gramStart"/>
      <w:r w:rsidRPr="0086635C">
        <w:rPr>
          <w:szCs w:val="22"/>
          <w:lang w:val="en-GB"/>
        </w:rPr>
        <w:t>measures and approaches</w:t>
      </w:r>
      <w:proofErr w:type="gramEnd"/>
      <w:r w:rsidRPr="0086635C">
        <w:rPr>
          <w:szCs w:val="22"/>
          <w:lang w:val="en-GB"/>
        </w:rPr>
        <w:t xml:space="preserve"> and evidence of good practices where they exist, and to serve as a useful basis for States Parties to develop their own national monitoring systems.</w:t>
      </w:r>
    </w:p>
    <w:p w14:paraId="71BE89C1" w14:textId="77777777" w:rsidR="00567B0A" w:rsidRPr="0086635C" w:rsidRDefault="00567B0A" w:rsidP="00567B0A">
      <w:pPr>
        <w:pStyle w:val="Maintext"/>
        <w:numPr>
          <w:ilvl w:val="0"/>
          <w:numId w:val="18"/>
        </w:numPr>
        <w:rPr>
          <w:szCs w:val="22"/>
          <w:lang w:val="en-GB"/>
        </w:rPr>
      </w:pPr>
      <w:r w:rsidRPr="0086635C">
        <w:rPr>
          <w:szCs w:val="22"/>
          <w:lang w:val="en-GB"/>
        </w:rPr>
        <w:t xml:space="preserve">To create benchmarks against which progress (or regress) </w:t>
      </w:r>
      <w:proofErr w:type="gramStart"/>
      <w:r w:rsidRPr="0086635C">
        <w:rPr>
          <w:szCs w:val="22"/>
          <w:lang w:val="en-GB"/>
        </w:rPr>
        <w:t>can be measured</w:t>
      </w:r>
      <w:proofErr w:type="gramEnd"/>
      <w:r w:rsidRPr="0086635C">
        <w:rPr>
          <w:szCs w:val="22"/>
          <w:lang w:val="en-GB"/>
        </w:rPr>
        <w:t xml:space="preserve"> in future reporting, and to identify clearly both the positive and negative impacts of certain safeguarding measures.</w:t>
      </w:r>
    </w:p>
    <w:p w14:paraId="0B8988F0" w14:textId="5641BFC8" w:rsidR="003A0EFE" w:rsidRDefault="00567B0A" w:rsidP="00567B0A">
      <w:pPr>
        <w:pStyle w:val="Maintext"/>
        <w:numPr>
          <w:ilvl w:val="0"/>
          <w:numId w:val="18"/>
        </w:numPr>
        <w:rPr>
          <w:szCs w:val="22"/>
          <w:lang w:val="en-GB"/>
        </w:rPr>
      </w:pPr>
      <w:r w:rsidRPr="00567B0A">
        <w:rPr>
          <w:szCs w:val="22"/>
          <w:lang w:val="en-GB"/>
        </w:rPr>
        <w:t>High submission rate for reports and timely submission</w:t>
      </w:r>
    </w:p>
    <w:p w14:paraId="09B02F2F" w14:textId="6012EB3B" w:rsidR="00567B0A" w:rsidRPr="00524218" w:rsidRDefault="00567B0A" w:rsidP="00524218">
      <w:pPr>
        <w:pStyle w:val="Maintext"/>
        <w:numPr>
          <w:ilvl w:val="0"/>
          <w:numId w:val="18"/>
        </w:numPr>
        <w:rPr>
          <w:szCs w:val="22"/>
          <w:lang w:val="en-GB"/>
        </w:rPr>
      </w:pPr>
      <w:r w:rsidRPr="003A0EFE">
        <w:rPr>
          <w:szCs w:val="22"/>
          <w:lang w:val="en-GB"/>
        </w:rPr>
        <w:t>To improve the submission rate for reports and reduce as much as possible the tardiness of such reports (</w:t>
      </w:r>
      <w:hyperlink r:id="rId12" w:history="1">
        <w:r w:rsidRPr="003A0EFE">
          <w:rPr>
            <w:rStyle w:val="Hyperlink"/>
            <w:szCs w:val="20"/>
            <w:lang w:val="en-GB"/>
          </w:rPr>
          <w:t>ITH/17/12.COM WG/5</w:t>
        </w:r>
      </w:hyperlink>
      <w:r w:rsidRPr="003A0EFE">
        <w:rPr>
          <w:szCs w:val="20"/>
          <w:lang w:val="en-GB"/>
        </w:rPr>
        <w:t>,</w:t>
      </w:r>
      <w:r w:rsidRPr="008454D3">
        <w:rPr>
          <w:szCs w:val="20"/>
          <w:lang w:val="en-GB"/>
        </w:rPr>
        <w:t xml:space="preserve"> at</w:t>
      </w:r>
      <w:r w:rsidRPr="00524218">
        <w:rPr>
          <w:szCs w:val="20"/>
          <w:lang w:val="en-GB"/>
        </w:rPr>
        <w:t xml:space="preserve"> page </w:t>
      </w:r>
      <w:r w:rsidRPr="00524218">
        <w:rPr>
          <w:rStyle w:val="PageNumber"/>
          <w:szCs w:val="20"/>
          <w:lang w:val="en-GB"/>
        </w:rPr>
        <w:fldChar w:fldCharType="begin"/>
      </w:r>
      <w:r w:rsidRPr="00524218">
        <w:rPr>
          <w:rStyle w:val="PageNumber"/>
          <w:szCs w:val="20"/>
          <w:lang w:val="en-GB"/>
        </w:rPr>
        <w:instrText xml:space="preserve"> PAGE </w:instrText>
      </w:r>
      <w:r w:rsidRPr="00524218">
        <w:rPr>
          <w:rStyle w:val="PageNumber"/>
          <w:szCs w:val="20"/>
          <w:lang w:val="en-GB"/>
        </w:rPr>
        <w:fldChar w:fldCharType="separate"/>
      </w:r>
      <w:r w:rsidRPr="00524218">
        <w:rPr>
          <w:rStyle w:val="PageNumber"/>
          <w:noProof/>
          <w:szCs w:val="20"/>
          <w:lang w:val="en-GB"/>
        </w:rPr>
        <w:t>15</w:t>
      </w:r>
      <w:r w:rsidRPr="00524218">
        <w:rPr>
          <w:rStyle w:val="PageNumber"/>
          <w:szCs w:val="20"/>
          <w:lang w:val="en-GB"/>
        </w:rPr>
        <w:fldChar w:fldCharType="end"/>
      </w:r>
      <w:r w:rsidRPr="00524218">
        <w:rPr>
          <w:rStyle w:val="PageNumber"/>
          <w:szCs w:val="20"/>
          <w:lang w:val="en-GB"/>
        </w:rPr>
        <w:t>).</w:t>
      </w:r>
    </w:p>
    <w:p w14:paraId="0DC7AE64" w14:textId="33674874" w:rsidR="00B9430D" w:rsidRPr="00FD47F5" w:rsidRDefault="00B9430D" w:rsidP="00B9430D">
      <w:pPr>
        <w:pStyle w:val="Slide"/>
      </w:pPr>
      <w:r w:rsidRPr="00FD47F5">
        <w:t xml:space="preserve">slide </w:t>
      </w:r>
      <w:r w:rsidR="00824AB3">
        <w:t>11</w:t>
      </w:r>
    </w:p>
    <w:p w14:paraId="4079EC3F" w14:textId="1C535A17" w:rsidR="00834A2B" w:rsidRPr="00B9430D" w:rsidRDefault="005739E2" w:rsidP="00B9430D">
      <w:pPr>
        <w:pStyle w:val="Slide2"/>
      </w:pPr>
      <w:r w:rsidRPr="00B9430D">
        <w:t xml:space="preserve">role of </w:t>
      </w:r>
      <w:r w:rsidR="00045AF1" w:rsidRPr="00B9430D">
        <w:t>Focal Points</w:t>
      </w:r>
      <w:r w:rsidR="00382990">
        <w:t xml:space="preserve"> in Periodic reporting</w:t>
      </w:r>
      <w:r w:rsidRPr="00B9430D">
        <w:t>:</w:t>
      </w:r>
    </w:p>
    <w:p w14:paraId="20691663" w14:textId="77777777" w:rsidR="00324559" w:rsidRDefault="00834A2B" w:rsidP="00B47020">
      <w:pPr>
        <w:pStyle w:val="Style1"/>
      </w:pPr>
      <w:r>
        <w:t xml:space="preserve">It is important that, as part of the workshop, the participants reflect upon their role as national Focal Points for the periodic reporting process and this is a good point to begin that reflection. </w:t>
      </w:r>
      <w:r w:rsidR="003F20DA">
        <w:t>They are, of course, a bridge between UNESCO and the Convention framework and their own national authorities and other national stakeholders. They need to be able to consider how they will be able to put into practice the ideas and training that they gain through the workshop, taking into account their own national situations. As a group, they may also wish to think about how they can provide a support network for each other throughout the process.</w:t>
      </w:r>
    </w:p>
    <w:p w14:paraId="7A8CA436" w14:textId="77777777" w:rsidR="00D74E5F" w:rsidRDefault="00D74E5F" w:rsidP="00B47020">
      <w:pPr>
        <w:pStyle w:val="Style1"/>
      </w:pPr>
      <w:r>
        <w:t xml:space="preserve">As an introduction to the discussion, the facilitator can refer to the final question of </w:t>
      </w:r>
      <w:r w:rsidRPr="00CD03DF">
        <w:rPr>
          <w:b/>
        </w:rPr>
        <w:t>Handout 2</w:t>
      </w:r>
      <w:r>
        <w:t xml:space="preserve"> from Unit </w:t>
      </w:r>
      <w:r w:rsidR="00CD03DF">
        <w:t>56</w:t>
      </w:r>
      <w:r>
        <w:t xml:space="preserve"> </w:t>
      </w:r>
      <w:r w:rsidRPr="00D74E5F">
        <w:t>(“</w:t>
      </w:r>
      <w:r w:rsidRPr="00D74E5F">
        <w:rPr>
          <w:i/>
          <w:iCs/>
          <w:lang w:val="en-BZ"/>
        </w:rPr>
        <w:t>Is there an overall strategy in place for implementing the convention in your country? If ‘yes’, what are the main features of that strategy? If ‘no’, what strategies exist?</w:t>
      </w:r>
      <w:r w:rsidRPr="00D74E5F">
        <w:rPr>
          <w:lang w:val="en-BZ"/>
        </w:rPr>
        <w:t>”)</w:t>
      </w:r>
      <w:r w:rsidR="00324559">
        <w:t xml:space="preserve"> </w:t>
      </w:r>
      <w:proofErr w:type="gramStart"/>
      <w:r>
        <w:t>and</w:t>
      </w:r>
      <w:proofErr w:type="gramEnd"/>
      <w:r>
        <w:t xml:space="preserve"> elicit from the participants their views on this question.</w:t>
      </w:r>
    </w:p>
    <w:p w14:paraId="00849A11" w14:textId="77777777" w:rsidR="00C322E0" w:rsidRDefault="00D74E5F" w:rsidP="00B47020">
      <w:pPr>
        <w:pStyle w:val="Style1"/>
      </w:pPr>
      <w:r>
        <w:t>Other</w:t>
      </w:r>
      <w:r w:rsidR="00C322E0">
        <w:t xml:space="preserve"> questions that participants can be encouraged to think about include</w:t>
      </w:r>
      <w:r w:rsidR="00CD03DF">
        <w:t xml:space="preserve"> if time permits</w:t>
      </w:r>
      <w:r w:rsidR="00C322E0">
        <w:t>:</w:t>
      </w:r>
    </w:p>
    <w:p w14:paraId="7A1727C2" w14:textId="77777777" w:rsidR="00C322E0" w:rsidRPr="00C322E0" w:rsidRDefault="00C322E0" w:rsidP="00B47020">
      <w:pPr>
        <w:pStyle w:val="Style1"/>
        <w:numPr>
          <w:ilvl w:val="0"/>
          <w:numId w:val="14"/>
        </w:numPr>
      </w:pPr>
      <w:r w:rsidRPr="00C322E0">
        <w:t xml:space="preserve">What </w:t>
      </w:r>
      <w:r w:rsidR="000868CA">
        <w:t xml:space="preserve">additional </w:t>
      </w:r>
      <w:r w:rsidRPr="00C322E0">
        <w:t>human, financial, institutional and technical resources will be available to them</w:t>
      </w:r>
      <w:r w:rsidR="000868CA">
        <w:t xml:space="preserve"> in their role</w:t>
      </w:r>
      <w:r w:rsidRPr="00C322E0">
        <w:t xml:space="preserve"> as focal points?</w:t>
      </w:r>
    </w:p>
    <w:p w14:paraId="655D3669" w14:textId="77777777" w:rsidR="00C322E0" w:rsidRPr="00C322E0" w:rsidRDefault="00C322E0" w:rsidP="00B47020">
      <w:pPr>
        <w:pStyle w:val="Style1"/>
        <w:numPr>
          <w:ilvl w:val="0"/>
          <w:numId w:val="14"/>
        </w:numPr>
      </w:pPr>
      <w:r w:rsidRPr="00C322E0">
        <w:t xml:space="preserve">How will their </w:t>
      </w:r>
      <w:r w:rsidR="000868CA">
        <w:t>role as focal points</w:t>
      </w:r>
      <w:r w:rsidR="000868CA" w:rsidRPr="00C322E0">
        <w:t xml:space="preserve"> </w:t>
      </w:r>
      <w:r w:rsidRPr="00C322E0">
        <w:t>relate to the</w:t>
      </w:r>
      <w:r w:rsidR="000868CA">
        <w:t xml:space="preserve"> general role of the</w:t>
      </w:r>
      <w:r w:rsidRPr="00C322E0">
        <w:t xml:space="preserve"> governmental authority charged with safeguarding ICH?</w:t>
      </w:r>
    </w:p>
    <w:p w14:paraId="43FD45F7" w14:textId="77777777" w:rsidR="00C322E0" w:rsidRPr="00C322E0" w:rsidRDefault="00C322E0" w:rsidP="00B47020">
      <w:pPr>
        <w:pStyle w:val="Style1"/>
        <w:numPr>
          <w:ilvl w:val="0"/>
          <w:numId w:val="14"/>
        </w:numPr>
      </w:pPr>
      <w:r w:rsidRPr="00C322E0">
        <w:t>What kind of team and with what sorts of expertise do they need to build?</w:t>
      </w:r>
    </w:p>
    <w:p w14:paraId="6671FD2E" w14:textId="77777777" w:rsidR="00C322E0" w:rsidRPr="00C322E0" w:rsidRDefault="00C322E0" w:rsidP="00B47020">
      <w:pPr>
        <w:pStyle w:val="Style1"/>
        <w:numPr>
          <w:ilvl w:val="0"/>
          <w:numId w:val="14"/>
        </w:numPr>
      </w:pPr>
      <w:r w:rsidRPr="00C322E0">
        <w:t xml:space="preserve">Who/which institutions will be their main partners in this process? </w:t>
      </w:r>
    </w:p>
    <w:p w14:paraId="3E0AAF7E" w14:textId="77777777" w:rsidR="00C322E0" w:rsidRPr="00C322E0" w:rsidRDefault="00C322E0" w:rsidP="00B47020">
      <w:pPr>
        <w:pStyle w:val="Style1"/>
        <w:numPr>
          <w:ilvl w:val="0"/>
          <w:numId w:val="14"/>
        </w:numPr>
      </w:pPr>
      <w:r w:rsidRPr="00C322E0">
        <w:t>What other governmental and/or non-governmental partners might they be able to involve?</w:t>
      </w:r>
    </w:p>
    <w:p w14:paraId="3AFB5030" w14:textId="77777777" w:rsidR="00C322E0" w:rsidRDefault="00C322E0" w:rsidP="00B47020">
      <w:pPr>
        <w:pStyle w:val="Style1"/>
        <w:numPr>
          <w:ilvl w:val="0"/>
          <w:numId w:val="14"/>
        </w:numPr>
      </w:pPr>
      <w:r w:rsidRPr="00C322E0">
        <w:t>How can they involve both expert and non-expert partners?</w:t>
      </w:r>
    </w:p>
    <w:p w14:paraId="56400BFD" w14:textId="77777777" w:rsidR="00C322E0" w:rsidRDefault="00C322E0" w:rsidP="00B47020">
      <w:pPr>
        <w:pStyle w:val="Style1"/>
        <w:numPr>
          <w:ilvl w:val="0"/>
          <w:numId w:val="14"/>
        </w:numPr>
      </w:pPr>
      <w:r>
        <w:t xml:space="preserve">What methods can they </w:t>
      </w:r>
      <w:r w:rsidR="00045AF1">
        <w:t xml:space="preserve">use </w:t>
      </w:r>
      <w:r>
        <w:t xml:space="preserve">to gather data and information </w:t>
      </w:r>
      <w:proofErr w:type="gramStart"/>
      <w:r>
        <w:t>from (a) other governmental bodies and (b) non-governmental bodies and (c) ICH bearers and practitioners</w:t>
      </w:r>
      <w:proofErr w:type="gramEnd"/>
      <w:r>
        <w:t>?</w:t>
      </w:r>
    </w:p>
    <w:p w14:paraId="7218DED8" w14:textId="77777777" w:rsidR="00C322E0" w:rsidRPr="00C322E0" w:rsidRDefault="00C322E0" w:rsidP="00B47020">
      <w:pPr>
        <w:pStyle w:val="Style1"/>
        <w:numPr>
          <w:ilvl w:val="0"/>
          <w:numId w:val="14"/>
        </w:numPr>
      </w:pPr>
      <w:r>
        <w:t xml:space="preserve">What kind of support systems </w:t>
      </w:r>
      <w:r w:rsidR="00C92B01">
        <w:t>can they find</w:t>
      </w:r>
      <w:r>
        <w:t xml:space="preserve"> within UNESCO (both HQ and field/regional offices), UNESCO-affiliated bodies (e.g. Category 2 </w:t>
      </w:r>
      <w:proofErr w:type="spellStart"/>
      <w:r>
        <w:t>Centres</w:t>
      </w:r>
      <w:proofErr w:type="spellEnd"/>
      <w:r>
        <w:t>) and other regional organizations?</w:t>
      </w:r>
    </w:p>
    <w:p w14:paraId="3F2A00ED" w14:textId="77777777" w:rsidR="00834A2B" w:rsidRDefault="00824EC7" w:rsidP="00B47020">
      <w:pPr>
        <w:pStyle w:val="Titcoul"/>
        <w:jc w:val="both"/>
        <w:rPr>
          <w:lang w:val="en-US" w:eastAsia="en-US"/>
        </w:rPr>
      </w:pPr>
      <w:r>
        <w:rPr>
          <w:b w:val="0"/>
          <w:i/>
          <w:lang w:val="fr-FR" w:eastAsia="ja-JP"/>
        </w:rPr>
        <w:drawing>
          <wp:anchor distT="0" distB="0" distL="114300" distR="114300" simplePos="0" relativeHeight="251661312" behindDoc="0" locked="0" layoutInCell="1" allowOverlap="1" wp14:anchorId="7CD9DF9C" wp14:editId="4D645783">
            <wp:simplePos x="0" y="0"/>
            <wp:positionH relativeFrom="column">
              <wp:posOffset>0</wp:posOffset>
            </wp:positionH>
            <wp:positionV relativeFrom="paragraph">
              <wp:posOffset>691018</wp:posOffset>
            </wp:positionV>
            <wp:extent cx="258792" cy="258792"/>
            <wp:effectExtent l="0" t="0" r="825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3404.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58792" cy="258792"/>
                    </a:xfrm>
                    <a:prstGeom prst="rect">
                      <a:avLst/>
                    </a:prstGeom>
                  </pic:spPr>
                </pic:pic>
              </a:graphicData>
            </a:graphic>
          </wp:anchor>
        </w:drawing>
      </w:r>
      <w:r w:rsidR="00834A2B" w:rsidRPr="00B47020">
        <w:rPr>
          <w:lang w:val="en-US" w:eastAsia="en-US"/>
        </w:rPr>
        <w:t xml:space="preserve">Session </w:t>
      </w:r>
      <w:r w:rsidR="006342A4" w:rsidRPr="00B47020">
        <w:rPr>
          <w:lang w:val="en-US" w:eastAsia="en-US"/>
        </w:rPr>
        <w:t>2</w:t>
      </w:r>
      <w:r w:rsidR="00F3230C">
        <w:rPr>
          <w:lang w:val="en-US" w:eastAsia="en-US"/>
        </w:rPr>
        <w:t>: Introducing the Guidance notes</w:t>
      </w:r>
    </w:p>
    <w:p w14:paraId="497252B2" w14:textId="77777777" w:rsidR="00B47020" w:rsidRPr="00824EC7" w:rsidRDefault="00B47020" w:rsidP="00824EC7">
      <w:pPr>
        <w:pStyle w:val="Style1"/>
        <w:rPr>
          <w:b/>
          <w:i/>
        </w:rPr>
      </w:pPr>
      <w:r w:rsidRPr="00824EC7">
        <w:rPr>
          <w:b/>
          <w:i/>
        </w:rPr>
        <w:t>Estimated time: 45 minutes</w:t>
      </w:r>
    </w:p>
    <w:p w14:paraId="41DB6542" w14:textId="77777777" w:rsidR="001913D9" w:rsidRDefault="00843172" w:rsidP="00824EC7">
      <w:pPr>
        <w:pStyle w:val="Style1"/>
        <w:rPr>
          <w:rFonts w:cstheme="minorHAnsi"/>
        </w:rPr>
      </w:pPr>
      <w:r>
        <w:rPr>
          <w:rFonts w:cstheme="minorHAnsi"/>
        </w:rPr>
        <w:t>In</w:t>
      </w:r>
      <w:r w:rsidR="003C7B24">
        <w:rPr>
          <w:rFonts w:cstheme="minorHAnsi"/>
        </w:rPr>
        <w:t xml:space="preserve"> the first part of</w:t>
      </w:r>
      <w:r w:rsidR="00834A2B" w:rsidRPr="0089238D">
        <w:rPr>
          <w:rFonts w:cstheme="minorHAnsi"/>
        </w:rPr>
        <w:t xml:space="preserve"> this session, the</w:t>
      </w:r>
      <w:r w:rsidR="00834A2B" w:rsidRPr="0089238D">
        <w:rPr>
          <w:rFonts w:cstheme="minorHAnsi"/>
          <w:b/>
          <w:bCs/>
        </w:rPr>
        <w:t xml:space="preserve"> </w:t>
      </w:r>
      <w:r w:rsidR="002A66A3">
        <w:rPr>
          <w:rFonts w:cstheme="minorHAnsi"/>
        </w:rPr>
        <w:t>g</w:t>
      </w:r>
      <w:r w:rsidR="002A66A3" w:rsidRPr="0089238D">
        <w:rPr>
          <w:rFonts w:cstheme="minorHAnsi"/>
        </w:rPr>
        <w:t xml:space="preserve">uidance </w:t>
      </w:r>
      <w:r w:rsidR="002A66A3">
        <w:rPr>
          <w:rFonts w:cstheme="minorHAnsi"/>
        </w:rPr>
        <w:t>n</w:t>
      </w:r>
      <w:r w:rsidR="002A66A3" w:rsidRPr="0089238D">
        <w:rPr>
          <w:rFonts w:cstheme="minorHAnsi"/>
        </w:rPr>
        <w:t>ote</w:t>
      </w:r>
      <w:r w:rsidR="002A66A3">
        <w:rPr>
          <w:rFonts w:cstheme="minorHAnsi"/>
        </w:rPr>
        <w:t xml:space="preserve">s </w:t>
      </w:r>
      <w:r w:rsidR="00834A2B" w:rsidRPr="0089238D">
        <w:rPr>
          <w:rFonts w:cstheme="minorHAnsi"/>
        </w:rPr>
        <w:t xml:space="preserve">to the </w:t>
      </w:r>
      <w:r w:rsidR="00824EC7">
        <w:rPr>
          <w:rFonts w:cstheme="minorHAnsi"/>
        </w:rPr>
        <w:t>overall results framework</w:t>
      </w:r>
      <w:r w:rsidR="001913D9">
        <w:rPr>
          <w:rFonts w:cstheme="minorHAnsi"/>
        </w:rPr>
        <w:t xml:space="preserve"> and </w:t>
      </w:r>
      <w:r w:rsidR="00834A2B" w:rsidRPr="0089238D">
        <w:rPr>
          <w:rFonts w:cstheme="minorHAnsi"/>
        </w:rPr>
        <w:t xml:space="preserve">periodic reporting tool </w:t>
      </w:r>
      <w:proofErr w:type="gramStart"/>
      <w:r w:rsidR="00834A2B" w:rsidRPr="0089238D">
        <w:rPr>
          <w:rFonts w:cstheme="minorHAnsi"/>
        </w:rPr>
        <w:t>are introduced</w:t>
      </w:r>
      <w:proofErr w:type="gramEnd"/>
      <w:r w:rsidR="00834A2B" w:rsidRPr="0089238D">
        <w:rPr>
          <w:rFonts w:cstheme="minorHAnsi"/>
        </w:rPr>
        <w:t xml:space="preserve"> to participants. It should be explained that each core indicator</w:t>
      </w:r>
      <w:r w:rsidR="001913D9">
        <w:rPr>
          <w:rFonts w:cstheme="minorHAnsi"/>
        </w:rPr>
        <w:t xml:space="preserve"> of the </w:t>
      </w:r>
      <w:r w:rsidR="00DA4791">
        <w:rPr>
          <w:rFonts w:cstheme="minorHAnsi"/>
        </w:rPr>
        <w:t xml:space="preserve">overall results framework </w:t>
      </w:r>
      <w:r w:rsidR="001913D9">
        <w:rPr>
          <w:rFonts w:cstheme="minorHAnsi"/>
        </w:rPr>
        <w:t xml:space="preserve">has its own </w:t>
      </w:r>
      <w:r w:rsidR="00395C44">
        <w:rPr>
          <w:rFonts w:cstheme="minorHAnsi"/>
        </w:rPr>
        <w:t>g</w:t>
      </w:r>
      <w:r w:rsidR="00395C44" w:rsidRPr="0089238D">
        <w:rPr>
          <w:rFonts w:cstheme="minorHAnsi"/>
        </w:rPr>
        <w:t xml:space="preserve">uidance </w:t>
      </w:r>
      <w:r w:rsidR="00395C44">
        <w:rPr>
          <w:rFonts w:cstheme="minorHAnsi"/>
        </w:rPr>
        <w:t>n</w:t>
      </w:r>
      <w:r w:rsidR="00395C44" w:rsidRPr="0089238D">
        <w:rPr>
          <w:rFonts w:cstheme="minorHAnsi"/>
        </w:rPr>
        <w:t>ote</w:t>
      </w:r>
      <w:r w:rsidR="00395C44">
        <w:rPr>
          <w:rFonts w:cstheme="minorHAnsi"/>
        </w:rPr>
        <w:t xml:space="preserve"> </w:t>
      </w:r>
      <w:r w:rsidR="001913D9">
        <w:rPr>
          <w:rFonts w:cstheme="minorHAnsi"/>
        </w:rPr>
        <w:t xml:space="preserve">and, </w:t>
      </w:r>
      <w:r w:rsidR="005771B8">
        <w:rPr>
          <w:rFonts w:cstheme="minorHAnsi"/>
        </w:rPr>
        <w:t xml:space="preserve">as </w:t>
      </w:r>
      <w:r w:rsidR="001913D9">
        <w:rPr>
          <w:rFonts w:cstheme="minorHAnsi"/>
        </w:rPr>
        <w:t xml:space="preserve">these core indicators form the basis for the structure of the periodic reporting tool, </w:t>
      </w:r>
      <w:proofErr w:type="gramStart"/>
      <w:r w:rsidR="001913D9">
        <w:rPr>
          <w:rFonts w:cstheme="minorHAnsi"/>
        </w:rPr>
        <w:t>they also</w:t>
      </w:r>
      <w:proofErr w:type="gramEnd"/>
      <w:r w:rsidR="001913D9">
        <w:rPr>
          <w:rFonts w:cstheme="minorHAnsi"/>
        </w:rPr>
        <w:t xml:space="preserve"> provide information and guidance relevant for completing the online form. </w:t>
      </w:r>
    </w:p>
    <w:p w14:paraId="18C872B7" w14:textId="2FE7BE60" w:rsidR="003C7B24" w:rsidRPr="00311E71" w:rsidRDefault="005771B8" w:rsidP="00311E71">
      <w:pPr>
        <w:pStyle w:val="Style1"/>
        <w:rPr>
          <w:rFonts w:cstheme="minorHAnsi"/>
        </w:rPr>
      </w:pPr>
      <w:r>
        <w:rPr>
          <w:rFonts w:cstheme="minorHAnsi"/>
        </w:rPr>
        <w:t>As t</w:t>
      </w:r>
      <w:r w:rsidR="001913D9">
        <w:rPr>
          <w:rFonts w:cstheme="minorHAnsi"/>
        </w:rPr>
        <w:t xml:space="preserve">hese </w:t>
      </w:r>
      <w:proofErr w:type="gramStart"/>
      <w:r w:rsidR="001913D9">
        <w:rPr>
          <w:rFonts w:cstheme="minorHAnsi"/>
        </w:rPr>
        <w:t>will be used</w:t>
      </w:r>
      <w:proofErr w:type="gramEnd"/>
      <w:r w:rsidR="001913D9">
        <w:rPr>
          <w:rFonts w:cstheme="minorHAnsi"/>
        </w:rPr>
        <w:t xml:space="preserve"> throughout the workshop</w:t>
      </w:r>
      <w:r>
        <w:rPr>
          <w:rFonts w:cstheme="minorHAnsi"/>
        </w:rPr>
        <w:t>,</w:t>
      </w:r>
      <w:r w:rsidR="001913D9">
        <w:rPr>
          <w:rFonts w:cstheme="minorHAnsi"/>
        </w:rPr>
        <w:t xml:space="preserve"> participants should be introduced to </w:t>
      </w:r>
      <w:r>
        <w:rPr>
          <w:rFonts w:cstheme="minorHAnsi"/>
        </w:rPr>
        <w:t xml:space="preserve">them </w:t>
      </w:r>
      <w:r w:rsidR="001913D9">
        <w:rPr>
          <w:rFonts w:cstheme="minorHAnsi"/>
        </w:rPr>
        <w:t xml:space="preserve">at this stage to become familiar with them. </w:t>
      </w:r>
      <w:r w:rsidR="00512FF6">
        <w:rPr>
          <w:rFonts w:cstheme="minorHAnsi"/>
        </w:rPr>
        <w:t>Although the participants will have had access to the</w:t>
      </w:r>
      <w:r w:rsidR="001913D9">
        <w:rPr>
          <w:rFonts w:cstheme="minorHAnsi"/>
        </w:rPr>
        <w:t xml:space="preserve"> </w:t>
      </w:r>
      <w:r w:rsidR="00EA7033">
        <w:rPr>
          <w:rFonts w:cstheme="minorHAnsi"/>
        </w:rPr>
        <w:t>g</w:t>
      </w:r>
      <w:r w:rsidR="00EA7033" w:rsidRPr="0089238D">
        <w:rPr>
          <w:rFonts w:cstheme="minorHAnsi"/>
        </w:rPr>
        <w:t xml:space="preserve">uidance </w:t>
      </w:r>
      <w:r w:rsidR="00EA7033">
        <w:rPr>
          <w:rFonts w:cstheme="minorHAnsi"/>
        </w:rPr>
        <w:t>n</w:t>
      </w:r>
      <w:r w:rsidR="00EA7033" w:rsidRPr="0089238D">
        <w:rPr>
          <w:rFonts w:cstheme="minorHAnsi"/>
        </w:rPr>
        <w:t>ote</w:t>
      </w:r>
      <w:r w:rsidR="00EA7033">
        <w:rPr>
          <w:rFonts w:cstheme="minorHAnsi"/>
        </w:rPr>
        <w:t xml:space="preserve">s </w:t>
      </w:r>
      <w:r w:rsidR="00512FF6">
        <w:rPr>
          <w:rFonts w:cstheme="minorHAnsi"/>
        </w:rPr>
        <w:t>in advance of the workshop</w:t>
      </w:r>
      <w:r w:rsidR="001913D9">
        <w:rPr>
          <w:rFonts w:cstheme="minorHAnsi"/>
        </w:rPr>
        <w:t xml:space="preserve">, </w:t>
      </w:r>
      <w:r w:rsidR="00512FF6">
        <w:rPr>
          <w:rFonts w:cstheme="minorHAnsi"/>
        </w:rPr>
        <w:t xml:space="preserve">the emphasis here </w:t>
      </w:r>
      <w:proofErr w:type="gramStart"/>
      <w:r w:rsidR="00512FF6">
        <w:rPr>
          <w:rFonts w:cstheme="minorHAnsi"/>
        </w:rPr>
        <w:t>is placed</w:t>
      </w:r>
      <w:proofErr w:type="gramEnd"/>
      <w:r w:rsidR="00512FF6">
        <w:rPr>
          <w:rFonts w:cstheme="minorHAnsi"/>
        </w:rPr>
        <w:t xml:space="preserve"> on</w:t>
      </w:r>
      <w:r w:rsidR="001913D9">
        <w:rPr>
          <w:rFonts w:cstheme="minorHAnsi"/>
        </w:rPr>
        <w:t xml:space="preserve"> the </w:t>
      </w:r>
      <w:r w:rsidR="00EA7033">
        <w:rPr>
          <w:rFonts w:cstheme="minorHAnsi"/>
        </w:rPr>
        <w:t>g</w:t>
      </w:r>
      <w:r w:rsidR="00EA7033" w:rsidRPr="0089238D">
        <w:rPr>
          <w:rFonts w:cstheme="minorHAnsi"/>
        </w:rPr>
        <w:t xml:space="preserve">uidance </w:t>
      </w:r>
      <w:r w:rsidR="00EA7033">
        <w:rPr>
          <w:rFonts w:cstheme="minorHAnsi"/>
        </w:rPr>
        <w:t>n</w:t>
      </w:r>
      <w:r w:rsidR="00EA7033" w:rsidRPr="0089238D">
        <w:rPr>
          <w:rFonts w:cstheme="minorHAnsi"/>
        </w:rPr>
        <w:t>ote</w:t>
      </w:r>
      <w:r w:rsidR="00EA7033">
        <w:rPr>
          <w:rFonts w:cstheme="minorHAnsi"/>
        </w:rPr>
        <w:t xml:space="preserve">s </w:t>
      </w:r>
      <w:r w:rsidR="001913D9">
        <w:rPr>
          <w:rFonts w:cstheme="minorHAnsi"/>
        </w:rPr>
        <w:t>for Indicator 1.</w:t>
      </w:r>
    </w:p>
    <w:p w14:paraId="5CE592DF" w14:textId="687F2471" w:rsidR="00311E71" w:rsidRDefault="00834A2B" w:rsidP="00311E71">
      <w:pPr>
        <w:pStyle w:val="Slide"/>
      </w:pPr>
      <w:r w:rsidRPr="0089238D">
        <w:t xml:space="preserve">slide </w:t>
      </w:r>
      <w:r w:rsidR="00824AB3">
        <w:t>12</w:t>
      </w:r>
    </w:p>
    <w:p w14:paraId="6E405E49" w14:textId="77777777" w:rsidR="00B74B32" w:rsidRDefault="00355947" w:rsidP="00311E71">
      <w:pPr>
        <w:pStyle w:val="Slide2"/>
      </w:pPr>
      <w:r>
        <w:t xml:space="preserve">Overview of </w:t>
      </w:r>
      <w:r w:rsidR="00141E74" w:rsidRPr="00141E74">
        <w:t>Sections of the Guidance Notes</w:t>
      </w:r>
      <w:r w:rsidR="00B74B32">
        <w:t xml:space="preserve">: </w:t>
      </w:r>
    </w:p>
    <w:p w14:paraId="366DF83A" w14:textId="77777777" w:rsidR="001913D9" w:rsidRDefault="001913D9" w:rsidP="00311E71">
      <w:pPr>
        <w:pStyle w:val="Style1"/>
      </w:pPr>
      <w:r>
        <w:t>As mentioned above,</w:t>
      </w:r>
      <w:r w:rsidR="00834A2B" w:rsidRPr="0089238D">
        <w:t xml:space="preserve"> there is a </w:t>
      </w:r>
      <w:r w:rsidR="00015067">
        <w:rPr>
          <w:rFonts w:cstheme="minorHAnsi"/>
        </w:rPr>
        <w:t>g</w:t>
      </w:r>
      <w:r w:rsidR="00311E71" w:rsidRPr="0089238D">
        <w:rPr>
          <w:rFonts w:cstheme="minorHAnsi"/>
        </w:rPr>
        <w:t xml:space="preserve">uidance </w:t>
      </w:r>
      <w:r w:rsidR="00015067">
        <w:rPr>
          <w:rFonts w:cstheme="minorHAnsi"/>
        </w:rPr>
        <w:t>n</w:t>
      </w:r>
      <w:r w:rsidR="00311E71" w:rsidRPr="0089238D">
        <w:rPr>
          <w:rFonts w:cstheme="minorHAnsi"/>
        </w:rPr>
        <w:t>ote</w:t>
      </w:r>
      <w:r w:rsidR="00311E71">
        <w:rPr>
          <w:rFonts w:cstheme="minorHAnsi"/>
        </w:rPr>
        <w:t xml:space="preserve"> </w:t>
      </w:r>
      <w:r w:rsidR="00834A2B" w:rsidRPr="0089238D">
        <w:t>for each of the 26 core indicators</w:t>
      </w:r>
      <w:r>
        <w:t xml:space="preserve"> of the </w:t>
      </w:r>
      <w:r w:rsidR="00311E71">
        <w:t>overall results framework</w:t>
      </w:r>
      <w:r>
        <w:t>, corresponding to different question clusters of the online reporting tool</w:t>
      </w:r>
      <w:r w:rsidR="00834A2B" w:rsidRPr="0089238D">
        <w:t>.</w:t>
      </w:r>
      <w:r>
        <w:t xml:space="preserve"> The exact relationship between each core indicator and the reporting tool questions </w:t>
      </w:r>
      <w:proofErr w:type="gramStart"/>
      <w:r>
        <w:t>is explained</w:t>
      </w:r>
      <w:proofErr w:type="gramEnd"/>
      <w:r>
        <w:t xml:space="preserve"> in detail in a later unit.</w:t>
      </w:r>
    </w:p>
    <w:p w14:paraId="33D89D84" w14:textId="77777777" w:rsidR="00834A2B" w:rsidRPr="0089238D" w:rsidRDefault="00834A2B" w:rsidP="00311E71">
      <w:pPr>
        <w:pStyle w:val="Style1"/>
      </w:pPr>
      <w:r w:rsidRPr="0089238D">
        <w:t xml:space="preserve">Each </w:t>
      </w:r>
      <w:r w:rsidR="00015067">
        <w:rPr>
          <w:rFonts w:cstheme="minorHAnsi"/>
        </w:rPr>
        <w:t>g</w:t>
      </w:r>
      <w:r w:rsidR="00015067" w:rsidRPr="0089238D">
        <w:rPr>
          <w:rFonts w:cstheme="minorHAnsi"/>
        </w:rPr>
        <w:t xml:space="preserve">uidance </w:t>
      </w:r>
      <w:r w:rsidR="00015067">
        <w:rPr>
          <w:rFonts w:cstheme="minorHAnsi"/>
        </w:rPr>
        <w:t>n</w:t>
      </w:r>
      <w:r w:rsidR="00015067" w:rsidRPr="0089238D">
        <w:rPr>
          <w:rFonts w:cstheme="minorHAnsi"/>
        </w:rPr>
        <w:t>ote</w:t>
      </w:r>
      <w:r w:rsidR="00015067">
        <w:rPr>
          <w:rFonts w:cstheme="minorHAnsi"/>
        </w:rPr>
        <w:t xml:space="preserve"> </w:t>
      </w:r>
      <w:proofErr w:type="gramStart"/>
      <w:r w:rsidRPr="0089238D">
        <w:t>is divided</w:t>
      </w:r>
      <w:proofErr w:type="gramEnd"/>
      <w:r w:rsidRPr="0089238D">
        <w:t xml:space="preserve"> into </w:t>
      </w:r>
      <w:r>
        <w:t>two main</w:t>
      </w:r>
      <w:r w:rsidRPr="0089238D">
        <w:t xml:space="preserve"> </w:t>
      </w:r>
      <w:r>
        <w:t xml:space="preserve">sections covering (1) an overview and rationale of the </w:t>
      </w:r>
      <w:r w:rsidR="00015067">
        <w:t xml:space="preserve">overall results framework </w:t>
      </w:r>
      <w:r>
        <w:t xml:space="preserve">and (2) specific guidance on monitoring and periodic reporting. Although the latter section is obviously more directly related to periodic reporting, elements in the </w:t>
      </w:r>
      <w:proofErr w:type="gramStart"/>
      <w:r>
        <w:t>other</w:t>
      </w:r>
      <w:proofErr w:type="gramEnd"/>
      <w:r>
        <w:t xml:space="preserve"> section (such as the relationship to the SDGs and to other indicators) can also be useful. The following </w:t>
      </w:r>
      <w:r w:rsidR="001913D9">
        <w:t>is</w:t>
      </w:r>
      <w:r>
        <w:t xml:space="preserve"> an explanatory note on the content and purpose each section of the </w:t>
      </w:r>
      <w:r w:rsidR="00015067">
        <w:rPr>
          <w:rFonts w:cstheme="minorHAnsi"/>
        </w:rPr>
        <w:t>g</w:t>
      </w:r>
      <w:r w:rsidR="00015067" w:rsidRPr="0089238D">
        <w:rPr>
          <w:rFonts w:cstheme="minorHAnsi"/>
        </w:rPr>
        <w:t xml:space="preserve">uidance </w:t>
      </w:r>
      <w:r w:rsidR="00015067">
        <w:rPr>
          <w:rFonts w:cstheme="minorHAnsi"/>
        </w:rPr>
        <w:t>n</w:t>
      </w:r>
      <w:r w:rsidR="00015067" w:rsidRPr="0089238D">
        <w:rPr>
          <w:rFonts w:cstheme="minorHAnsi"/>
        </w:rPr>
        <w:t>ote</w:t>
      </w:r>
      <w:r>
        <w:t>:</w:t>
      </w:r>
    </w:p>
    <w:p w14:paraId="181F9FA1" w14:textId="77777777" w:rsidR="00834A2B" w:rsidRPr="00F779C1" w:rsidRDefault="00834A2B" w:rsidP="00311E71">
      <w:pPr>
        <w:pStyle w:val="Style1"/>
        <w:rPr>
          <w:b/>
          <w:bCs/>
        </w:rPr>
      </w:pPr>
      <w:r w:rsidRPr="00F779C1">
        <w:rPr>
          <w:b/>
          <w:bCs/>
        </w:rPr>
        <w:t>Overview and rationale</w:t>
      </w:r>
      <w:r>
        <w:rPr>
          <w:b/>
          <w:bCs/>
        </w:rPr>
        <w:t>:</w:t>
      </w:r>
    </w:p>
    <w:p w14:paraId="103BB2B1" w14:textId="77777777" w:rsidR="00834A2B" w:rsidRPr="0089238D" w:rsidRDefault="00834A2B" w:rsidP="00132BA6">
      <w:pPr>
        <w:pStyle w:val="Style1"/>
        <w:ind w:left="720"/>
        <w:rPr>
          <w:bCs/>
        </w:rPr>
      </w:pPr>
      <w:r w:rsidRPr="0089238D">
        <w:rPr>
          <w:b/>
          <w:i/>
          <w:iCs/>
        </w:rPr>
        <w:t>Indicator</w:t>
      </w:r>
      <w:r w:rsidRPr="0089238D">
        <w:rPr>
          <w:b/>
        </w:rPr>
        <w:t xml:space="preserve">: </w:t>
      </w:r>
      <w:r w:rsidRPr="0089238D">
        <w:rPr>
          <w:bCs/>
        </w:rPr>
        <w:t xml:space="preserve">The indicator for which that </w:t>
      </w:r>
      <w:r w:rsidR="00BF2D3D">
        <w:rPr>
          <w:rFonts w:cstheme="minorHAnsi"/>
        </w:rPr>
        <w:t>g</w:t>
      </w:r>
      <w:r w:rsidR="00BF2D3D" w:rsidRPr="0089238D">
        <w:rPr>
          <w:rFonts w:cstheme="minorHAnsi"/>
        </w:rPr>
        <w:t xml:space="preserve">uidance </w:t>
      </w:r>
      <w:r w:rsidR="00BF2D3D">
        <w:rPr>
          <w:rFonts w:cstheme="minorHAnsi"/>
        </w:rPr>
        <w:t>n</w:t>
      </w:r>
      <w:r w:rsidR="00BF2D3D" w:rsidRPr="0089238D">
        <w:rPr>
          <w:rFonts w:cstheme="minorHAnsi"/>
        </w:rPr>
        <w:t>ote</w:t>
      </w:r>
      <w:r w:rsidR="00BF2D3D">
        <w:rPr>
          <w:rFonts w:cstheme="minorHAnsi"/>
        </w:rPr>
        <w:t xml:space="preserve"> </w:t>
      </w:r>
      <w:r w:rsidRPr="0089238D">
        <w:rPr>
          <w:bCs/>
        </w:rPr>
        <w:t>has been prepared.</w:t>
      </w:r>
    </w:p>
    <w:p w14:paraId="5D42E38D" w14:textId="77777777" w:rsidR="00834A2B" w:rsidRPr="0089238D" w:rsidRDefault="00834A2B" w:rsidP="00132BA6">
      <w:pPr>
        <w:pStyle w:val="Style1"/>
        <w:ind w:left="720"/>
        <w:rPr>
          <w:bCs/>
        </w:rPr>
      </w:pPr>
      <w:r w:rsidRPr="0089238D">
        <w:rPr>
          <w:b/>
          <w:i/>
          <w:iCs/>
        </w:rPr>
        <w:t>Assessment factors</w:t>
      </w:r>
      <w:r w:rsidRPr="0089238D">
        <w:rPr>
          <w:b/>
        </w:rPr>
        <w:t>:</w:t>
      </w:r>
      <w:r w:rsidRPr="0089238D">
        <w:rPr>
          <w:bCs/>
        </w:rPr>
        <w:t xml:space="preserve"> The assessment factors set out in the </w:t>
      </w:r>
      <w:r w:rsidR="00383145">
        <w:rPr>
          <w:bCs/>
        </w:rPr>
        <w:t>overall results framework</w:t>
      </w:r>
      <w:r w:rsidRPr="0089238D">
        <w:rPr>
          <w:bCs/>
        </w:rPr>
        <w:t xml:space="preserve"> for that indicator.</w:t>
      </w:r>
    </w:p>
    <w:p w14:paraId="6A207B5A" w14:textId="77777777" w:rsidR="00834A2B" w:rsidRPr="0089238D" w:rsidRDefault="00834A2B" w:rsidP="00132BA6">
      <w:pPr>
        <w:pStyle w:val="Style1"/>
        <w:ind w:left="720"/>
        <w:rPr>
          <w:bCs/>
        </w:rPr>
      </w:pPr>
      <w:r w:rsidRPr="0089238D">
        <w:rPr>
          <w:b/>
          <w:i/>
          <w:iCs/>
        </w:rPr>
        <w:t>Relation with SDGs and other indicators</w:t>
      </w:r>
      <w:r w:rsidRPr="0089238D">
        <w:rPr>
          <w:b/>
        </w:rPr>
        <w:t xml:space="preserve">: </w:t>
      </w:r>
      <w:r w:rsidRPr="0089238D">
        <w:rPr>
          <w:bCs/>
        </w:rPr>
        <w:t xml:space="preserve">This explains how the indicator is related to the SDGs (citing specific SDGs) and also how it relates to other indicators, </w:t>
      </w:r>
      <w:r w:rsidR="005771B8">
        <w:rPr>
          <w:bCs/>
        </w:rPr>
        <w:t>as</w:t>
      </w:r>
      <w:r w:rsidR="005771B8" w:rsidRPr="0089238D">
        <w:rPr>
          <w:bCs/>
        </w:rPr>
        <w:t xml:space="preserve"> </w:t>
      </w:r>
      <w:r w:rsidRPr="0089238D">
        <w:rPr>
          <w:bCs/>
        </w:rPr>
        <w:t>two or more indicators may deal with the same general areas (e.g. indicators 7 and 8 for inventorying).</w:t>
      </w:r>
    </w:p>
    <w:p w14:paraId="7B291172" w14:textId="77777777" w:rsidR="00834A2B" w:rsidRPr="0089238D" w:rsidRDefault="00834A2B" w:rsidP="00132BA6">
      <w:pPr>
        <w:pStyle w:val="Style1"/>
        <w:ind w:left="720"/>
        <w:rPr>
          <w:b/>
        </w:rPr>
      </w:pPr>
      <w:r w:rsidRPr="0089238D">
        <w:rPr>
          <w:b/>
          <w:i/>
          <w:iCs/>
        </w:rPr>
        <w:t>Rationale for action</w:t>
      </w:r>
      <w:r w:rsidRPr="0089238D">
        <w:rPr>
          <w:b/>
        </w:rPr>
        <w:t xml:space="preserve">: </w:t>
      </w:r>
      <w:r w:rsidRPr="0089238D">
        <w:rPr>
          <w:bCs/>
        </w:rPr>
        <w:t xml:space="preserve">The rationale or basis on which interventions and other measures </w:t>
      </w:r>
      <w:proofErr w:type="gramStart"/>
      <w:r w:rsidRPr="0089238D">
        <w:rPr>
          <w:bCs/>
        </w:rPr>
        <w:t>are implemented</w:t>
      </w:r>
      <w:proofErr w:type="gramEnd"/>
      <w:r w:rsidRPr="0089238D">
        <w:rPr>
          <w:bCs/>
        </w:rPr>
        <w:t xml:space="preserve"> in relation to this indicator, citing Convention provisions, </w:t>
      </w:r>
      <w:r w:rsidR="00274A22">
        <w:rPr>
          <w:bCs/>
        </w:rPr>
        <w:t>Operational Directives</w:t>
      </w:r>
      <w:r w:rsidRPr="0089238D">
        <w:rPr>
          <w:bCs/>
        </w:rPr>
        <w:t xml:space="preserve"> and other sources where relevant.</w:t>
      </w:r>
    </w:p>
    <w:p w14:paraId="718F35E0" w14:textId="77777777" w:rsidR="003C7B24" w:rsidRPr="00BF2D3D" w:rsidRDefault="00834A2B" w:rsidP="00132BA6">
      <w:pPr>
        <w:pStyle w:val="Style1"/>
        <w:ind w:left="720"/>
        <w:rPr>
          <w:bCs/>
        </w:rPr>
      </w:pPr>
      <w:r w:rsidRPr="0089238D">
        <w:rPr>
          <w:b/>
          <w:i/>
          <w:iCs/>
        </w:rPr>
        <w:t>Key terms</w:t>
      </w:r>
      <w:r w:rsidRPr="0089238D">
        <w:rPr>
          <w:b/>
        </w:rPr>
        <w:t xml:space="preserve">: </w:t>
      </w:r>
      <w:r w:rsidRPr="0089238D">
        <w:rPr>
          <w:bCs/>
        </w:rPr>
        <w:t xml:space="preserve">This section sets out any key terms that need to </w:t>
      </w:r>
      <w:proofErr w:type="gramStart"/>
      <w:r w:rsidRPr="0089238D">
        <w:rPr>
          <w:bCs/>
        </w:rPr>
        <w:t>be explained</w:t>
      </w:r>
      <w:proofErr w:type="gramEnd"/>
      <w:r w:rsidRPr="0089238D">
        <w:rPr>
          <w:bCs/>
        </w:rPr>
        <w:t xml:space="preserve"> for filling out the relevant section of the form. The key concepts introduced in </w:t>
      </w:r>
      <w:r w:rsidR="00C41D7F">
        <w:rPr>
          <w:bCs/>
        </w:rPr>
        <w:t xml:space="preserve">the participant text for </w:t>
      </w:r>
      <w:r w:rsidRPr="0089238D">
        <w:rPr>
          <w:bCs/>
        </w:rPr>
        <w:t xml:space="preserve">Unit </w:t>
      </w:r>
      <w:r w:rsidR="009D3759">
        <w:rPr>
          <w:bCs/>
        </w:rPr>
        <w:t>57</w:t>
      </w:r>
      <w:r w:rsidRPr="0089238D">
        <w:rPr>
          <w:bCs/>
        </w:rPr>
        <w:t xml:space="preserve"> cover these.</w:t>
      </w:r>
    </w:p>
    <w:p w14:paraId="1E12CF22" w14:textId="77777777" w:rsidR="00834A2B" w:rsidRPr="00F779C1" w:rsidRDefault="00834A2B" w:rsidP="00311E71">
      <w:pPr>
        <w:pStyle w:val="Style1"/>
        <w:rPr>
          <w:b/>
          <w:bCs/>
        </w:rPr>
      </w:pPr>
      <w:r w:rsidRPr="00F779C1">
        <w:rPr>
          <w:b/>
          <w:bCs/>
        </w:rPr>
        <w:t>Specific guidance on monitoring and periodic reporting:</w:t>
      </w:r>
    </w:p>
    <w:p w14:paraId="52A10F76" w14:textId="77777777" w:rsidR="00834A2B" w:rsidRPr="0089238D" w:rsidRDefault="00834A2B" w:rsidP="00132BA6">
      <w:pPr>
        <w:pStyle w:val="Style1"/>
        <w:ind w:left="720"/>
        <w:rPr>
          <w:bCs/>
        </w:rPr>
      </w:pPr>
      <w:r w:rsidRPr="0089238D">
        <w:rPr>
          <w:b/>
          <w:i/>
          <w:iCs/>
        </w:rPr>
        <w:t>Benefits of monitoring</w:t>
      </w:r>
      <w:r w:rsidRPr="0089238D">
        <w:rPr>
          <w:b/>
        </w:rPr>
        <w:t>:</w:t>
      </w:r>
      <w:r w:rsidRPr="0089238D">
        <w:rPr>
          <w:bCs/>
        </w:rPr>
        <w:t xml:space="preserve"> This explains what benefits can be found at both the national and global levels from monitoring this indicator. This is not only </w:t>
      </w:r>
      <w:r w:rsidR="00B77DDE">
        <w:rPr>
          <w:bCs/>
        </w:rPr>
        <w:t>to encourage</w:t>
      </w:r>
      <w:r w:rsidRPr="0089238D">
        <w:rPr>
          <w:bCs/>
        </w:rPr>
        <w:t xml:space="preserve"> States Parties to engage with the process, but also suggests how the process can feed into setting baselines and targets.</w:t>
      </w:r>
    </w:p>
    <w:p w14:paraId="07DAFFFB" w14:textId="77777777" w:rsidR="00834A2B" w:rsidRPr="0089238D" w:rsidRDefault="00834A2B" w:rsidP="00132BA6">
      <w:pPr>
        <w:pStyle w:val="Style1"/>
        <w:ind w:left="720"/>
        <w:rPr>
          <w:bCs/>
        </w:rPr>
      </w:pPr>
      <w:r w:rsidRPr="0089238D">
        <w:rPr>
          <w:b/>
          <w:i/>
          <w:iCs/>
        </w:rPr>
        <w:t>Data sources and collection</w:t>
      </w:r>
      <w:r w:rsidRPr="0089238D">
        <w:rPr>
          <w:b/>
        </w:rPr>
        <w:t>:</w:t>
      </w:r>
      <w:r w:rsidRPr="0089238D">
        <w:rPr>
          <w:bCs/>
        </w:rPr>
        <w:t xml:space="preserve"> This section addresses in general and with reference to specific sources where the data and information required to fill out the form related to the indicator </w:t>
      </w:r>
      <w:proofErr w:type="gramStart"/>
      <w:r w:rsidRPr="0089238D">
        <w:rPr>
          <w:bCs/>
        </w:rPr>
        <w:t>may be found</w:t>
      </w:r>
      <w:proofErr w:type="gramEnd"/>
      <w:r w:rsidRPr="0089238D">
        <w:rPr>
          <w:bCs/>
        </w:rPr>
        <w:t xml:space="preserve">. This is, of course, a guide and other useful sources </w:t>
      </w:r>
      <w:proofErr w:type="gramStart"/>
      <w:r w:rsidRPr="0089238D">
        <w:rPr>
          <w:bCs/>
        </w:rPr>
        <w:t>may also</w:t>
      </w:r>
      <w:proofErr w:type="gramEnd"/>
      <w:r w:rsidRPr="0089238D">
        <w:rPr>
          <w:bCs/>
        </w:rPr>
        <w:t xml:space="preserve"> be available.</w:t>
      </w:r>
    </w:p>
    <w:p w14:paraId="779AF90D" w14:textId="77777777" w:rsidR="003C7B24" w:rsidRPr="006F4139" w:rsidRDefault="00834A2B" w:rsidP="006F4139">
      <w:pPr>
        <w:pStyle w:val="Style1"/>
        <w:ind w:left="720"/>
        <w:rPr>
          <w:bCs/>
        </w:rPr>
      </w:pPr>
      <w:r w:rsidRPr="0089238D">
        <w:rPr>
          <w:b/>
          <w:i/>
          <w:iCs/>
        </w:rPr>
        <w:t>Extent to which indicator is satisfied</w:t>
      </w:r>
      <w:r w:rsidRPr="0089238D">
        <w:rPr>
          <w:b/>
        </w:rPr>
        <w:t xml:space="preserve">: </w:t>
      </w:r>
      <w:r w:rsidRPr="0089238D">
        <w:rPr>
          <w:bCs/>
        </w:rPr>
        <w:t>This gives the weightings for each of the assessment factors related to the indicator, as seen in the previous unit.</w:t>
      </w:r>
    </w:p>
    <w:p w14:paraId="0F5162C2" w14:textId="286AEDBB" w:rsidR="00BF2D3D" w:rsidRDefault="00834A2B" w:rsidP="006F4139">
      <w:pPr>
        <w:pStyle w:val="Slide"/>
      </w:pPr>
      <w:r w:rsidRPr="0089238D">
        <w:t xml:space="preserve">slides </w:t>
      </w:r>
      <w:r w:rsidR="00824AB3">
        <w:t>13</w:t>
      </w:r>
      <w:r w:rsidRPr="0089238D">
        <w:t xml:space="preserve"> to </w:t>
      </w:r>
      <w:r w:rsidR="005C6A12">
        <w:t>1</w:t>
      </w:r>
      <w:r w:rsidR="00824AB3">
        <w:t>9</w:t>
      </w:r>
    </w:p>
    <w:p w14:paraId="404669D8" w14:textId="77777777" w:rsidR="00834A2B" w:rsidRPr="0089238D" w:rsidRDefault="005E6FC0" w:rsidP="006F4139">
      <w:pPr>
        <w:pStyle w:val="Slide2"/>
        <w:rPr>
          <w:iCs/>
        </w:rPr>
      </w:pPr>
      <w:r>
        <w:t xml:space="preserve">Explaining the </w:t>
      </w:r>
      <w:r w:rsidR="003A362E">
        <w:t xml:space="preserve">Guidance Note: </w:t>
      </w:r>
      <w:r w:rsidR="005479BB" w:rsidRPr="005479BB">
        <w:t>Indicator 1</w:t>
      </w:r>
    </w:p>
    <w:p w14:paraId="6857543D" w14:textId="77777777" w:rsidR="00834A2B" w:rsidRPr="0089238D" w:rsidRDefault="00834A2B" w:rsidP="00F878EA">
      <w:pPr>
        <w:pStyle w:val="Maintext"/>
      </w:pPr>
      <w:r w:rsidRPr="0089238D">
        <w:t xml:space="preserve">These slides present the </w:t>
      </w:r>
      <w:r w:rsidR="00F878EA">
        <w:t>guidance note</w:t>
      </w:r>
      <w:r w:rsidRPr="0089238D">
        <w:t xml:space="preserve"> prepared for core indicator 1 on “Extent to which competent bodies and institutions and consultative mechanisms support the continued practice and transmission of ICH”. </w:t>
      </w:r>
      <w:proofErr w:type="gramStart"/>
      <w:r w:rsidRPr="0089238D">
        <w:t>Each of the sections should be introduced by the facilitator who explains the content and can respond to questions from the participants</w:t>
      </w:r>
      <w:proofErr w:type="gramEnd"/>
      <w:r w:rsidRPr="0089238D">
        <w:t>.</w:t>
      </w:r>
      <w:r>
        <w:t xml:space="preserve"> </w:t>
      </w:r>
    </w:p>
    <w:p w14:paraId="7947A104" w14:textId="292EEF55" w:rsidR="00392C2D" w:rsidRDefault="00392C2D" w:rsidP="00830E63">
      <w:pPr>
        <w:pStyle w:val="Slide"/>
      </w:pPr>
      <w:r>
        <w:t xml:space="preserve">Slide </w:t>
      </w:r>
      <w:r w:rsidR="006637E8">
        <w:t>14</w:t>
      </w:r>
    </w:p>
    <w:p w14:paraId="4BF91621" w14:textId="77777777" w:rsidR="00834A2B" w:rsidRPr="00F878EA" w:rsidRDefault="00834A2B" w:rsidP="00F878EA">
      <w:pPr>
        <w:pStyle w:val="Maintext"/>
      </w:pPr>
      <w:r w:rsidRPr="0089238D">
        <w:rPr>
          <w:b/>
          <w:i/>
          <w:iCs/>
        </w:rPr>
        <w:t>Relation with SDGs and other indicators</w:t>
      </w:r>
      <w:r w:rsidRPr="0089238D">
        <w:rPr>
          <w:b/>
        </w:rPr>
        <w:t xml:space="preserve">: </w:t>
      </w:r>
      <w:r w:rsidRPr="0089238D">
        <w:t xml:space="preserve">SDG Target 11.4, ‘strengthen efforts to protect and safeguard the world’s cultural and natural heritage’ is, of course, relevant to most (if not all) of the indicators). In addition, it is also possible to find a relationship between </w:t>
      </w:r>
      <w:r w:rsidR="00700EA6">
        <w:t>a</w:t>
      </w:r>
      <w:r w:rsidR="003F0784">
        <w:t xml:space="preserve">ssessment </w:t>
      </w:r>
      <w:r w:rsidR="00700EA6">
        <w:t>f</w:t>
      </w:r>
      <w:r w:rsidR="003F0784">
        <w:t xml:space="preserve">actor </w:t>
      </w:r>
      <w:r w:rsidRPr="0089238D">
        <w:t xml:space="preserve">1.3 (“Broad and inclusive involvement in ICH safeguarding and management, particularly by the communities, groups and individuals concerned, is fostered through consultative bodies or other coordination mechanisms”) and two targets of SDG 16. This connection is </w:t>
      </w:r>
      <w:proofErr w:type="gramStart"/>
      <w:r w:rsidRPr="0089238D">
        <w:t>based on the fact that</w:t>
      </w:r>
      <w:proofErr w:type="gramEnd"/>
      <w:r w:rsidRPr="0089238D">
        <w:t xml:space="preserve"> it encourages formal bodies or mechanisms to coordinate broad public participation. It is assumed that the effectiveness, accountability and transparency of such bodies or mechanisms is enhanced by such participation (target 16.6) and, of course, this responds directly to the requirement of target 16.7 for responsive, inclusive, participatory and representative decision-making at the level(s) on which safeguarding is operating.</w:t>
      </w:r>
    </w:p>
    <w:p w14:paraId="2DD2DD9C" w14:textId="77777777" w:rsidR="00834A2B" w:rsidRDefault="00834A2B" w:rsidP="00F878EA">
      <w:pPr>
        <w:pStyle w:val="Maintext"/>
        <w:rPr>
          <w:bCs/>
        </w:rPr>
      </w:pPr>
      <w:r w:rsidRPr="0089238D">
        <w:rPr>
          <w:b/>
          <w:i/>
          <w:iCs/>
        </w:rPr>
        <w:t>Relation with other indicators</w:t>
      </w:r>
      <w:r w:rsidRPr="0089238D">
        <w:rPr>
          <w:b/>
        </w:rPr>
        <w:t>:</w:t>
      </w:r>
      <w:r w:rsidRPr="0089238D">
        <w:rPr>
          <w:bCs/>
        </w:rPr>
        <w:t xml:space="preserve"> The purpose of this section is to ensure that information </w:t>
      </w:r>
      <w:proofErr w:type="gramStart"/>
      <w:r w:rsidRPr="0089238D">
        <w:rPr>
          <w:bCs/>
        </w:rPr>
        <w:t>is entered</w:t>
      </w:r>
      <w:proofErr w:type="gramEnd"/>
      <w:r w:rsidRPr="0089238D">
        <w:rPr>
          <w:bCs/>
        </w:rPr>
        <w:t xml:space="preserve"> in the correct sections of the online form, reflecting the problems of misplaced information in the old ICH-10 form. First, it distinguishes Indicator 1 from Indicator 2, by explaining their different focus (on institutional and human capacities, respectively). It is also made clear that in responding to this indicator, States Parties should concentrate on governmental bodies or other institutions established with governmental support; they are not here concerned with NGOs, community associations, and private sector entities whose activities are the subject of Indicator 21. The guidance also distinguishes the information </w:t>
      </w:r>
      <w:proofErr w:type="gramStart"/>
      <w:r w:rsidRPr="0089238D">
        <w:rPr>
          <w:bCs/>
        </w:rPr>
        <w:t>being elicited</w:t>
      </w:r>
      <w:proofErr w:type="gramEnd"/>
      <w:r w:rsidRPr="0089238D">
        <w:rPr>
          <w:bCs/>
        </w:rPr>
        <w:t xml:space="preserve"> here from research and documentation activities and findings</w:t>
      </w:r>
      <w:r w:rsidR="00D047C1">
        <w:rPr>
          <w:bCs/>
        </w:rPr>
        <w:t>,</w:t>
      </w:r>
      <w:r w:rsidRPr="0089238D">
        <w:rPr>
          <w:bCs/>
        </w:rPr>
        <w:t xml:space="preserve"> which fall under the scope of Indicators 9 and 10. A further potential source of confusion </w:t>
      </w:r>
      <w:proofErr w:type="gramStart"/>
      <w:r w:rsidRPr="0089238D">
        <w:rPr>
          <w:bCs/>
        </w:rPr>
        <w:t>is addressed</w:t>
      </w:r>
      <w:proofErr w:type="gramEnd"/>
      <w:r w:rsidRPr="0089238D">
        <w:rPr>
          <w:bCs/>
        </w:rPr>
        <w:t xml:space="preserve"> by noting that monitoring activities of research institutions and </w:t>
      </w:r>
      <w:proofErr w:type="spellStart"/>
      <w:r w:rsidRPr="0089238D">
        <w:rPr>
          <w:bCs/>
        </w:rPr>
        <w:t>centres</w:t>
      </w:r>
      <w:proofErr w:type="spellEnd"/>
      <w:r w:rsidRPr="0089238D">
        <w:rPr>
          <w:bCs/>
        </w:rPr>
        <w:t xml:space="preserve"> of expertise and international networking among such institutions and </w:t>
      </w:r>
      <w:proofErr w:type="spellStart"/>
      <w:r w:rsidRPr="0089238D">
        <w:rPr>
          <w:bCs/>
        </w:rPr>
        <w:t>centres</w:t>
      </w:r>
      <w:proofErr w:type="spellEnd"/>
      <w:r w:rsidRPr="0089238D">
        <w:rPr>
          <w:bCs/>
        </w:rPr>
        <w:t xml:space="preserve"> </w:t>
      </w:r>
      <w:r w:rsidR="0049206E">
        <w:rPr>
          <w:bCs/>
        </w:rPr>
        <w:t>are</w:t>
      </w:r>
      <w:r w:rsidR="0049206E" w:rsidRPr="0089238D">
        <w:rPr>
          <w:bCs/>
        </w:rPr>
        <w:t xml:space="preserve"> </w:t>
      </w:r>
      <w:r w:rsidRPr="0089238D">
        <w:rPr>
          <w:bCs/>
        </w:rPr>
        <w:t>not dealt with here, but under Indicators 22 and Indicator 25, respectively.</w:t>
      </w:r>
    </w:p>
    <w:p w14:paraId="0D8C798D" w14:textId="08A065E6" w:rsidR="00830E63" w:rsidRPr="00F878EA" w:rsidRDefault="00830E63" w:rsidP="00830E63">
      <w:pPr>
        <w:pStyle w:val="Slide"/>
      </w:pPr>
      <w:r>
        <w:t xml:space="preserve">Slide </w:t>
      </w:r>
      <w:r w:rsidR="006637E8">
        <w:t>15</w:t>
      </w:r>
    </w:p>
    <w:p w14:paraId="611FBB76" w14:textId="77777777" w:rsidR="00834A2B" w:rsidRPr="0089238D" w:rsidRDefault="00834A2B" w:rsidP="00F878EA">
      <w:pPr>
        <w:pStyle w:val="Maintext"/>
      </w:pPr>
      <w:r w:rsidRPr="0089238D">
        <w:rPr>
          <w:b/>
          <w:i/>
          <w:iCs/>
        </w:rPr>
        <w:t>Rationale for action</w:t>
      </w:r>
      <w:r w:rsidRPr="0089238D">
        <w:rPr>
          <w:b/>
        </w:rPr>
        <w:t xml:space="preserve">: </w:t>
      </w:r>
      <w:r w:rsidRPr="0089238D">
        <w:rPr>
          <w:bCs/>
        </w:rPr>
        <w:t>Here</w:t>
      </w:r>
      <w:r w:rsidR="00074A5F" w:rsidRPr="0089238D">
        <w:rPr>
          <w:bCs/>
        </w:rPr>
        <w:t>,</w:t>
      </w:r>
      <w:r w:rsidR="00074A5F">
        <w:rPr>
          <w:b/>
        </w:rPr>
        <w:t xml:space="preserve"> </w:t>
      </w:r>
      <w:r w:rsidRPr="0089238D">
        <w:rPr>
          <w:bCs/>
        </w:rPr>
        <w:t xml:space="preserve">States Parties </w:t>
      </w:r>
      <w:proofErr w:type="gramStart"/>
      <w:r w:rsidRPr="0089238D">
        <w:rPr>
          <w:bCs/>
        </w:rPr>
        <w:t>are reminded</w:t>
      </w:r>
      <w:proofErr w:type="gramEnd"/>
      <w:r w:rsidRPr="0089238D">
        <w:rPr>
          <w:bCs/>
        </w:rPr>
        <w:t xml:space="preserve"> that their obligation under</w:t>
      </w:r>
      <w:r w:rsidRPr="0089238D">
        <w:rPr>
          <w:b/>
        </w:rPr>
        <w:t xml:space="preserve"> </w:t>
      </w:r>
      <w:r w:rsidRPr="0089238D">
        <w:t xml:space="preserve">Article 13(b) includes the responsibility to establish or designate one or more competent bodies that can safeguard ICH. It also notes the importance of this action and the range of responsibilities for implementing the Convention at the national level </w:t>
      </w:r>
      <w:r w:rsidR="0023264A">
        <w:t xml:space="preserve">that </w:t>
      </w:r>
      <w:r w:rsidRPr="0089238D">
        <w:t>this body may have. Furthermore, it notes the potential value of establishing additional bodies or mechanisms to coordinate</w:t>
      </w:r>
      <w:r w:rsidR="006F73F1">
        <w:t xml:space="preserve"> the</w:t>
      </w:r>
      <w:r w:rsidRPr="0089238D">
        <w:t xml:space="preserve"> involvement of communities, groups and individuals (who play a central role) and many other actors in safeguarding. Other safeguarding bodies or institutions are mentioned here (e.g. cultural </w:t>
      </w:r>
      <w:proofErr w:type="spellStart"/>
      <w:r w:rsidRPr="0089238D">
        <w:t>centres</w:t>
      </w:r>
      <w:proofErr w:type="spellEnd"/>
      <w:r w:rsidRPr="0089238D">
        <w:t xml:space="preserve">, </w:t>
      </w:r>
      <w:proofErr w:type="spellStart"/>
      <w:r w:rsidRPr="0089238D">
        <w:t>centres</w:t>
      </w:r>
      <w:proofErr w:type="spellEnd"/>
      <w:r w:rsidRPr="0089238D">
        <w:t xml:space="preserve"> of expertise, museums, archives, libraries and other research institutions) that may be involved in documenting ICH (under Article 13(d) (iii))</w:t>
      </w:r>
      <w:r w:rsidR="002C3C86">
        <w:t>,</w:t>
      </w:r>
      <w:r w:rsidRPr="0089238D">
        <w:t xml:space="preserve"> as well as in safeguarding and managing ICH.</w:t>
      </w:r>
    </w:p>
    <w:p w14:paraId="19678246" w14:textId="77777777" w:rsidR="00834A2B" w:rsidRDefault="00834A2B" w:rsidP="00F878EA">
      <w:pPr>
        <w:pStyle w:val="Maintext"/>
        <w:rPr>
          <w:bCs/>
        </w:rPr>
      </w:pPr>
      <w:r w:rsidRPr="0089238D">
        <w:rPr>
          <w:b/>
          <w:i/>
          <w:iCs/>
        </w:rPr>
        <w:t>Key terms</w:t>
      </w:r>
      <w:r w:rsidRPr="0089238D">
        <w:rPr>
          <w:b/>
        </w:rPr>
        <w:t xml:space="preserve">: </w:t>
      </w:r>
      <w:r w:rsidRPr="0089238D">
        <w:rPr>
          <w:bCs/>
        </w:rPr>
        <w:t xml:space="preserve">This is </w:t>
      </w:r>
      <w:r>
        <w:rPr>
          <w:bCs/>
        </w:rPr>
        <w:t>s</w:t>
      </w:r>
      <w:r w:rsidRPr="0089238D">
        <w:rPr>
          <w:bCs/>
        </w:rPr>
        <w:t>elf-evident.</w:t>
      </w:r>
      <w:r>
        <w:rPr>
          <w:bCs/>
        </w:rPr>
        <w:t xml:space="preserve"> It </w:t>
      </w:r>
      <w:proofErr w:type="gramStart"/>
      <w:r>
        <w:rPr>
          <w:bCs/>
        </w:rPr>
        <w:t>can be noted</w:t>
      </w:r>
      <w:proofErr w:type="gramEnd"/>
      <w:r>
        <w:rPr>
          <w:bCs/>
        </w:rPr>
        <w:t xml:space="preserve"> here that the glossary of terms provided in the Participant’s text for Unit B includes all of the key terms expressed in the </w:t>
      </w:r>
      <w:r w:rsidR="00830E63">
        <w:rPr>
          <w:bCs/>
        </w:rPr>
        <w:t>guidance notes</w:t>
      </w:r>
      <w:r>
        <w:rPr>
          <w:bCs/>
        </w:rPr>
        <w:t>.</w:t>
      </w:r>
    </w:p>
    <w:p w14:paraId="32FD7A31" w14:textId="0C71F01D" w:rsidR="00830E63" w:rsidRPr="0089238D" w:rsidRDefault="00830E63" w:rsidP="00830E63">
      <w:pPr>
        <w:pStyle w:val="Slide"/>
      </w:pPr>
      <w:r>
        <w:t xml:space="preserve">Slide </w:t>
      </w:r>
      <w:r w:rsidR="006637E8">
        <w:t>16</w:t>
      </w:r>
    </w:p>
    <w:p w14:paraId="41457D92" w14:textId="77777777" w:rsidR="00834A2B" w:rsidRDefault="00834A2B" w:rsidP="00F878EA">
      <w:pPr>
        <w:pStyle w:val="Maintext"/>
        <w:rPr>
          <w:bCs/>
        </w:rPr>
      </w:pPr>
      <w:r w:rsidRPr="0089238D">
        <w:rPr>
          <w:b/>
          <w:i/>
          <w:iCs/>
        </w:rPr>
        <w:t>Benefits of monitoring</w:t>
      </w:r>
      <w:r w:rsidRPr="0089238D">
        <w:rPr>
          <w:b/>
        </w:rPr>
        <w:t>:</w:t>
      </w:r>
      <w:r w:rsidRPr="0089238D">
        <w:rPr>
          <w:bCs/>
        </w:rPr>
        <w:t xml:space="preserve"> This section </w:t>
      </w:r>
      <w:r w:rsidR="002C3C86">
        <w:rPr>
          <w:bCs/>
        </w:rPr>
        <w:t>explains</w:t>
      </w:r>
      <w:r w:rsidRPr="0089238D">
        <w:rPr>
          <w:bCs/>
        </w:rPr>
        <w:t xml:space="preserve"> what benefits </w:t>
      </w:r>
      <w:r w:rsidR="002C3C86">
        <w:rPr>
          <w:bCs/>
        </w:rPr>
        <w:t>States Parties</w:t>
      </w:r>
      <w:r w:rsidR="002C3C86" w:rsidRPr="0089238D">
        <w:rPr>
          <w:bCs/>
        </w:rPr>
        <w:t xml:space="preserve"> </w:t>
      </w:r>
      <w:r w:rsidRPr="0089238D">
        <w:rPr>
          <w:bCs/>
        </w:rPr>
        <w:t>can gain from monitoring the indicator, in concrete terms that are easily identifiable and understandable (such as mapping existing institutions, identifying institutional gaps and weaknesses, evaluating how effectively these institutions are engaging with other actors). This also shows how monitoring the indicator can feed into their policy-making. In addition, this section indicates the benefits</w:t>
      </w:r>
      <w:r w:rsidR="00A64FC9">
        <w:rPr>
          <w:bCs/>
        </w:rPr>
        <w:t xml:space="preserve"> of</w:t>
      </w:r>
      <w:r w:rsidRPr="0089238D">
        <w:rPr>
          <w:bCs/>
        </w:rPr>
        <w:t xml:space="preserve"> monitoring this indicator across</w:t>
      </w:r>
      <w:r w:rsidR="00CD3C1C">
        <w:rPr>
          <w:bCs/>
        </w:rPr>
        <w:t xml:space="preserve"> the</w:t>
      </w:r>
      <w:r w:rsidRPr="0089238D">
        <w:rPr>
          <w:bCs/>
        </w:rPr>
        <w:t xml:space="preserve"> reporting Parties, either globally or regionally, for the international community (States Parties, the Committee, UNESCO and other international actors).</w:t>
      </w:r>
    </w:p>
    <w:p w14:paraId="21EF26BA" w14:textId="0A154DEC" w:rsidR="004D381D" w:rsidRPr="0089238D" w:rsidRDefault="004D381D" w:rsidP="004D381D">
      <w:pPr>
        <w:pStyle w:val="Slide"/>
      </w:pPr>
      <w:r>
        <w:t xml:space="preserve">Slide </w:t>
      </w:r>
      <w:r w:rsidR="006637E8">
        <w:t>17</w:t>
      </w:r>
    </w:p>
    <w:p w14:paraId="6EAD7B7E" w14:textId="77777777" w:rsidR="00834A2B" w:rsidRDefault="00834A2B" w:rsidP="00F878EA">
      <w:pPr>
        <w:pStyle w:val="Maintext"/>
      </w:pPr>
      <w:r w:rsidRPr="0089238D">
        <w:rPr>
          <w:b/>
          <w:i/>
          <w:iCs/>
        </w:rPr>
        <w:t>Data sources and collection</w:t>
      </w:r>
      <w:r w:rsidRPr="0089238D">
        <w:rPr>
          <w:b/>
        </w:rPr>
        <w:t>:</w:t>
      </w:r>
      <w:r w:rsidRPr="0089238D">
        <w:rPr>
          <w:bCs/>
        </w:rPr>
        <w:t xml:space="preserve"> This is a key section </w:t>
      </w:r>
      <w:r w:rsidR="00CD3C1C">
        <w:rPr>
          <w:bCs/>
        </w:rPr>
        <w:t>as</w:t>
      </w:r>
      <w:r w:rsidR="00CD3C1C" w:rsidRPr="0089238D">
        <w:rPr>
          <w:bCs/>
        </w:rPr>
        <w:t xml:space="preserve"> </w:t>
      </w:r>
      <w:r w:rsidRPr="0089238D">
        <w:rPr>
          <w:bCs/>
        </w:rPr>
        <w:t xml:space="preserve">one of the main challenges in reporting </w:t>
      </w:r>
      <w:r w:rsidR="00CD3C1C">
        <w:rPr>
          <w:bCs/>
        </w:rPr>
        <w:t xml:space="preserve">will </w:t>
      </w:r>
      <w:r w:rsidRPr="0089238D">
        <w:rPr>
          <w:bCs/>
        </w:rPr>
        <w:t xml:space="preserve">be </w:t>
      </w:r>
      <w:r w:rsidR="00CD3C1C">
        <w:rPr>
          <w:bCs/>
        </w:rPr>
        <w:t xml:space="preserve">to </w:t>
      </w:r>
      <w:r w:rsidRPr="0089238D">
        <w:rPr>
          <w:bCs/>
        </w:rPr>
        <w:t>identify</w:t>
      </w:r>
      <w:r w:rsidR="00CD3C1C">
        <w:rPr>
          <w:bCs/>
        </w:rPr>
        <w:t xml:space="preserve"> the</w:t>
      </w:r>
      <w:r w:rsidRPr="0089238D">
        <w:rPr>
          <w:bCs/>
        </w:rPr>
        <w:t xml:space="preserve"> appropriate data sources. It starts by noting that the body responsible for filling out the periodic reporting form is often the designated ‘competent body’ and so will probably be the main source of information on the </w:t>
      </w:r>
      <w:r w:rsidRPr="0089238D">
        <w:t xml:space="preserve">bodies, institutions and mechanisms that are the subject of the indicator. However, it also points out that other State bodies and national organizations– not necessarily in the culture sector, but which may be active in </w:t>
      </w:r>
      <w:r w:rsidR="00B1775D">
        <w:t xml:space="preserve">other </w:t>
      </w:r>
      <w:r w:rsidRPr="0089238D">
        <w:t>sectors</w:t>
      </w:r>
      <w:r w:rsidR="00B1775D">
        <w:t>,</w:t>
      </w:r>
      <w:r w:rsidRPr="0089238D">
        <w:t xml:space="preserve"> such as education, health, the environment, etc</w:t>
      </w:r>
      <w:r w:rsidR="00B1775D">
        <w:t>. --</w:t>
      </w:r>
      <w:r w:rsidR="00B1775D" w:rsidRPr="00B1775D">
        <w:t xml:space="preserve"> </w:t>
      </w:r>
      <w:r w:rsidR="00B1775D">
        <w:t xml:space="preserve">can </w:t>
      </w:r>
      <w:r w:rsidR="00B1775D" w:rsidRPr="0089238D">
        <w:t>act as their partners</w:t>
      </w:r>
      <w:r w:rsidR="00B1775D">
        <w:t>. P</w:t>
      </w:r>
      <w:r w:rsidRPr="0089238D">
        <w:t xml:space="preserve">rovincial and local bodies and institutions (especially for safeguarding specific elements, as referred to in </w:t>
      </w:r>
      <w:r w:rsidR="004D381D">
        <w:t>assessment factor</w:t>
      </w:r>
      <w:r w:rsidRPr="0089238D">
        <w:t xml:space="preserve"> 1.2</w:t>
      </w:r>
      <w:r w:rsidR="00B1775D">
        <w:t>)</w:t>
      </w:r>
      <w:r w:rsidRPr="0089238D">
        <w:t xml:space="preserve"> may also have to </w:t>
      </w:r>
      <w:proofErr w:type="gramStart"/>
      <w:r w:rsidRPr="0089238D">
        <w:t>be taken</w:t>
      </w:r>
      <w:proofErr w:type="gramEnd"/>
      <w:r w:rsidRPr="0089238D">
        <w:t xml:space="preserve"> into account here. This may require ongoing networking and, for specific elements, undertaking regular surveys of what is occurring at the local level. This section, therefore, also recommend</w:t>
      </w:r>
      <w:r>
        <w:t>s</w:t>
      </w:r>
      <w:r w:rsidRPr="0089238D">
        <w:t xml:space="preserve"> potential institutional development, in particular for the establishment of an effective consultative body or coordination mechanism if none exists to manage such ‘multi-level monitoring’. The ‘possible data sources’ part of this section is aimed at guiding States Parties to the most obvious places where data and information should be readily available to them. However, this list is not </w:t>
      </w:r>
      <w:r w:rsidR="00B1775D">
        <w:t>exhaustive</w:t>
      </w:r>
      <w:r w:rsidR="00B1775D" w:rsidRPr="0089238D">
        <w:t xml:space="preserve"> </w:t>
      </w:r>
      <w:r w:rsidRPr="0089238D">
        <w:t xml:space="preserve">and </w:t>
      </w:r>
      <w:proofErr w:type="gramStart"/>
      <w:r w:rsidRPr="0089238D">
        <w:t xml:space="preserve">there may well be other valuable sources that States Parties can </w:t>
      </w:r>
      <w:r w:rsidR="00CC7563">
        <w:t>turn to</w:t>
      </w:r>
      <w:proofErr w:type="gramEnd"/>
      <w:r w:rsidRPr="0089238D">
        <w:t>.</w:t>
      </w:r>
    </w:p>
    <w:p w14:paraId="10678D62" w14:textId="6E5B11DA" w:rsidR="004B24EC" w:rsidRPr="0089238D" w:rsidRDefault="004B24EC" w:rsidP="004B24EC">
      <w:pPr>
        <w:pStyle w:val="Slide"/>
      </w:pPr>
      <w:r>
        <w:t>Slide</w:t>
      </w:r>
      <w:r w:rsidR="005C6A12">
        <w:t xml:space="preserve"> </w:t>
      </w:r>
      <w:r w:rsidR="006637E8">
        <w:t>18</w:t>
      </w:r>
    </w:p>
    <w:p w14:paraId="6FA79EC6" w14:textId="77777777" w:rsidR="00834A2B" w:rsidRPr="00F878EA" w:rsidRDefault="00834A2B" w:rsidP="00F878EA">
      <w:pPr>
        <w:pStyle w:val="Maintext"/>
        <w:rPr>
          <w:bCs/>
        </w:rPr>
      </w:pPr>
      <w:r w:rsidRPr="0089238D">
        <w:rPr>
          <w:b/>
          <w:i/>
          <w:iCs/>
        </w:rPr>
        <w:t>Extent to which indicator is satisfied:</w:t>
      </w:r>
      <w:r w:rsidRPr="0089238D">
        <w:rPr>
          <w:bCs/>
          <w:i/>
          <w:iCs/>
        </w:rPr>
        <w:t xml:space="preserve"> </w:t>
      </w:r>
      <w:r w:rsidRPr="0089238D">
        <w:rPr>
          <w:bCs/>
        </w:rPr>
        <w:t xml:space="preserve">This section explains the basis on which the extent to which this indicator is fulfilled is automatically calculated (by the online tool). The weightings are, as seen in </w:t>
      </w:r>
      <w:r w:rsidRPr="00B92EF4">
        <w:rPr>
          <w:bCs/>
        </w:rPr>
        <w:t xml:space="preserve">Unit </w:t>
      </w:r>
      <w:r w:rsidR="00B92EF4">
        <w:rPr>
          <w:bCs/>
        </w:rPr>
        <w:t>59</w:t>
      </w:r>
      <w:r w:rsidRPr="0089238D">
        <w:rPr>
          <w:bCs/>
        </w:rPr>
        <w:t xml:space="preserve">, assigned according to a number of factors that include the support they have in the Convention text and ODs. This section can also be a useful guidance to States Parties when they want to set their own baselines and future targets. </w:t>
      </w:r>
    </w:p>
    <w:p w14:paraId="0C82F849" w14:textId="36C8BE19" w:rsidR="00B13B3F" w:rsidRDefault="00B13B3F" w:rsidP="00B13B3F">
      <w:pPr>
        <w:pStyle w:val="Slide"/>
      </w:pPr>
      <w:r>
        <w:t>Slide 1</w:t>
      </w:r>
      <w:r w:rsidR="006637E8">
        <w:t>9</w:t>
      </w:r>
    </w:p>
    <w:p w14:paraId="177BC0CB" w14:textId="33ECB3E9" w:rsidR="00180DEF" w:rsidRPr="00B92EF4" w:rsidRDefault="00595592" w:rsidP="00B92EF4">
      <w:pPr>
        <w:pStyle w:val="HeadingSlide"/>
      </w:pPr>
      <w:r>
        <w:t xml:space="preserve">optional </w:t>
      </w:r>
      <w:r w:rsidR="00180DEF" w:rsidRPr="00B92EF4">
        <w:t xml:space="preserve">Exercise (20 minutes): </w:t>
      </w:r>
    </w:p>
    <w:p w14:paraId="019FEF09" w14:textId="77777777" w:rsidR="00AF0F26" w:rsidRDefault="00B92EF4" w:rsidP="00B92EF4">
      <w:pPr>
        <w:pStyle w:val="Maintext"/>
      </w:pPr>
      <w:r>
        <w:rPr>
          <w:noProof/>
          <w:lang w:val="fr-FR" w:eastAsia="ja-JP"/>
        </w:rPr>
        <w:drawing>
          <wp:anchor distT="0" distB="0" distL="114300" distR="114300" simplePos="0" relativeHeight="251663360" behindDoc="1" locked="0" layoutInCell="1" allowOverlap="1" wp14:anchorId="1D7E0F8A" wp14:editId="38CDB96E">
            <wp:simplePos x="0" y="0"/>
            <wp:positionH relativeFrom="margin">
              <wp:align>left</wp:align>
            </wp:positionH>
            <wp:positionV relativeFrom="paragraph">
              <wp:posOffset>85617</wp:posOffset>
            </wp:positionV>
            <wp:extent cx="494665" cy="445135"/>
            <wp:effectExtent l="0" t="0" r="635" b="0"/>
            <wp:wrapTight wrapText="bothSides">
              <wp:wrapPolygon edited="0">
                <wp:start x="0" y="0"/>
                <wp:lineTo x="0" y="20337"/>
                <wp:lineTo x="20796" y="20337"/>
                <wp:lineTo x="20796" y="0"/>
                <wp:lineTo x="0" y="0"/>
              </wp:wrapPolygon>
            </wp:wrapTight>
            <wp:docPr id="3" name="Picture 2" descr="C:\Users\ae_cunningham\AppData\Local\Microsoft\Windows\Temporary Internet Files\Content.IE5\0LYUBDWZ\pencil-silhouette[1].jpg"/>
            <wp:cNvGraphicFramePr/>
            <a:graphic xmlns:a="http://schemas.openxmlformats.org/drawingml/2006/main">
              <a:graphicData uri="http://schemas.openxmlformats.org/drawingml/2006/picture">
                <pic:pic xmlns:pic="http://schemas.openxmlformats.org/drawingml/2006/picture">
                  <pic:nvPicPr>
                    <pic:cNvPr id="3" name="Picture 2" descr="C:\Users\ae_cunningham\AppData\Local\Microsoft\Windows\Temporary Internet Files\Content.IE5\0LYUBDWZ\pencil-silhouette[1].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466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180DEF">
        <w:rPr>
          <w:b/>
          <w:bCs/>
          <w:i/>
          <w:iCs/>
        </w:rPr>
        <w:t xml:space="preserve">Learning objective: </w:t>
      </w:r>
      <w:r w:rsidR="00B7522F">
        <w:t>T</w:t>
      </w:r>
      <w:r w:rsidR="00180DEF">
        <w:t xml:space="preserve">his exercise </w:t>
      </w:r>
      <w:r w:rsidR="00B7522F">
        <w:t xml:space="preserve">aims </w:t>
      </w:r>
      <w:r w:rsidR="00180DEF">
        <w:t>to</w:t>
      </w:r>
      <w:r w:rsidR="00AF0F26">
        <w:t xml:space="preserve"> familiarize participants with the key terms and concepts used in </w:t>
      </w:r>
      <w:r w:rsidR="0006278D">
        <w:t>the online periodic reporting tool</w:t>
      </w:r>
      <w:r w:rsidR="00AF0F26">
        <w:t>.</w:t>
      </w:r>
    </w:p>
    <w:p w14:paraId="1A95AA2D" w14:textId="4C20CBE9" w:rsidR="00EA1004" w:rsidRDefault="00AF0F26">
      <w:pPr>
        <w:pStyle w:val="Maintext"/>
      </w:pPr>
      <w:r>
        <w:t xml:space="preserve">Participants </w:t>
      </w:r>
      <w:proofErr w:type="gramStart"/>
      <w:r>
        <w:t>should be given</w:t>
      </w:r>
      <w:proofErr w:type="gramEnd"/>
      <w:r>
        <w:t xml:space="preserve"> </w:t>
      </w:r>
      <w:r w:rsidRPr="00524218">
        <w:rPr>
          <w:b/>
        </w:rPr>
        <w:t>Handout 1</w:t>
      </w:r>
      <w:r>
        <w:t>, which gives some key terms used in the periodic reporting tool. The participants should read this list either individually or with a partner and note any terms where they are not sure about their exact meaning. The participants should discuss their experience in plenary.</w:t>
      </w:r>
    </w:p>
    <w:p w14:paraId="7BDAA5F2" w14:textId="77777777" w:rsidR="00EA1004" w:rsidRPr="00960919" w:rsidRDefault="00194997" w:rsidP="00B92EF4">
      <w:pPr>
        <w:pStyle w:val="Maintext"/>
      </w:pPr>
      <w:bookmarkStart w:id="0" w:name="_GoBack"/>
      <w:bookmarkEnd w:id="0"/>
      <w:r w:rsidRPr="00960919">
        <w:t xml:space="preserve">Participants should also be encouraged to refer to the key concepts </w:t>
      </w:r>
      <w:r w:rsidR="004F3A8E" w:rsidRPr="00960919">
        <w:t xml:space="preserve">of the Convention </w:t>
      </w:r>
      <w:r w:rsidRPr="00960919">
        <w:t xml:space="preserve">in </w:t>
      </w:r>
      <w:r w:rsidRPr="003A3F7A">
        <w:rPr>
          <w:b/>
        </w:rPr>
        <w:t>Participant’s text Unit 3</w:t>
      </w:r>
      <w:r w:rsidRPr="00960919">
        <w:t xml:space="preserve">. </w:t>
      </w:r>
      <w:r w:rsidR="004F3A8E" w:rsidRPr="00960919">
        <w:t xml:space="preserve">This is a set of more general concepts applied in the 2003 Convention and may be helpful </w:t>
      </w:r>
      <w:r w:rsidR="00203C48" w:rsidRPr="00960919">
        <w:t>when</w:t>
      </w:r>
      <w:r w:rsidR="004F3A8E" w:rsidRPr="00960919">
        <w:t xml:space="preserve"> filling out the online form.</w:t>
      </w:r>
    </w:p>
    <w:p w14:paraId="23806B07" w14:textId="2D38A16A" w:rsidR="006637E8" w:rsidRPr="00524218" w:rsidRDefault="006637E8" w:rsidP="00524218">
      <w:pPr>
        <w:pStyle w:val="Slide2"/>
      </w:pPr>
      <w:r>
        <w:t>Additional b</w:t>
      </w:r>
      <w:r w:rsidRPr="00524218">
        <w:t>ackground information for facilitators</w:t>
      </w:r>
    </w:p>
    <w:p w14:paraId="4FCC4446" w14:textId="01E32A2D" w:rsidR="000270C2" w:rsidRDefault="006637E8" w:rsidP="00BC33B7">
      <w:pPr>
        <w:pStyle w:val="Maintext"/>
      </w:pPr>
      <w:r>
        <w:t>Some</w:t>
      </w:r>
      <w:r w:rsidR="000270C2">
        <w:t xml:space="preserve"> additional contextual information </w:t>
      </w:r>
      <w:r>
        <w:t xml:space="preserve">on the periodic reporting process </w:t>
      </w:r>
      <w:proofErr w:type="gramStart"/>
      <w:r w:rsidR="000270C2">
        <w:t>is provided</w:t>
      </w:r>
      <w:proofErr w:type="gramEnd"/>
      <w:r w:rsidR="000270C2">
        <w:t xml:space="preserve"> below to the facilitator as background. </w:t>
      </w:r>
    </w:p>
    <w:p w14:paraId="3E7BD7D8" w14:textId="23D64E8C" w:rsidR="004F12EE" w:rsidRPr="00524218" w:rsidRDefault="00D115DE" w:rsidP="00524218">
      <w:pPr>
        <w:pStyle w:val="Maintext"/>
        <w:rPr>
          <w:b/>
          <w:i/>
        </w:rPr>
      </w:pPr>
      <w:r w:rsidRPr="00524218">
        <w:rPr>
          <w:b/>
          <w:i/>
        </w:rPr>
        <w:t xml:space="preserve">Operational Directives on </w:t>
      </w:r>
      <w:r w:rsidR="00B21625" w:rsidRPr="00524218">
        <w:rPr>
          <w:b/>
          <w:i/>
        </w:rPr>
        <w:t>participation</w:t>
      </w:r>
      <w:r w:rsidRPr="00524218">
        <w:rPr>
          <w:b/>
          <w:i/>
        </w:rPr>
        <w:t>:</w:t>
      </w:r>
    </w:p>
    <w:p w14:paraId="178A86D7" w14:textId="571F1306" w:rsidR="004A42E8" w:rsidRDefault="004A42E8" w:rsidP="00A429BB">
      <w:pPr>
        <w:pStyle w:val="Maintext"/>
      </w:pPr>
      <w:r>
        <w:t xml:space="preserve">The Committee adopted </w:t>
      </w:r>
      <w:r w:rsidR="00FA45D8" w:rsidRPr="0086635C">
        <w:t xml:space="preserve">Chapter III (ODs 79-91) on ‘Participation of communities, groups and, where applicable, individuals, as well as experts, </w:t>
      </w:r>
      <w:proofErr w:type="spellStart"/>
      <w:r w:rsidR="00FA45D8" w:rsidRPr="0086635C">
        <w:t>centres</w:t>
      </w:r>
      <w:proofErr w:type="spellEnd"/>
      <w:r w:rsidR="00FA45D8" w:rsidRPr="0086635C">
        <w:t xml:space="preserve"> of expertise and research institutes’ in 2010, show</w:t>
      </w:r>
      <w:r>
        <w:t>ing that it wished</w:t>
      </w:r>
      <w:r w:rsidR="00FA45D8" w:rsidRPr="0086635C">
        <w:t xml:space="preserve"> to move towards more effective community participation in </w:t>
      </w:r>
      <w:r w:rsidR="00ED20D7" w:rsidRPr="0086635C">
        <w:t>identifying</w:t>
      </w:r>
      <w:r w:rsidR="00FA45D8" w:rsidRPr="0086635C">
        <w:t xml:space="preserve"> and safeguarding ICH. </w:t>
      </w:r>
      <w:r>
        <w:t xml:space="preserve">In these ODs, </w:t>
      </w:r>
      <w:r w:rsidRPr="004A42E8">
        <w:t xml:space="preserve">various actors - communities, groups and, where applicable, individuals who create, maintain and transmit intangible cultural heritage, as well as experts, </w:t>
      </w:r>
      <w:proofErr w:type="spellStart"/>
      <w:r w:rsidRPr="004A42E8">
        <w:t>centres</w:t>
      </w:r>
      <w:proofErr w:type="spellEnd"/>
      <w:r w:rsidRPr="004A42E8">
        <w:t xml:space="preserve"> of expertise and research institutes – </w:t>
      </w:r>
      <w:r>
        <w:t xml:space="preserve">are seen </w:t>
      </w:r>
      <w:r w:rsidRPr="004A42E8">
        <w:t>as being involved directly in a wide range of safeguarding activities</w:t>
      </w:r>
      <w:r>
        <w:t>.</w:t>
      </w:r>
    </w:p>
    <w:p w14:paraId="386395B0" w14:textId="77777777" w:rsidR="00FA45D8" w:rsidRPr="0086635C" w:rsidRDefault="004A42E8" w:rsidP="00A429BB">
      <w:pPr>
        <w:pStyle w:val="Maintext"/>
      </w:pPr>
      <w:r>
        <w:t>This</w:t>
      </w:r>
      <w:r w:rsidRPr="004A42E8">
        <w:t xml:space="preserve"> </w:t>
      </w:r>
      <w:proofErr w:type="gramStart"/>
      <w:r w:rsidRPr="004A42E8">
        <w:t>is now reflected</w:t>
      </w:r>
      <w:proofErr w:type="gramEnd"/>
      <w:r w:rsidRPr="004A42E8">
        <w:t xml:space="preserve"> much more strongly in the revised periodic reporting framework</w:t>
      </w:r>
      <w:r>
        <w:t xml:space="preserve"> and</w:t>
      </w:r>
      <w:r w:rsidR="00FA45D8" w:rsidRPr="004A42E8">
        <w:t xml:space="preserve"> means that </w:t>
      </w:r>
      <w:r>
        <w:t xml:space="preserve">national </w:t>
      </w:r>
      <w:r w:rsidRPr="004A42E8">
        <w:t xml:space="preserve">focal points and their teams </w:t>
      </w:r>
      <w:r w:rsidR="00FA45D8" w:rsidRPr="004A42E8">
        <w:t xml:space="preserve">have to consider seriously how all of these various actors can be brought into this process in a meaningful way. </w:t>
      </w:r>
      <w:r>
        <w:t>W</w:t>
      </w:r>
      <w:r w:rsidRPr="004A42E8">
        <w:t>here a coordination mechanism exist</w:t>
      </w:r>
      <w:r>
        <w:t>s,</w:t>
      </w:r>
      <w:r w:rsidRPr="004A42E8">
        <w:t xml:space="preserve"> it can be an extremely valuable source of data and information, particularly on actions taken by non-state actors. </w:t>
      </w:r>
      <w:r w:rsidR="00FA45D8" w:rsidRPr="004A42E8">
        <w:t>I</w:t>
      </w:r>
      <w:r>
        <w:t>n addition, i</w:t>
      </w:r>
      <w:r w:rsidR="00FA45D8" w:rsidRPr="004A42E8">
        <w:t xml:space="preserve">f a Party has established a directory of experts, </w:t>
      </w:r>
      <w:proofErr w:type="spellStart"/>
      <w:r w:rsidR="00FA45D8" w:rsidRPr="004A42E8">
        <w:t>centres</w:t>
      </w:r>
      <w:proofErr w:type="spellEnd"/>
      <w:r w:rsidR="00FA45D8" w:rsidRPr="004A42E8">
        <w:t xml:space="preserve"> of expertise, research institutes and regional </w:t>
      </w:r>
      <w:proofErr w:type="spellStart"/>
      <w:r w:rsidR="00FA45D8" w:rsidRPr="004A42E8">
        <w:t>centres</w:t>
      </w:r>
      <w:proofErr w:type="spellEnd"/>
      <w:r w:rsidR="00FA45D8" w:rsidRPr="004A42E8">
        <w:t xml:space="preserve"> (OD 83), this will also be a very useful tool for identifying the various non-state partners who </w:t>
      </w:r>
      <w:proofErr w:type="gramStart"/>
      <w:r w:rsidR="00FA45D8" w:rsidRPr="004A42E8">
        <w:t>can be brought</w:t>
      </w:r>
      <w:proofErr w:type="gramEnd"/>
      <w:r w:rsidR="00FA45D8" w:rsidRPr="004A42E8">
        <w:t xml:space="preserve"> into the process.</w:t>
      </w:r>
      <w:r>
        <w:t xml:space="preserve"> </w:t>
      </w:r>
    </w:p>
    <w:p w14:paraId="3D48A18C" w14:textId="77777777" w:rsidR="00FA45D8" w:rsidRPr="00524218" w:rsidRDefault="00D115DE" w:rsidP="00524218">
      <w:pPr>
        <w:pStyle w:val="Maintext"/>
        <w:rPr>
          <w:b/>
          <w:i/>
        </w:rPr>
      </w:pPr>
      <w:r w:rsidRPr="00524218">
        <w:rPr>
          <w:b/>
          <w:i/>
        </w:rPr>
        <w:t xml:space="preserve">Operational Directives on </w:t>
      </w:r>
      <w:r w:rsidR="009F796B" w:rsidRPr="00524218">
        <w:rPr>
          <w:b/>
          <w:i/>
        </w:rPr>
        <w:t>sustainable development</w:t>
      </w:r>
      <w:r w:rsidRPr="00524218">
        <w:rPr>
          <w:b/>
          <w:i/>
        </w:rPr>
        <w:t>:</w:t>
      </w:r>
    </w:p>
    <w:p w14:paraId="266A58F8" w14:textId="77777777" w:rsidR="00FA45D8" w:rsidRPr="0086635C" w:rsidRDefault="00FA45D8" w:rsidP="002A235C">
      <w:pPr>
        <w:pStyle w:val="Maintext"/>
      </w:pPr>
      <w:r w:rsidRPr="0086635C">
        <w:t xml:space="preserve">A significant development in implementing the Convention </w:t>
      </w:r>
      <w:proofErr w:type="gramStart"/>
      <w:r w:rsidRPr="0086635C">
        <w:t>was achieved</w:t>
      </w:r>
      <w:proofErr w:type="gramEnd"/>
      <w:r w:rsidRPr="0086635C">
        <w:t xml:space="preserve"> in 2016 </w:t>
      </w:r>
      <w:r w:rsidR="009F796B">
        <w:t>with</w:t>
      </w:r>
      <w:r w:rsidR="009F796B" w:rsidRPr="0086635C">
        <w:t xml:space="preserve"> the addition </w:t>
      </w:r>
      <w:r w:rsidRPr="0086635C">
        <w:t xml:space="preserve">of a new chapter to the ODs (Chapter VI – ODs 170-194) which addresses “Safeguarding </w:t>
      </w:r>
      <w:r w:rsidR="009F796B">
        <w:t>i</w:t>
      </w:r>
      <w:r w:rsidR="009F796B" w:rsidRPr="0086635C">
        <w:t xml:space="preserve">ntangible </w:t>
      </w:r>
      <w:r w:rsidR="009F796B">
        <w:t>c</w:t>
      </w:r>
      <w:r w:rsidR="009F796B" w:rsidRPr="0086635C">
        <w:t xml:space="preserve">ultural </w:t>
      </w:r>
      <w:r w:rsidR="009F796B">
        <w:t>h</w:t>
      </w:r>
      <w:r w:rsidR="009F796B" w:rsidRPr="0086635C">
        <w:t xml:space="preserve">eritage </w:t>
      </w:r>
      <w:r w:rsidRPr="0086635C">
        <w:t xml:space="preserve">and </w:t>
      </w:r>
      <w:r w:rsidR="009F796B">
        <w:t>s</w:t>
      </w:r>
      <w:r w:rsidR="009F796B" w:rsidRPr="0086635C">
        <w:t xml:space="preserve">ustainable </w:t>
      </w:r>
      <w:r w:rsidR="009F796B">
        <w:t>d</w:t>
      </w:r>
      <w:r w:rsidR="009F796B" w:rsidRPr="0086635C">
        <w:t xml:space="preserve">evelopment </w:t>
      </w:r>
      <w:r w:rsidRPr="0086635C">
        <w:t xml:space="preserve">at the </w:t>
      </w:r>
      <w:r w:rsidR="009F796B">
        <w:t>n</w:t>
      </w:r>
      <w:r w:rsidR="009F796B" w:rsidRPr="0086635C">
        <w:t xml:space="preserve">ational </w:t>
      </w:r>
      <w:r w:rsidRPr="0086635C">
        <w:t>Level”.</w:t>
      </w:r>
    </w:p>
    <w:p w14:paraId="58E3E527" w14:textId="77777777" w:rsidR="00FA45D8" w:rsidRPr="0086635C" w:rsidRDefault="00FA45D8" w:rsidP="002A235C">
      <w:pPr>
        <w:pStyle w:val="Maintext"/>
      </w:pPr>
      <w:r w:rsidRPr="0086635C">
        <w:t xml:space="preserve">The Convention </w:t>
      </w:r>
      <w:proofErr w:type="spellStart"/>
      <w:r w:rsidRPr="0086635C">
        <w:t>recognises</w:t>
      </w:r>
      <w:proofErr w:type="spellEnd"/>
      <w:r w:rsidRPr="0086635C">
        <w:t xml:space="preserve"> in its Preamble the importance of the intangible cultural heritage as ‘a mainspring of cultural diversity’ and a ‘guarantee of sustainable development’. In addition, the definition of ICH in Article 2.1 makes clear that ‘...consideration will be given solely to such intangible cultural heritage as is compatible with existing international human rights instruments, as well as with the requirements of … sustainable development’.</w:t>
      </w:r>
    </w:p>
    <w:p w14:paraId="39DAF8D0" w14:textId="77777777" w:rsidR="004F12EE" w:rsidRDefault="00FA45D8" w:rsidP="002A235C">
      <w:pPr>
        <w:pStyle w:val="Maintext"/>
        <w:rPr>
          <w:rFonts w:eastAsia="Times New Roman"/>
          <w:lang w:eastAsia="en-GB"/>
        </w:rPr>
      </w:pPr>
      <w:r w:rsidRPr="0086635C">
        <w:t xml:space="preserve">The Convention therefore provides </w:t>
      </w:r>
      <w:r w:rsidR="002324B7">
        <w:t xml:space="preserve">States </w:t>
      </w:r>
      <w:r w:rsidRPr="0086635C">
        <w:t xml:space="preserve">Parties with a framework to develop heritage-based policies and </w:t>
      </w:r>
      <w:proofErr w:type="spellStart"/>
      <w:r w:rsidRPr="0086635C">
        <w:t>programmes</w:t>
      </w:r>
      <w:proofErr w:type="spellEnd"/>
      <w:r w:rsidRPr="0086635C">
        <w:t xml:space="preserve"> related to a wide number of </w:t>
      </w:r>
      <w:r w:rsidR="00221084">
        <w:t>sectors</w:t>
      </w:r>
      <w:r w:rsidRPr="0086635C">
        <w:t xml:space="preserve">, from tourism to environmental protection, social inclusion and rural/urban development. </w:t>
      </w:r>
      <w:r w:rsidRPr="0086635C">
        <w:rPr>
          <w:rFonts w:eastAsia="Times New Roman"/>
          <w:lang w:eastAsia="en-GB"/>
        </w:rPr>
        <w:t xml:space="preserve">An important way in which ICH mirrors the sustainable development agenda is in its cross-sectoral character: </w:t>
      </w:r>
      <w:r w:rsidR="00221084">
        <w:rPr>
          <w:rFonts w:eastAsia="Times New Roman"/>
          <w:lang w:eastAsia="en-GB"/>
        </w:rPr>
        <w:t>i</w:t>
      </w:r>
      <w:r w:rsidR="00221084" w:rsidRPr="0086635C">
        <w:rPr>
          <w:rFonts w:eastAsia="Times New Roman"/>
          <w:lang w:eastAsia="en-GB"/>
        </w:rPr>
        <w:t xml:space="preserve">t </w:t>
      </w:r>
      <w:r w:rsidRPr="0086635C">
        <w:rPr>
          <w:rFonts w:eastAsia="Times New Roman"/>
          <w:lang w:eastAsia="en-GB"/>
        </w:rPr>
        <w:t xml:space="preserve">encompasses the activities of a number of </w:t>
      </w:r>
      <w:r w:rsidRPr="0086635C">
        <w:rPr>
          <w:rFonts w:eastAsia="Times New Roman"/>
          <w:i/>
          <w:iCs/>
          <w:lang w:eastAsia="en-GB"/>
        </w:rPr>
        <w:t>non-cultural sectors</w:t>
      </w:r>
      <w:r w:rsidRPr="0086635C">
        <w:rPr>
          <w:rFonts w:eastAsia="Times New Roman"/>
          <w:lang w:eastAsia="en-GB"/>
        </w:rPr>
        <w:t xml:space="preserve"> such as health, agriculture, food security, education, environmental protection, tourism, disaster prevention and mitigation, conflict resolution etc. Thus, effective </w:t>
      </w:r>
      <w:r w:rsidR="00221084" w:rsidRPr="0086635C">
        <w:rPr>
          <w:rFonts w:eastAsia="Times New Roman"/>
          <w:lang w:eastAsia="en-GB"/>
        </w:rPr>
        <w:t xml:space="preserve">ICH </w:t>
      </w:r>
      <w:r w:rsidRPr="0086635C">
        <w:rPr>
          <w:rFonts w:eastAsia="Times New Roman"/>
          <w:lang w:eastAsia="en-GB"/>
        </w:rPr>
        <w:t xml:space="preserve">safeguarding requires a similarly horizontal cooperation between governmental bodies and regional and local authorities as do the procedural aspects of sustainable development. </w:t>
      </w:r>
    </w:p>
    <w:p w14:paraId="20880FC4" w14:textId="77777777" w:rsidR="004F12EE" w:rsidRPr="0086635C" w:rsidRDefault="004F12EE" w:rsidP="002A235C">
      <w:pPr>
        <w:pStyle w:val="Maintext"/>
        <w:rPr>
          <w:bCs/>
          <w:lang w:val="en-GB"/>
        </w:rPr>
      </w:pPr>
      <w:r>
        <w:rPr>
          <w:bCs/>
          <w:lang w:val="en-GB"/>
        </w:rPr>
        <w:t xml:space="preserve">It </w:t>
      </w:r>
      <w:proofErr w:type="gramStart"/>
      <w:r>
        <w:rPr>
          <w:bCs/>
          <w:lang w:val="en-GB"/>
        </w:rPr>
        <w:t>should</w:t>
      </w:r>
      <w:r w:rsidRPr="0086635C">
        <w:rPr>
          <w:bCs/>
          <w:lang w:val="en-GB"/>
        </w:rPr>
        <w:t xml:space="preserve"> also be mentioned</w:t>
      </w:r>
      <w:proofErr w:type="gramEnd"/>
      <w:r w:rsidRPr="0086635C">
        <w:rPr>
          <w:bCs/>
          <w:lang w:val="en-GB"/>
        </w:rPr>
        <w:t xml:space="preserve"> that the </w:t>
      </w:r>
      <w:r w:rsidR="002A235C">
        <w:rPr>
          <w:bCs/>
          <w:lang w:val="en-GB"/>
        </w:rPr>
        <w:t>guidance notes</w:t>
      </w:r>
      <w:r w:rsidRPr="0086635C">
        <w:rPr>
          <w:bCs/>
          <w:lang w:val="en-GB"/>
        </w:rPr>
        <w:t xml:space="preserve"> prepared for the periodic reporting and the </w:t>
      </w:r>
      <w:r w:rsidR="008677AF">
        <w:rPr>
          <w:bCs/>
          <w:lang w:val="en-GB"/>
        </w:rPr>
        <w:t>overall results framework</w:t>
      </w:r>
      <w:r w:rsidRPr="0086635C">
        <w:rPr>
          <w:bCs/>
          <w:lang w:val="en-GB"/>
        </w:rPr>
        <w:t xml:space="preserve"> to which it is linked include, for each of the 26 Indicators, a section linking it to the relevant SDG. </w:t>
      </w:r>
    </w:p>
    <w:p w14:paraId="1ED1A1A1" w14:textId="5BFF8BD9" w:rsidR="004F12EE" w:rsidRDefault="00F85FCF" w:rsidP="002A235C">
      <w:pPr>
        <w:pStyle w:val="Maintext"/>
      </w:pPr>
      <w:r>
        <w:t>As</w:t>
      </w:r>
      <w:r w:rsidRPr="0086635C">
        <w:t xml:space="preserve"> </w:t>
      </w:r>
      <w:r w:rsidR="004F12EE" w:rsidRPr="0086635C">
        <w:t xml:space="preserve">Chapter VI is very detailed, it is advisable to ask participants to read this chapter in their own time and to reflect upon how these new </w:t>
      </w:r>
      <w:r w:rsidR="000270C2">
        <w:t>Operational Directives</w:t>
      </w:r>
      <w:r w:rsidR="000270C2" w:rsidRPr="0086635C">
        <w:t xml:space="preserve"> </w:t>
      </w:r>
      <w:r w:rsidR="004F12EE" w:rsidRPr="0086635C">
        <w:t xml:space="preserve">will </w:t>
      </w:r>
      <w:r>
        <w:t>shape</w:t>
      </w:r>
      <w:r w:rsidRPr="0086635C">
        <w:t xml:space="preserve"> </w:t>
      </w:r>
      <w:r w:rsidR="004F12EE" w:rsidRPr="0086635C">
        <w:t>what they report on in the periodic reporting process.</w:t>
      </w:r>
      <w:r w:rsidR="004F12EE">
        <w:t xml:space="preserve"> They may also wish to look at Unit 8 of the workshop on ICH and Sustainable Development for further information.</w:t>
      </w:r>
    </w:p>
    <w:p w14:paraId="5189E100" w14:textId="6F1C57F3" w:rsidR="006637E8" w:rsidRPr="00524218" w:rsidRDefault="006637E8" w:rsidP="00524218">
      <w:pPr>
        <w:pStyle w:val="Maintext"/>
        <w:rPr>
          <w:b/>
          <w:bCs/>
          <w:i/>
          <w:caps/>
        </w:rPr>
      </w:pPr>
      <w:r w:rsidRPr="00524218">
        <w:rPr>
          <w:b/>
          <w:i/>
        </w:rPr>
        <w:t>Overlap with other cultural heritage treaties:</w:t>
      </w:r>
    </w:p>
    <w:p w14:paraId="55425021" w14:textId="1CEEC5CA" w:rsidR="00CD03DF" w:rsidRPr="00524218" w:rsidRDefault="00F515B2" w:rsidP="00524218">
      <w:pPr>
        <w:pStyle w:val="Maintext"/>
      </w:pPr>
      <w:r w:rsidRPr="0086635C">
        <w:t>A further relevant area in which developments are taking place is in the areas of overlap with other cultural heritage treaties (in particular with th</w:t>
      </w:r>
      <w:r>
        <w:t>e</w:t>
      </w:r>
      <w:r w:rsidRPr="0086635C">
        <w:t xml:space="preserve"> 1972</w:t>
      </w:r>
      <w:r>
        <w:t xml:space="preserve"> World Heritage Convention and t</w:t>
      </w:r>
      <w:r w:rsidRPr="0086635C">
        <w:t>he 2005 Convention on Diversity of Cultural Expressions</w:t>
      </w:r>
      <w:r>
        <w:t>)</w:t>
      </w:r>
      <w:r w:rsidRPr="0086635C">
        <w:t xml:space="preserve">. </w:t>
      </w:r>
      <w:proofErr w:type="gramStart"/>
      <w:r w:rsidRPr="0086635C">
        <w:t>Howev</w:t>
      </w:r>
      <w:r>
        <w:t>er, this is not limited to UNESC</w:t>
      </w:r>
      <w:r w:rsidRPr="0086635C">
        <w:t xml:space="preserve">O </w:t>
      </w:r>
      <w:r>
        <w:t>Culture Conventions,</w:t>
      </w:r>
      <w:r w:rsidRPr="0086635C">
        <w:t xml:space="preserve"> </w:t>
      </w:r>
      <w:r>
        <w:t>but</w:t>
      </w:r>
      <w:r w:rsidRPr="0086635C">
        <w:t xml:space="preserve"> also extends to treaties in </w:t>
      </w:r>
      <w:r>
        <w:t>other areas, such as</w:t>
      </w:r>
      <w:r w:rsidRPr="0086635C">
        <w:t xml:space="preserve"> environmental protection</w:t>
      </w:r>
      <w:r>
        <w:t xml:space="preserve"> with the</w:t>
      </w:r>
      <w:r w:rsidRPr="0086635C">
        <w:t xml:space="preserve"> 1992 UN Convention on Biological Diversity</w:t>
      </w:r>
      <w:r>
        <w:t xml:space="preserve"> (CBD)</w:t>
      </w:r>
      <w:r w:rsidRPr="0086635C">
        <w:t xml:space="preserve"> and the 1973 Convention on International Trade in Endangered Species</w:t>
      </w:r>
      <w:r>
        <w:t xml:space="preserve"> (CITES</w:t>
      </w:r>
      <w:r w:rsidRPr="0086635C">
        <w:t>)</w:t>
      </w:r>
      <w:r>
        <w:t>;</w:t>
      </w:r>
      <w:r w:rsidRPr="0086635C">
        <w:t xml:space="preserve"> and human rights</w:t>
      </w:r>
      <w:r>
        <w:t>,</w:t>
      </w:r>
      <w:r w:rsidRPr="0086635C">
        <w:t xml:space="preserve"> </w:t>
      </w:r>
      <w:r>
        <w:t>with</w:t>
      </w:r>
      <w:r w:rsidRPr="0086635C">
        <w:t xml:space="preserve"> the 1966 International Covenant on Economic, Social and Cultural Rights</w:t>
      </w:r>
      <w:r>
        <w:t xml:space="preserve"> (ICESCR)</w:t>
      </w:r>
      <w:r w:rsidRPr="0086635C">
        <w:t xml:space="preserve"> and the 1966 International Covenant on Civil and Political Rights</w:t>
      </w:r>
      <w:r>
        <w:t xml:space="preserve"> (ICCPR</w:t>
      </w:r>
      <w:r w:rsidRPr="0086635C">
        <w:t>).</w:t>
      </w:r>
      <w:proofErr w:type="gramEnd"/>
      <w:r w:rsidRPr="0086635C">
        <w:t xml:space="preserve"> </w:t>
      </w:r>
      <w:r w:rsidRPr="00524218">
        <w:rPr>
          <w:iCs/>
        </w:rPr>
        <w:t>This is important to note here as countries should consider relevant implementing actions in other treaty frameworks (in the field of the environment, cultural policy and rights, education, etc.) when reporting on implementing the Convention</w:t>
      </w:r>
      <w:r w:rsidRPr="008463D4">
        <w:t>.</w:t>
      </w:r>
    </w:p>
    <w:sectPr w:rsidR="00CD03DF" w:rsidRPr="00524218" w:rsidSect="00A50D12">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5B8FA" w14:textId="77777777" w:rsidR="00F5646B" w:rsidRDefault="00F5646B" w:rsidP="00C13EA7">
      <w:pPr>
        <w:spacing w:after="0" w:line="240" w:lineRule="auto"/>
      </w:pPr>
      <w:r>
        <w:separator/>
      </w:r>
    </w:p>
  </w:endnote>
  <w:endnote w:type="continuationSeparator" w:id="0">
    <w:p w14:paraId="4CF8AD1F" w14:textId="77777777" w:rsidR="00F5646B" w:rsidRDefault="00F5646B" w:rsidP="00C1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C3756" w14:textId="77777777" w:rsidR="00CD03DF" w:rsidRPr="00877321" w:rsidRDefault="00CD03DF" w:rsidP="00F878EA">
    <w:pPr>
      <w:pStyle w:val="Footer"/>
      <w:rPr>
        <w:rFonts w:ascii="Arial" w:hAnsi="Arial" w:cs="Arial"/>
        <w:sz w:val="16"/>
        <w:szCs w:val="16"/>
        <w:lang w:val="fr-FR"/>
      </w:rPr>
    </w:pPr>
    <w:r w:rsidRPr="00877321">
      <w:rPr>
        <w:rFonts w:ascii="Arial" w:hAnsi="Arial" w:cs="Arial"/>
        <w:noProof/>
        <w:sz w:val="16"/>
        <w:szCs w:val="16"/>
        <w:lang w:val="fr-FR" w:eastAsia="ja-JP"/>
      </w:rPr>
      <w:drawing>
        <wp:anchor distT="0" distB="0" distL="114300" distR="114300" simplePos="0" relativeHeight="251660288" behindDoc="0" locked="0" layoutInCell="1" allowOverlap="1" wp14:anchorId="5C1551C6" wp14:editId="38EEF578">
          <wp:simplePos x="0" y="0"/>
          <wp:positionH relativeFrom="column">
            <wp:posOffset>2280920</wp:posOffset>
          </wp:positionH>
          <wp:positionV relativeFrom="paragraph">
            <wp:posOffset>116840</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Pr="00877321">
      <w:rPr>
        <w:rFonts w:ascii="Arial" w:hAnsi="Arial" w:cs="Arial"/>
        <w:noProof/>
        <w:sz w:val="16"/>
        <w:szCs w:val="16"/>
        <w:lang w:val="fr-FR" w:eastAsia="ja-JP"/>
      </w:rPr>
      <w:drawing>
        <wp:anchor distT="0" distB="0" distL="114300" distR="114300" simplePos="0" relativeHeight="251659264" behindDoc="0" locked="0" layoutInCell="1" allowOverlap="1" wp14:anchorId="424BBC95" wp14:editId="6E8E7E9C">
          <wp:simplePos x="0" y="0"/>
          <wp:positionH relativeFrom="column">
            <wp:posOffset>4776721</wp:posOffset>
          </wp:positionH>
          <wp:positionV relativeFrom="paragraph">
            <wp:posOffset>-229450</wp:posOffset>
          </wp:positionV>
          <wp:extent cx="986790" cy="605155"/>
          <wp:effectExtent l="0" t="0" r="381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2">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16"/>
        <w:szCs w:val="16"/>
        <w:lang w:val="fr-FR"/>
      </w:rPr>
      <w:t>U057</w:t>
    </w:r>
    <w:r w:rsidRPr="00877321">
      <w:rPr>
        <w:rFonts w:ascii="Arial" w:hAnsi="Arial" w:cs="Arial"/>
        <w:sz w:val="16"/>
        <w:szCs w:val="16"/>
        <w:lang w:val="fr-FR"/>
      </w:rPr>
      <w:t>-v1.0-FN EN</w:t>
    </w:r>
    <w:r w:rsidRPr="00877321">
      <w:rPr>
        <w:rFonts w:ascii="Arial" w:hAnsi="Arial" w:cs="Arial"/>
        <w:sz w:val="16"/>
        <w:szCs w:val="16"/>
        <w:lang w:val="fr-FR"/>
      </w:rPr>
      <w:tab/>
    </w:r>
    <w:r w:rsidRPr="00877321">
      <w:rPr>
        <w:rFonts w:ascii="Arial" w:hAnsi="Arial" w:cs="Arial"/>
        <w:sz w:val="16"/>
        <w:szCs w:val="16"/>
        <w:lang w:val="fr-FR"/>
      </w:rPr>
      <w:tab/>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59B18" w14:textId="77777777" w:rsidR="00F5646B" w:rsidRDefault="00F5646B" w:rsidP="00C13EA7">
      <w:pPr>
        <w:spacing w:after="0" w:line="240" w:lineRule="auto"/>
      </w:pPr>
      <w:r>
        <w:separator/>
      </w:r>
    </w:p>
  </w:footnote>
  <w:footnote w:type="continuationSeparator" w:id="0">
    <w:p w14:paraId="3E6DF3F5" w14:textId="77777777" w:rsidR="00F5646B" w:rsidRDefault="00F5646B" w:rsidP="00C13EA7">
      <w:pPr>
        <w:spacing w:after="0" w:line="240" w:lineRule="auto"/>
      </w:pPr>
      <w:r>
        <w:continuationSeparator/>
      </w:r>
    </w:p>
  </w:footnote>
  <w:footnote w:id="1">
    <w:p w14:paraId="6B9C28BF" w14:textId="77777777" w:rsidR="00CD03DF" w:rsidRPr="004861AA" w:rsidRDefault="00CD03DF" w:rsidP="00AC75B0">
      <w:pPr>
        <w:pStyle w:val="FootnoteText"/>
        <w:rPr>
          <w:rFonts w:ascii="Arial" w:hAnsi="Arial" w:cs="Arial"/>
          <w:sz w:val="16"/>
          <w:szCs w:val="16"/>
        </w:rPr>
      </w:pPr>
      <w:r w:rsidRPr="00B47020">
        <w:rPr>
          <w:rStyle w:val="FootnoteReference"/>
          <w:rFonts w:ascii="Arial" w:hAnsi="Arial" w:cs="Arial"/>
          <w:sz w:val="16"/>
          <w:szCs w:val="16"/>
          <w:vertAlign w:val="baseline"/>
        </w:rPr>
        <w:footnoteRef/>
      </w:r>
      <w:r w:rsidRPr="00B47020">
        <w:rPr>
          <w:rFonts w:ascii="Arial" w:hAnsi="Arial" w:cs="Arial"/>
          <w:sz w:val="16"/>
          <w:szCs w:val="16"/>
        </w:rPr>
        <w:t xml:space="preserve"> </w:t>
      </w:r>
      <w:r>
        <w:rPr>
          <w:rFonts w:ascii="Arial" w:hAnsi="Arial" w:cs="Arial"/>
          <w:sz w:val="16"/>
          <w:szCs w:val="16"/>
        </w:rPr>
        <w:tab/>
      </w:r>
      <w:r w:rsidRPr="004861AA">
        <w:rPr>
          <w:rFonts w:ascii="Arial" w:hAnsi="Arial" w:cs="Arial"/>
          <w:sz w:val="16"/>
          <w:szCs w:val="16"/>
        </w:rPr>
        <w:t xml:space="preserve">The original version of this form was used from 2011-18. The new online version is to </w:t>
      </w:r>
      <w:proofErr w:type="gramStart"/>
      <w:r w:rsidRPr="004861AA">
        <w:rPr>
          <w:rFonts w:ascii="Arial" w:hAnsi="Arial" w:cs="Arial"/>
          <w:sz w:val="16"/>
          <w:szCs w:val="16"/>
        </w:rPr>
        <w:t>be used</w:t>
      </w:r>
      <w:proofErr w:type="gramEnd"/>
      <w:r w:rsidRPr="004861AA">
        <w:rPr>
          <w:rFonts w:ascii="Arial" w:hAnsi="Arial" w:cs="Arial"/>
          <w:sz w:val="16"/>
          <w:szCs w:val="16"/>
        </w:rPr>
        <w:t xml:space="preserve"> from 2020.</w:t>
      </w:r>
    </w:p>
  </w:footnote>
  <w:footnote w:id="2">
    <w:p w14:paraId="09854F32" w14:textId="77777777" w:rsidR="00390F36" w:rsidRPr="008463D4" w:rsidRDefault="00390F36" w:rsidP="00390F36">
      <w:pPr>
        <w:pStyle w:val="FootnoteText"/>
        <w:spacing w:after="0"/>
      </w:pPr>
      <w:r w:rsidRPr="00FF3EFA">
        <w:rPr>
          <w:rStyle w:val="FootnoteReference"/>
          <w:rFonts w:ascii="Arial" w:hAnsi="Arial" w:cs="Arial"/>
          <w:sz w:val="16"/>
          <w:szCs w:val="16"/>
          <w:vertAlign w:val="baseline"/>
        </w:rPr>
        <w:footnoteRef/>
      </w:r>
      <w:r>
        <w:rPr>
          <w:rStyle w:val="FootnoteReference"/>
          <w:rFonts w:ascii="Arial" w:hAnsi="Arial" w:cs="Arial"/>
          <w:sz w:val="16"/>
          <w:szCs w:val="16"/>
          <w:vertAlign w:val="baseline"/>
        </w:rPr>
        <w:tab/>
      </w:r>
      <w:r w:rsidRPr="00FF3EFA">
        <w:rPr>
          <w:rStyle w:val="FootnoteReference"/>
          <w:rFonts w:ascii="Arial" w:hAnsi="Arial" w:cs="Arial"/>
          <w:sz w:val="16"/>
          <w:szCs w:val="16"/>
          <w:vertAlign w:val="baseline"/>
        </w:rPr>
        <w:t>https://ich.unesco.org/en/committee-documents-and-in-depth-studies-00862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F1DE9" w14:textId="0C1B59B3" w:rsidR="00CD03DF" w:rsidRPr="00A50D12" w:rsidRDefault="00CD03DF" w:rsidP="00A50D12">
    <w:pPr>
      <w:pStyle w:val="Header"/>
      <w:rPr>
        <w:rFonts w:ascii="Arial" w:hAnsi="Arial" w:cs="Arial"/>
        <w:sz w:val="16"/>
        <w:szCs w:val="16"/>
        <w:lang w:val="en-US"/>
      </w:rPr>
    </w:pPr>
    <w:r w:rsidRPr="00A50D12">
      <w:rPr>
        <w:rFonts w:ascii="Arial" w:hAnsi="Arial" w:cs="Arial"/>
        <w:sz w:val="16"/>
        <w:szCs w:val="16"/>
      </w:rPr>
      <w:fldChar w:fldCharType="begin"/>
    </w:r>
    <w:r w:rsidRPr="00A50D12">
      <w:rPr>
        <w:rFonts w:ascii="Arial" w:hAnsi="Arial" w:cs="Arial"/>
        <w:sz w:val="16"/>
        <w:szCs w:val="16"/>
        <w:lang w:val="en-US"/>
      </w:rPr>
      <w:instrText>PAGE   \* MERGEFORMAT</w:instrText>
    </w:r>
    <w:r w:rsidRPr="00A50D12">
      <w:rPr>
        <w:rFonts w:ascii="Arial" w:hAnsi="Arial" w:cs="Arial"/>
        <w:sz w:val="16"/>
        <w:szCs w:val="16"/>
      </w:rPr>
      <w:fldChar w:fldCharType="separate"/>
    </w:r>
    <w:r w:rsidR="00595592">
      <w:rPr>
        <w:rFonts w:ascii="Arial" w:hAnsi="Arial" w:cs="Arial"/>
        <w:noProof/>
        <w:sz w:val="16"/>
        <w:szCs w:val="16"/>
        <w:lang w:val="en-US"/>
      </w:rPr>
      <w:t>11</w:t>
    </w:r>
    <w:r w:rsidRPr="00A50D12">
      <w:rPr>
        <w:rFonts w:ascii="Arial" w:hAnsi="Arial" w:cs="Arial"/>
        <w:sz w:val="16"/>
        <w:szCs w:val="16"/>
      </w:rPr>
      <w:fldChar w:fldCharType="end"/>
    </w:r>
    <w:r w:rsidRPr="00A50D12">
      <w:rPr>
        <w:rFonts w:ascii="Arial" w:hAnsi="Arial" w:cs="Arial"/>
        <w:sz w:val="16"/>
        <w:szCs w:val="16"/>
      </w:rPr>
      <w:ptab w:relativeTo="margin" w:alignment="center" w:leader="none"/>
    </w:r>
    <w:r w:rsidRPr="00A50D12">
      <w:rPr>
        <w:rFonts w:ascii="Arial" w:hAnsi="Arial" w:cs="Arial"/>
        <w:sz w:val="16"/>
        <w:szCs w:val="16"/>
        <w:lang w:val="en-US"/>
      </w:rPr>
      <w:t xml:space="preserve"> Unit 5</w:t>
    </w:r>
    <w:r>
      <w:rPr>
        <w:rFonts w:ascii="Arial" w:hAnsi="Arial" w:cs="Arial"/>
        <w:sz w:val="16"/>
        <w:szCs w:val="16"/>
        <w:lang w:val="en-US"/>
      </w:rPr>
      <w:t>7</w:t>
    </w:r>
    <w:r w:rsidRPr="00A50D12">
      <w:rPr>
        <w:rFonts w:ascii="Arial" w:hAnsi="Arial" w:cs="Arial"/>
        <w:sz w:val="16"/>
        <w:szCs w:val="16"/>
        <w:lang w:val="en-US"/>
      </w:rPr>
      <w:t xml:space="preserve">: </w:t>
    </w:r>
    <w:r>
      <w:rPr>
        <w:rStyle w:val="hps"/>
        <w:rFonts w:ascii="Arial" w:hAnsi="Arial" w:cs="Arial"/>
        <w:sz w:val="16"/>
        <w:szCs w:val="16"/>
        <w:lang w:val="en-US"/>
      </w:rPr>
      <w:t>Introducing periodic reporting</w:t>
    </w:r>
    <w:r w:rsidRPr="00A50D12">
      <w:rPr>
        <w:rStyle w:val="PageNumber"/>
        <w:rFonts w:ascii="Arial" w:hAnsi="Arial" w:cs="Arial"/>
        <w:sz w:val="16"/>
        <w:szCs w:val="16"/>
        <w:lang w:val="en-US"/>
      </w:rPr>
      <w:tab/>
      <w:t>Facilitator’s notes</w:t>
    </w:r>
  </w:p>
  <w:p w14:paraId="7DEB5B1E" w14:textId="77777777" w:rsidR="00CD03DF" w:rsidRPr="00A50D12" w:rsidRDefault="00CD03DF" w:rsidP="00A50D12">
    <w:pPr>
      <w:pStyle w:val="Header"/>
      <w:rPr>
        <w:rFonts w:ascii="Arial" w:hAnsi="Arial" w:cs="Arial"/>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708"/>
    <w:multiLevelType w:val="hybridMultilevel"/>
    <w:tmpl w:val="6850582E"/>
    <w:lvl w:ilvl="0" w:tplc="4978CE52">
      <w:start w:val="1"/>
      <w:numFmt w:val="bullet"/>
      <w:pStyle w:val="Upuce"/>
      <w:lvlText w:val=""/>
      <w:lvlJc w:val="left"/>
      <w:pPr>
        <w:ind w:left="36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683361"/>
    <w:multiLevelType w:val="hybridMultilevel"/>
    <w:tmpl w:val="A6AA3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A0346"/>
    <w:multiLevelType w:val="hybridMultilevel"/>
    <w:tmpl w:val="6EA8A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AD0E78"/>
    <w:multiLevelType w:val="hybridMultilevel"/>
    <w:tmpl w:val="8C6A30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97A4DB1"/>
    <w:multiLevelType w:val="hybridMultilevel"/>
    <w:tmpl w:val="3006DECA"/>
    <w:lvl w:ilvl="0" w:tplc="2A3EDD4C">
      <w:start w:val="1"/>
      <w:numFmt w:val="decimal"/>
      <w:pStyle w:val="COMParaDecision"/>
      <w:lvlText w:val="%1."/>
      <w:lvlJc w:val="left"/>
      <w:pPr>
        <w:ind w:left="360" w:hanging="360"/>
      </w:pPr>
      <w:rPr>
        <w:rFonts w:hint="default"/>
        <w:b w:val="0"/>
      </w:r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E78512A"/>
    <w:multiLevelType w:val="hybridMultilevel"/>
    <w:tmpl w:val="5FB2ACF8"/>
    <w:lvl w:ilvl="0" w:tplc="3D7C4236">
      <w:start w:val="1"/>
      <w:numFmt w:val="bullet"/>
      <w:pStyle w:val="Txtpucegras"/>
      <w:lvlText w:val=""/>
      <w:lvlJc w:val="left"/>
      <w:pPr>
        <w:tabs>
          <w:tab w:val="num" w:pos="851"/>
        </w:tabs>
        <w:ind w:left="851" w:hanging="284"/>
      </w:pPr>
      <w:rPr>
        <w:rFonts w:ascii="Symbol" w:hAnsi="Symbol" w:hint="default"/>
      </w:rPr>
    </w:lvl>
    <w:lvl w:ilvl="1" w:tplc="040C0003">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7" w15:restartNumberingAfterBreak="0">
    <w:nsid w:val="40F25615"/>
    <w:multiLevelType w:val="hybridMultilevel"/>
    <w:tmpl w:val="1F2A1832"/>
    <w:lvl w:ilvl="0" w:tplc="F462E874">
      <w:start w:val="5"/>
      <w:numFmt w:val="bullet"/>
      <w:lvlText w:val="-"/>
      <w:lvlJc w:val="left"/>
      <w:pPr>
        <w:ind w:left="108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7831D8"/>
    <w:multiLevelType w:val="hybridMultilevel"/>
    <w:tmpl w:val="CFEC4F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2A03D0"/>
    <w:multiLevelType w:val="hybridMultilevel"/>
    <w:tmpl w:val="DF347E1C"/>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5CAA2C72"/>
    <w:multiLevelType w:val="hybridMultilevel"/>
    <w:tmpl w:val="42E22EC8"/>
    <w:lvl w:ilvl="0" w:tplc="75DC0A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FE4C02"/>
    <w:multiLevelType w:val="hybridMultilevel"/>
    <w:tmpl w:val="66F651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342DBA"/>
    <w:multiLevelType w:val="hybridMultilevel"/>
    <w:tmpl w:val="00FACFA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3369FE"/>
    <w:multiLevelType w:val="hybridMultilevel"/>
    <w:tmpl w:val="E4C01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FD267A"/>
    <w:multiLevelType w:val="hybridMultilevel"/>
    <w:tmpl w:val="438E1A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806195"/>
    <w:multiLevelType w:val="hybridMultilevel"/>
    <w:tmpl w:val="B07C1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0845C0"/>
    <w:multiLevelType w:val="hybridMultilevel"/>
    <w:tmpl w:val="4B30FE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num>
  <w:num w:numId="4">
    <w:abstractNumId w:val="5"/>
  </w:num>
  <w:num w:numId="5">
    <w:abstractNumId w:val="6"/>
  </w:num>
  <w:num w:numId="6">
    <w:abstractNumId w:val="1"/>
  </w:num>
  <w:num w:numId="7">
    <w:abstractNumId w:val="9"/>
  </w:num>
  <w:num w:numId="8">
    <w:abstractNumId w:val="7"/>
  </w:num>
  <w:num w:numId="9">
    <w:abstractNumId w:val="3"/>
  </w:num>
  <w:num w:numId="10">
    <w:abstractNumId w:val="13"/>
  </w:num>
  <w:num w:numId="11">
    <w:abstractNumId w:val="10"/>
  </w:num>
  <w:num w:numId="12">
    <w:abstractNumId w:val="14"/>
  </w:num>
  <w:num w:numId="13">
    <w:abstractNumId w:val="15"/>
  </w:num>
  <w:num w:numId="14">
    <w:abstractNumId w:val="8"/>
  </w:num>
  <w:num w:numId="15">
    <w:abstractNumId w:val="4"/>
  </w:num>
  <w:num w:numId="16">
    <w:abstractNumId w:val="16"/>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EA7"/>
    <w:rsid w:val="00010627"/>
    <w:rsid w:val="00015067"/>
    <w:rsid w:val="00016582"/>
    <w:rsid w:val="000270C2"/>
    <w:rsid w:val="00037730"/>
    <w:rsid w:val="00045AF1"/>
    <w:rsid w:val="00053FDA"/>
    <w:rsid w:val="0006278D"/>
    <w:rsid w:val="00074A5F"/>
    <w:rsid w:val="000761FB"/>
    <w:rsid w:val="00082A7E"/>
    <w:rsid w:val="000868CA"/>
    <w:rsid w:val="000A0AE1"/>
    <w:rsid w:val="000A1F80"/>
    <w:rsid w:val="000A2A3B"/>
    <w:rsid w:val="000A67FA"/>
    <w:rsid w:val="000B7258"/>
    <w:rsid w:val="000C4134"/>
    <w:rsid w:val="000E6051"/>
    <w:rsid w:val="00117F5E"/>
    <w:rsid w:val="00121242"/>
    <w:rsid w:val="001248EE"/>
    <w:rsid w:val="00132BA6"/>
    <w:rsid w:val="0013551D"/>
    <w:rsid w:val="00141E74"/>
    <w:rsid w:val="00150049"/>
    <w:rsid w:val="001565CC"/>
    <w:rsid w:val="00180DEF"/>
    <w:rsid w:val="001913D9"/>
    <w:rsid w:val="00193CB8"/>
    <w:rsid w:val="00194997"/>
    <w:rsid w:val="001A02A4"/>
    <w:rsid w:val="001C69A7"/>
    <w:rsid w:val="001D555A"/>
    <w:rsid w:val="00203C48"/>
    <w:rsid w:val="0021079E"/>
    <w:rsid w:val="00221084"/>
    <w:rsid w:val="002324B7"/>
    <w:rsid w:val="0023264A"/>
    <w:rsid w:val="002362A2"/>
    <w:rsid w:val="00274A22"/>
    <w:rsid w:val="00280B70"/>
    <w:rsid w:val="00283424"/>
    <w:rsid w:val="00286F3C"/>
    <w:rsid w:val="00297751"/>
    <w:rsid w:val="002A235C"/>
    <w:rsid w:val="002A5830"/>
    <w:rsid w:val="002A66A3"/>
    <w:rsid w:val="002B799B"/>
    <w:rsid w:val="002C3C86"/>
    <w:rsid w:val="002C71DC"/>
    <w:rsid w:val="002D1C40"/>
    <w:rsid w:val="002D3455"/>
    <w:rsid w:val="002D3E2C"/>
    <w:rsid w:val="002E5F48"/>
    <w:rsid w:val="002E721B"/>
    <w:rsid w:val="00304B2E"/>
    <w:rsid w:val="00311E71"/>
    <w:rsid w:val="00313B10"/>
    <w:rsid w:val="00324559"/>
    <w:rsid w:val="00346A34"/>
    <w:rsid w:val="00355947"/>
    <w:rsid w:val="00357EFB"/>
    <w:rsid w:val="00360DFF"/>
    <w:rsid w:val="00370A81"/>
    <w:rsid w:val="00370E14"/>
    <w:rsid w:val="00374FE4"/>
    <w:rsid w:val="00380DD8"/>
    <w:rsid w:val="00382990"/>
    <w:rsid w:val="00383145"/>
    <w:rsid w:val="00390F36"/>
    <w:rsid w:val="00392C2D"/>
    <w:rsid w:val="00394CEF"/>
    <w:rsid w:val="00395C44"/>
    <w:rsid w:val="003A0EFE"/>
    <w:rsid w:val="003A362E"/>
    <w:rsid w:val="003A39C2"/>
    <w:rsid w:val="003A3A05"/>
    <w:rsid w:val="003A3F7A"/>
    <w:rsid w:val="003B29F7"/>
    <w:rsid w:val="003C139C"/>
    <w:rsid w:val="003C15DD"/>
    <w:rsid w:val="003C71CE"/>
    <w:rsid w:val="003C7B24"/>
    <w:rsid w:val="003D4050"/>
    <w:rsid w:val="003D44B1"/>
    <w:rsid w:val="003D612B"/>
    <w:rsid w:val="003F0784"/>
    <w:rsid w:val="003F20DA"/>
    <w:rsid w:val="003F7A1D"/>
    <w:rsid w:val="00400CDB"/>
    <w:rsid w:val="00406E87"/>
    <w:rsid w:val="00430CDA"/>
    <w:rsid w:val="004338B2"/>
    <w:rsid w:val="0045267D"/>
    <w:rsid w:val="00474565"/>
    <w:rsid w:val="00485FC7"/>
    <w:rsid w:val="004861AA"/>
    <w:rsid w:val="0049206E"/>
    <w:rsid w:val="004A42E8"/>
    <w:rsid w:val="004A5BBE"/>
    <w:rsid w:val="004A68A9"/>
    <w:rsid w:val="004A7E60"/>
    <w:rsid w:val="004B24EC"/>
    <w:rsid w:val="004C2068"/>
    <w:rsid w:val="004C4142"/>
    <w:rsid w:val="004D381D"/>
    <w:rsid w:val="004E4945"/>
    <w:rsid w:val="004F12EE"/>
    <w:rsid w:val="004F3A8E"/>
    <w:rsid w:val="00504A34"/>
    <w:rsid w:val="00512591"/>
    <w:rsid w:val="00512FF6"/>
    <w:rsid w:val="00515532"/>
    <w:rsid w:val="00524218"/>
    <w:rsid w:val="005479BB"/>
    <w:rsid w:val="00547C66"/>
    <w:rsid w:val="00552C28"/>
    <w:rsid w:val="00552E05"/>
    <w:rsid w:val="0055611E"/>
    <w:rsid w:val="00565B8E"/>
    <w:rsid w:val="0056602F"/>
    <w:rsid w:val="00567B0A"/>
    <w:rsid w:val="0057370A"/>
    <w:rsid w:val="005739E2"/>
    <w:rsid w:val="00573FCC"/>
    <w:rsid w:val="005771B8"/>
    <w:rsid w:val="00580769"/>
    <w:rsid w:val="00595592"/>
    <w:rsid w:val="005972C1"/>
    <w:rsid w:val="005A0E10"/>
    <w:rsid w:val="005B3350"/>
    <w:rsid w:val="005C6A12"/>
    <w:rsid w:val="005D19A0"/>
    <w:rsid w:val="005D7F0E"/>
    <w:rsid w:val="005E6FC0"/>
    <w:rsid w:val="005F360B"/>
    <w:rsid w:val="005F5416"/>
    <w:rsid w:val="00607910"/>
    <w:rsid w:val="006342A4"/>
    <w:rsid w:val="0064380F"/>
    <w:rsid w:val="006532CF"/>
    <w:rsid w:val="006637E8"/>
    <w:rsid w:val="006721E1"/>
    <w:rsid w:val="00675604"/>
    <w:rsid w:val="00681B4A"/>
    <w:rsid w:val="00693E91"/>
    <w:rsid w:val="006B6CC5"/>
    <w:rsid w:val="006D2AD1"/>
    <w:rsid w:val="006D5E84"/>
    <w:rsid w:val="006E24B4"/>
    <w:rsid w:val="006F4139"/>
    <w:rsid w:val="006F73F1"/>
    <w:rsid w:val="00700EA6"/>
    <w:rsid w:val="0070679B"/>
    <w:rsid w:val="00706F5B"/>
    <w:rsid w:val="007260F3"/>
    <w:rsid w:val="00737F5A"/>
    <w:rsid w:val="00743A64"/>
    <w:rsid w:val="007571BE"/>
    <w:rsid w:val="00764ADF"/>
    <w:rsid w:val="0077537D"/>
    <w:rsid w:val="0078037E"/>
    <w:rsid w:val="007917C6"/>
    <w:rsid w:val="00793806"/>
    <w:rsid w:val="00794FA2"/>
    <w:rsid w:val="0079547E"/>
    <w:rsid w:val="007B0985"/>
    <w:rsid w:val="007B26BA"/>
    <w:rsid w:val="007E5B4A"/>
    <w:rsid w:val="007E791C"/>
    <w:rsid w:val="007F4E7B"/>
    <w:rsid w:val="00824AB3"/>
    <w:rsid w:val="00824EC7"/>
    <w:rsid w:val="00830E63"/>
    <w:rsid w:val="00834A2B"/>
    <w:rsid w:val="00843172"/>
    <w:rsid w:val="008454D3"/>
    <w:rsid w:val="008463D4"/>
    <w:rsid w:val="00847F13"/>
    <w:rsid w:val="008552D9"/>
    <w:rsid w:val="0086438C"/>
    <w:rsid w:val="0086635C"/>
    <w:rsid w:val="008670FA"/>
    <w:rsid w:val="008677AF"/>
    <w:rsid w:val="00871D57"/>
    <w:rsid w:val="00872391"/>
    <w:rsid w:val="00872FA8"/>
    <w:rsid w:val="008806D4"/>
    <w:rsid w:val="008A0070"/>
    <w:rsid w:val="008A31FB"/>
    <w:rsid w:val="008B4F69"/>
    <w:rsid w:val="008B6BF6"/>
    <w:rsid w:val="008D11DF"/>
    <w:rsid w:val="008D25A4"/>
    <w:rsid w:val="008E4906"/>
    <w:rsid w:val="008E4EC8"/>
    <w:rsid w:val="008E6ACB"/>
    <w:rsid w:val="008F25C2"/>
    <w:rsid w:val="00900D22"/>
    <w:rsid w:val="00911D76"/>
    <w:rsid w:val="00921801"/>
    <w:rsid w:val="00930DF1"/>
    <w:rsid w:val="00953D4D"/>
    <w:rsid w:val="00957195"/>
    <w:rsid w:val="00960919"/>
    <w:rsid w:val="00961666"/>
    <w:rsid w:val="00961850"/>
    <w:rsid w:val="00970528"/>
    <w:rsid w:val="00982651"/>
    <w:rsid w:val="009901F9"/>
    <w:rsid w:val="009A0247"/>
    <w:rsid w:val="009D3759"/>
    <w:rsid w:val="009D62BE"/>
    <w:rsid w:val="009D6DC4"/>
    <w:rsid w:val="009E2538"/>
    <w:rsid w:val="009F796B"/>
    <w:rsid w:val="00A0252F"/>
    <w:rsid w:val="00A11619"/>
    <w:rsid w:val="00A11810"/>
    <w:rsid w:val="00A216EC"/>
    <w:rsid w:val="00A27336"/>
    <w:rsid w:val="00A36AF7"/>
    <w:rsid w:val="00A41559"/>
    <w:rsid w:val="00A429BB"/>
    <w:rsid w:val="00A434C8"/>
    <w:rsid w:val="00A50D12"/>
    <w:rsid w:val="00A64FC9"/>
    <w:rsid w:val="00A7273A"/>
    <w:rsid w:val="00AC3AF7"/>
    <w:rsid w:val="00AC75B0"/>
    <w:rsid w:val="00AC75D6"/>
    <w:rsid w:val="00AD7F89"/>
    <w:rsid w:val="00AE101A"/>
    <w:rsid w:val="00AE145A"/>
    <w:rsid w:val="00AF0F26"/>
    <w:rsid w:val="00AF31CD"/>
    <w:rsid w:val="00AF54C5"/>
    <w:rsid w:val="00B03F8C"/>
    <w:rsid w:val="00B110FB"/>
    <w:rsid w:val="00B13B3F"/>
    <w:rsid w:val="00B16D85"/>
    <w:rsid w:val="00B1775D"/>
    <w:rsid w:val="00B21625"/>
    <w:rsid w:val="00B3283F"/>
    <w:rsid w:val="00B369C0"/>
    <w:rsid w:val="00B425EC"/>
    <w:rsid w:val="00B47020"/>
    <w:rsid w:val="00B553F9"/>
    <w:rsid w:val="00B55A33"/>
    <w:rsid w:val="00B62593"/>
    <w:rsid w:val="00B673A7"/>
    <w:rsid w:val="00B74B32"/>
    <w:rsid w:val="00B7522F"/>
    <w:rsid w:val="00B77DDE"/>
    <w:rsid w:val="00B8740A"/>
    <w:rsid w:val="00B92EF4"/>
    <w:rsid w:val="00B9430D"/>
    <w:rsid w:val="00B97460"/>
    <w:rsid w:val="00BA752C"/>
    <w:rsid w:val="00BC33B7"/>
    <w:rsid w:val="00BD6D27"/>
    <w:rsid w:val="00BE18ED"/>
    <w:rsid w:val="00BF2322"/>
    <w:rsid w:val="00BF2D3D"/>
    <w:rsid w:val="00C0605F"/>
    <w:rsid w:val="00C0684F"/>
    <w:rsid w:val="00C10172"/>
    <w:rsid w:val="00C13EA7"/>
    <w:rsid w:val="00C17639"/>
    <w:rsid w:val="00C21609"/>
    <w:rsid w:val="00C24345"/>
    <w:rsid w:val="00C322E0"/>
    <w:rsid w:val="00C3386A"/>
    <w:rsid w:val="00C41D7F"/>
    <w:rsid w:val="00C426FB"/>
    <w:rsid w:val="00C543B4"/>
    <w:rsid w:val="00C54C6F"/>
    <w:rsid w:val="00C6028E"/>
    <w:rsid w:val="00C62EEA"/>
    <w:rsid w:val="00C75D43"/>
    <w:rsid w:val="00C92B01"/>
    <w:rsid w:val="00C937A9"/>
    <w:rsid w:val="00C96976"/>
    <w:rsid w:val="00CA2D52"/>
    <w:rsid w:val="00CA3247"/>
    <w:rsid w:val="00CA5C28"/>
    <w:rsid w:val="00CC6CB8"/>
    <w:rsid w:val="00CC7563"/>
    <w:rsid w:val="00CD03DF"/>
    <w:rsid w:val="00CD3C1C"/>
    <w:rsid w:val="00CD770E"/>
    <w:rsid w:val="00CE6401"/>
    <w:rsid w:val="00CF5B99"/>
    <w:rsid w:val="00D047C1"/>
    <w:rsid w:val="00D073F8"/>
    <w:rsid w:val="00D115DE"/>
    <w:rsid w:val="00D14C07"/>
    <w:rsid w:val="00D21315"/>
    <w:rsid w:val="00D234AB"/>
    <w:rsid w:val="00D308DE"/>
    <w:rsid w:val="00D42442"/>
    <w:rsid w:val="00D53A6A"/>
    <w:rsid w:val="00D6492E"/>
    <w:rsid w:val="00D74E5F"/>
    <w:rsid w:val="00D81607"/>
    <w:rsid w:val="00D97D2F"/>
    <w:rsid w:val="00DA4791"/>
    <w:rsid w:val="00DC0BBB"/>
    <w:rsid w:val="00DD5334"/>
    <w:rsid w:val="00DE5641"/>
    <w:rsid w:val="00DF3151"/>
    <w:rsid w:val="00DF4526"/>
    <w:rsid w:val="00E12BA2"/>
    <w:rsid w:val="00E169E0"/>
    <w:rsid w:val="00E17EF7"/>
    <w:rsid w:val="00E2768F"/>
    <w:rsid w:val="00E40FDE"/>
    <w:rsid w:val="00E43A2A"/>
    <w:rsid w:val="00E43BE3"/>
    <w:rsid w:val="00E61E59"/>
    <w:rsid w:val="00E706A2"/>
    <w:rsid w:val="00E7077B"/>
    <w:rsid w:val="00E72067"/>
    <w:rsid w:val="00E75AEC"/>
    <w:rsid w:val="00E970D3"/>
    <w:rsid w:val="00E97E28"/>
    <w:rsid w:val="00EA1004"/>
    <w:rsid w:val="00EA7033"/>
    <w:rsid w:val="00EB58CF"/>
    <w:rsid w:val="00EC7765"/>
    <w:rsid w:val="00ED20D7"/>
    <w:rsid w:val="00ED3E9C"/>
    <w:rsid w:val="00EE0643"/>
    <w:rsid w:val="00EF4973"/>
    <w:rsid w:val="00F06129"/>
    <w:rsid w:val="00F132CA"/>
    <w:rsid w:val="00F211E4"/>
    <w:rsid w:val="00F22B68"/>
    <w:rsid w:val="00F26FA2"/>
    <w:rsid w:val="00F3230C"/>
    <w:rsid w:val="00F355E8"/>
    <w:rsid w:val="00F43CCA"/>
    <w:rsid w:val="00F515B2"/>
    <w:rsid w:val="00F5646B"/>
    <w:rsid w:val="00F61955"/>
    <w:rsid w:val="00F85FCF"/>
    <w:rsid w:val="00F878EA"/>
    <w:rsid w:val="00F90403"/>
    <w:rsid w:val="00F9451C"/>
    <w:rsid w:val="00F948F0"/>
    <w:rsid w:val="00F9520C"/>
    <w:rsid w:val="00FA02AB"/>
    <w:rsid w:val="00FA45D8"/>
    <w:rsid w:val="00FD37A8"/>
    <w:rsid w:val="00FD47F5"/>
    <w:rsid w:val="00FD66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CD9B6"/>
  <w15:docId w15:val="{E47E52C5-8FE2-42C0-9E24-1DA45A28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EA7"/>
  </w:style>
  <w:style w:type="paragraph" w:styleId="Heading1">
    <w:name w:val="heading 1"/>
    <w:basedOn w:val="Normal"/>
    <w:next w:val="Normal"/>
    <w:link w:val="Heading1Char"/>
    <w:uiPriority w:val="9"/>
    <w:qFormat/>
    <w:rsid w:val="00C13E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13EA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13EA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rsid w:val="00C13EA7"/>
    <w:pPr>
      <w:keepNext/>
      <w:keepLines/>
      <w:spacing w:before="480" w:after="60" w:line="300" w:lineRule="exact"/>
      <w:outlineLvl w:val="5"/>
    </w:pPr>
    <w:rPr>
      <w:rFonts w:ascii="Arial" w:eastAsia="SimSun" w:hAnsi="Arial" w:cs="Times New Roman"/>
      <w:b/>
      <w:bCs/>
      <w:caps/>
      <w:color w:val="008000"/>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13EA7"/>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rsid w:val="00C13EA7"/>
    <w:rPr>
      <w:rFonts w:ascii="Arial" w:eastAsia="SimSun" w:hAnsi="Arial" w:cs="Times New Roman"/>
      <w:b/>
      <w:bCs/>
      <w:caps/>
      <w:color w:val="008000"/>
      <w:sz w:val="24"/>
      <w:lang w:val="it-IT"/>
    </w:rPr>
  </w:style>
  <w:style w:type="paragraph" w:customStyle="1" w:styleId="Titcoul">
    <w:name w:val="Titcoul"/>
    <w:basedOn w:val="Heading1"/>
    <w:link w:val="TitcoulCar"/>
    <w:rsid w:val="00C13EA7"/>
    <w:pPr>
      <w:tabs>
        <w:tab w:val="left" w:pos="567"/>
      </w:tabs>
      <w:snapToGrid w:val="0"/>
      <w:spacing w:after="480" w:line="480" w:lineRule="exact"/>
    </w:pPr>
    <w:rPr>
      <w:rFonts w:ascii="Arial" w:eastAsia="Times New Roman" w:hAnsi="Arial" w:cs="Arial"/>
      <w:caps/>
      <w:noProof/>
      <w:snapToGrid w:val="0"/>
      <w:color w:val="3366FF"/>
      <w:kern w:val="28"/>
      <w:sz w:val="32"/>
      <w:szCs w:val="32"/>
      <w:lang w:eastAsia="zh-CN"/>
    </w:rPr>
  </w:style>
  <w:style w:type="character" w:customStyle="1" w:styleId="TitcoulCar">
    <w:name w:val="Titcoul Car"/>
    <w:link w:val="Titcoul"/>
    <w:rsid w:val="00C13EA7"/>
    <w:rPr>
      <w:rFonts w:ascii="Arial" w:eastAsia="Times New Roman" w:hAnsi="Arial" w:cs="Arial"/>
      <w:b/>
      <w:bCs/>
      <w:caps/>
      <w:noProof/>
      <w:snapToGrid w:val="0"/>
      <w:color w:val="3366FF"/>
      <w:kern w:val="28"/>
      <w:sz w:val="32"/>
      <w:szCs w:val="32"/>
      <w:lang w:eastAsia="zh-CN"/>
    </w:rPr>
  </w:style>
  <w:style w:type="paragraph" w:customStyle="1" w:styleId="Chapitre">
    <w:name w:val="Chapitre"/>
    <w:basedOn w:val="Heading1"/>
    <w:link w:val="ChapitreCar"/>
    <w:rsid w:val="00C13EA7"/>
    <w:p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eastAsia="zh-CN"/>
    </w:rPr>
  </w:style>
  <w:style w:type="character" w:customStyle="1" w:styleId="ChapitreCar">
    <w:name w:val="Chapitre Car"/>
    <w:link w:val="Chapitre"/>
    <w:rsid w:val="00C13EA7"/>
    <w:rPr>
      <w:rFonts w:ascii="Arial" w:eastAsia="Times New Roman" w:hAnsi="Arial" w:cs="Arial"/>
      <w:b/>
      <w:bCs/>
      <w:caps/>
      <w:noProof/>
      <w:snapToGrid w:val="0"/>
      <w:color w:val="3366FF"/>
      <w:kern w:val="28"/>
      <w:sz w:val="70"/>
      <w:szCs w:val="70"/>
      <w:lang w:eastAsia="zh-CN"/>
    </w:rPr>
  </w:style>
  <w:style w:type="paragraph" w:customStyle="1" w:styleId="UPlan">
    <w:name w:val="UPlan"/>
    <w:basedOn w:val="Titcoul"/>
    <w:link w:val="UPlanCar"/>
    <w:rsid w:val="00C13EA7"/>
    <w:pPr>
      <w:spacing w:after="0"/>
    </w:pPr>
    <w:rPr>
      <w:sz w:val="48"/>
      <w:szCs w:val="48"/>
    </w:rPr>
  </w:style>
  <w:style w:type="character" w:customStyle="1" w:styleId="UPlanCar">
    <w:name w:val="UPlan Car"/>
    <w:basedOn w:val="TitcoulCar"/>
    <w:link w:val="UPlan"/>
    <w:rsid w:val="00C13EA7"/>
    <w:rPr>
      <w:rFonts w:ascii="Arial" w:eastAsia="Times New Roman" w:hAnsi="Arial" w:cs="Arial"/>
      <w:b/>
      <w:bCs/>
      <w:caps/>
      <w:noProof/>
      <w:snapToGrid w:val="0"/>
      <w:color w:val="3366FF"/>
      <w:kern w:val="28"/>
      <w:sz w:val="48"/>
      <w:szCs w:val="48"/>
      <w:lang w:eastAsia="zh-CN"/>
    </w:rPr>
  </w:style>
  <w:style w:type="paragraph" w:customStyle="1" w:styleId="UTxt">
    <w:name w:val="UTxt"/>
    <w:basedOn w:val="Normal"/>
    <w:link w:val="UTxtCar"/>
    <w:rsid w:val="00C13EA7"/>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pPr>
    <w:rPr>
      <w:rFonts w:ascii="Arial" w:eastAsia="SimSun" w:hAnsi="Arial" w:cs="Arial"/>
      <w:i/>
      <w:sz w:val="20"/>
      <w:szCs w:val="24"/>
      <w:lang w:val="fr-FR" w:eastAsia="zh-CN"/>
    </w:rPr>
  </w:style>
  <w:style w:type="character" w:customStyle="1" w:styleId="UTxtCar">
    <w:name w:val="UTxt Car"/>
    <w:basedOn w:val="DefaultParagraphFont"/>
    <w:link w:val="UTxt"/>
    <w:rsid w:val="00C13EA7"/>
    <w:rPr>
      <w:rFonts w:ascii="Arial" w:eastAsia="SimSun" w:hAnsi="Arial" w:cs="Arial"/>
      <w:i/>
      <w:sz w:val="20"/>
      <w:szCs w:val="24"/>
      <w:lang w:val="fr-FR" w:eastAsia="zh-CN"/>
    </w:rPr>
  </w:style>
  <w:style w:type="character" w:customStyle="1" w:styleId="hps">
    <w:name w:val="hps"/>
    <w:rsid w:val="00C13EA7"/>
  </w:style>
  <w:style w:type="paragraph" w:customStyle="1" w:styleId="UTit4">
    <w:name w:val="UTit4"/>
    <w:basedOn w:val="Heading4"/>
    <w:link w:val="UTit4Car"/>
    <w:rsid w:val="00C13EA7"/>
    <w:pPr>
      <w:pBdr>
        <w:top w:val="single" w:sz="12" w:space="6" w:color="auto" w:shadow="1"/>
        <w:left w:val="single" w:sz="12" w:space="4" w:color="auto" w:shadow="1"/>
        <w:bottom w:val="single" w:sz="12" w:space="6" w:color="auto" w:shadow="1"/>
        <w:right w:val="single" w:sz="12" w:space="4" w:color="auto" w:shadow="1"/>
      </w:pBdr>
      <w:spacing w:before="360" w:after="120" w:line="300" w:lineRule="exact"/>
      <w:ind w:left="113" w:right="113"/>
    </w:pPr>
    <w:rPr>
      <w:rFonts w:ascii="Arial" w:eastAsia="SimSun" w:hAnsi="Arial" w:cs="Times New Roman"/>
      <w:i w:val="0"/>
      <w:iCs w:val="0"/>
      <w:caps/>
      <w:color w:val="auto"/>
      <w:sz w:val="20"/>
      <w:szCs w:val="24"/>
      <w:lang w:val="it-IT"/>
    </w:rPr>
  </w:style>
  <w:style w:type="character" w:customStyle="1" w:styleId="UTit4Car">
    <w:name w:val="UTit4 Car"/>
    <w:basedOn w:val="Heading4Char"/>
    <w:link w:val="UTit4"/>
    <w:rsid w:val="00C13EA7"/>
    <w:rPr>
      <w:rFonts w:ascii="Arial" w:eastAsia="SimSun" w:hAnsi="Arial" w:cs="Times New Roman"/>
      <w:b/>
      <w:bCs/>
      <w:i/>
      <w:iCs/>
      <w:caps/>
      <w:color w:val="4F81BD" w:themeColor="accent1"/>
      <w:sz w:val="20"/>
      <w:szCs w:val="24"/>
      <w:lang w:val="it-IT"/>
    </w:rPr>
  </w:style>
  <w:style w:type="paragraph" w:customStyle="1" w:styleId="Upuce">
    <w:name w:val="Upuce"/>
    <w:basedOn w:val="UTxt"/>
    <w:rsid w:val="00C13EA7"/>
    <w:pPr>
      <w:widowControl w:val="0"/>
      <w:numPr>
        <w:numId w:val="1"/>
      </w:numPr>
      <w:tabs>
        <w:tab w:val="num" w:pos="360"/>
      </w:tabs>
      <w:ind w:left="470" w:hanging="357"/>
    </w:pPr>
    <w:rPr>
      <w:i w:val="0"/>
    </w:rPr>
  </w:style>
  <w:style w:type="paragraph" w:customStyle="1" w:styleId="Texte1">
    <w:name w:val="Texte1"/>
    <w:basedOn w:val="Normal"/>
    <w:link w:val="Texte1Car"/>
    <w:rsid w:val="00C13EA7"/>
    <w:pPr>
      <w:tabs>
        <w:tab w:val="left" w:pos="567"/>
      </w:tabs>
      <w:snapToGrid w:val="0"/>
      <w:spacing w:after="60" w:line="280" w:lineRule="exact"/>
      <w:ind w:left="851"/>
      <w:jc w:val="both"/>
    </w:pPr>
    <w:rPr>
      <w:rFonts w:ascii="Arial" w:eastAsia="SimSun" w:hAnsi="Arial" w:cs="Arial"/>
      <w:sz w:val="20"/>
      <w:szCs w:val="24"/>
      <w:lang w:val="fr-FR" w:eastAsia="zh-CN"/>
    </w:rPr>
  </w:style>
  <w:style w:type="character" w:customStyle="1" w:styleId="Texte1Car">
    <w:name w:val="Texte1 Car"/>
    <w:link w:val="Texte1"/>
    <w:rsid w:val="00C13EA7"/>
    <w:rPr>
      <w:rFonts w:ascii="Arial" w:eastAsia="SimSun" w:hAnsi="Arial" w:cs="Arial"/>
      <w:sz w:val="20"/>
      <w:szCs w:val="24"/>
      <w:lang w:val="fr-FR" w:eastAsia="zh-CN"/>
    </w:rPr>
  </w:style>
  <w:style w:type="paragraph" w:customStyle="1" w:styleId="Marge">
    <w:name w:val="Marge"/>
    <w:basedOn w:val="Normal"/>
    <w:rsid w:val="00C13EA7"/>
    <w:pPr>
      <w:tabs>
        <w:tab w:val="left" w:pos="567"/>
      </w:tabs>
      <w:snapToGrid w:val="0"/>
      <w:spacing w:after="240" w:line="240" w:lineRule="auto"/>
      <w:jc w:val="both"/>
    </w:pPr>
    <w:rPr>
      <w:rFonts w:ascii="Arial" w:eastAsia="Times New Roman" w:hAnsi="Arial" w:cs="Times New Roman"/>
      <w:snapToGrid w:val="0"/>
      <w:szCs w:val="24"/>
    </w:rPr>
  </w:style>
  <w:style w:type="paragraph" w:customStyle="1" w:styleId="COMPara">
    <w:name w:val="COM Para"/>
    <w:qFormat/>
    <w:rsid w:val="00C13EA7"/>
    <w:pPr>
      <w:numPr>
        <w:numId w:val="2"/>
      </w:numPr>
      <w:spacing w:after="120" w:line="240" w:lineRule="auto"/>
    </w:pPr>
    <w:rPr>
      <w:rFonts w:ascii="Arial" w:eastAsia="Times New Roman" w:hAnsi="Arial" w:cs="Arial"/>
      <w:snapToGrid w:val="0"/>
    </w:rPr>
  </w:style>
  <w:style w:type="character" w:styleId="Hyperlink">
    <w:name w:val="Hyperlink"/>
    <w:uiPriority w:val="99"/>
    <w:unhideWhenUsed/>
    <w:rsid w:val="00C13EA7"/>
    <w:rPr>
      <w:color w:val="0000FF"/>
      <w:u w:val="single"/>
    </w:rPr>
  </w:style>
  <w:style w:type="paragraph" w:styleId="FootnoteText">
    <w:name w:val="footnote text"/>
    <w:aliases w:val="Footnote Text Char Char Char Char Char,Footnote Text Char Char Char Char, Char, Char Char Char Char,fn,footnote text,5_G"/>
    <w:basedOn w:val="Normal"/>
    <w:link w:val="FootnoteTextChar"/>
    <w:uiPriority w:val="99"/>
    <w:unhideWhenUsed/>
    <w:rsid w:val="00C13EA7"/>
    <w:rPr>
      <w:rFonts w:ascii="Calibri" w:eastAsia="SimSun" w:hAnsi="Calibri" w:cs="Times New Roman"/>
      <w:sz w:val="20"/>
      <w:szCs w:val="20"/>
      <w:lang w:eastAsia="zh-CN"/>
    </w:rPr>
  </w:style>
  <w:style w:type="character" w:customStyle="1" w:styleId="FootnoteTextChar">
    <w:name w:val="Footnote Text Char"/>
    <w:aliases w:val="Footnote Text Char Char Char Char Char Char,Footnote Text Char Char Char Char Char1, Char Char, Char Char Char Char Char,fn Char,footnote text Char,5_G Char"/>
    <w:basedOn w:val="DefaultParagraphFont"/>
    <w:link w:val="FootnoteText"/>
    <w:uiPriority w:val="99"/>
    <w:rsid w:val="00C13EA7"/>
    <w:rPr>
      <w:rFonts w:ascii="Calibri" w:eastAsia="SimSun" w:hAnsi="Calibri" w:cs="Times New Roman"/>
      <w:sz w:val="20"/>
      <w:szCs w:val="20"/>
      <w:lang w:eastAsia="zh-CN"/>
    </w:rPr>
  </w:style>
  <w:style w:type="character" w:styleId="FootnoteReference">
    <w:name w:val="footnote reference"/>
    <w:aliases w:val="4_G"/>
    <w:uiPriority w:val="99"/>
    <w:unhideWhenUsed/>
    <w:rsid w:val="00C13EA7"/>
    <w:rPr>
      <w:vertAlign w:val="superscript"/>
    </w:rPr>
  </w:style>
  <w:style w:type="paragraph" w:customStyle="1" w:styleId="Default">
    <w:name w:val="Default"/>
    <w:link w:val="DefaultChar"/>
    <w:rsid w:val="00C13EA7"/>
    <w:pPr>
      <w:autoSpaceDE w:val="0"/>
      <w:autoSpaceDN w:val="0"/>
      <w:adjustRightInd w:val="0"/>
      <w:spacing w:after="0" w:line="240" w:lineRule="auto"/>
    </w:pPr>
    <w:rPr>
      <w:rFonts w:ascii="Arial" w:hAnsi="Arial" w:cs="Arial"/>
      <w:color w:val="000000"/>
      <w:sz w:val="24"/>
      <w:szCs w:val="24"/>
    </w:rPr>
  </w:style>
  <w:style w:type="character" w:styleId="Strong">
    <w:name w:val="Strong"/>
    <w:aliases w:val="Text"/>
    <w:uiPriority w:val="22"/>
    <w:qFormat/>
    <w:rsid w:val="00C13EA7"/>
    <w:rPr>
      <w:rFonts w:ascii="Arial" w:hAnsi="Arial" w:cs="Arial"/>
      <w:lang w:val="en-GB"/>
    </w:rPr>
  </w:style>
  <w:style w:type="paragraph" w:customStyle="1" w:styleId="wiki-text">
    <w:name w:val="wiki-text"/>
    <w:basedOn w:val="Normal"/>
    <w:rsid w:val="00C13E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um01">
    <w:name w:val="Énum01"/>
    <w:basedOn w:val="Normal"/>
    <w:rsid w:val="00C13EA7"/>
    <w:pPr>
      <w:tabs>
        <w:tab w:val="left" w:pos="397"/>
      </w:tabs>
      <w:spacing w:after="120" w:line="260" w:lineRule="exact"/>
      <w:jc w:val="both"/>
    </w:pPr>
    <w:rPr>
      <w:rFonts w:ascii="Arial" w:eastAsia="Times New Roman" w:hAnsi="Arial" w:cs="Times New Roman"/>
      <w:szCs w:val="24"/>
      <w:lang w:val="en-US" w:eastAsia="fr-FR"/>
    </w:rPr>
  </w:style>
  <w:style w:type="paragraph" w:customStyle="1" w:styleId="COMParaDecision">
    <w:name w:val="COM Para Decision"/>
    <w:basedOn w:val="Normal"/>
    <w:qFormat/>
    <w:rsid w:val="00C13EA7"/>
    <w:pPr>
      <w:numPr>
        <w:numId w:val="4"/>
      </w:numPr>
      <w:autoSpaceDE w:val="0"/>
      <w:autoSpaceDN w:val="0"/>
      <w:adjustRightInd w:val="0"/>
      <w:spacing w:after="120" w:line="240" w:lineRule="auto"/>
      <w:jc w:val="both"/>
    </w:pPr>
    <w:rPr>
      <w:rFonts w:ascii="Arial" w:eastAsia="SimSun" w:hAnsi="Arial" w:cs="Arial"/>
      <w:lang w:eastAsia="fr-FR"/>
    </w:rPr>
  </w:style>
  <w:style w:type="paragraph" w:customStyle="1" w:styleId="Informations">
    <w:name w:val="Informations"/>
    <w:basedOn w:val="Normal"/>
    <w:link w:val="InformationsCar"/>
    <w:rsid w:val="00C13EA7"/>
    <w:pPr>
      <w:snapToGrid w:val="0"/>
      <w:spacing w:after="60" w:line="280" w:lineRule="exact"/>
      <w:ind w:left="851"/>
      <w:jc w:val="both"/>
    </w:pPr>
    <w:rPr>
      <w:rFonts w:ascii="Arial" w:eastAsia="SimSun" w:hAnsi="Arial" w:cs="Arial"/>
      <w:i/>
      <w:iCs/>
      <w:color w:val="3366FF"/>
      <w:sz w:val="20"/>
      <w:szCs w:val="20"/>
      <w:lang w:eastAsia="zh-CN"/>
    </w:rPr>
  </w:style>
  <w:style w:type="character" w:customStyle="1" w:styleId="InformationsCar">
    <w:name w:val="Informations Car"/>
    <w:link w:val="Informations"/>
    <w:rsid w:val="00C13EA7"/>
    <w:rPr>
      <w:rFonts w:ascii="Arial" w:eastAsia="SimSun" w:hAnsi="Arial" w:cs="Arial"/>
      <w:i/>
      <w:iCs/>
      <w:color w:val="3366FF"/>
      <w:sz w:val="20"/>
      <w:szCs w:val="20"/>
      <w:lang w:eastAsia="zh-CN"/>
    </w:rPr>
  </w:style>
  <w:style w:type="paragraph" w:customStyle="1" w:styleId="Textegras">
    <w:name w:val="Textegras"/>
    <w:basedOn w:val="Texte1"/>
    <w:link w:val="TextegrasCar"/>
    <w:autoRedefine/>
    <w:rsid w:val="00C13EA7"/>
    <w:pPr>
      <w:keepNext/>
      <w:tabs>
        <w:tab w:val="clear" w:pos="567"/>
      </w:tabs>
      <w:spacing w:before="120"/>
      <w:ind w:left="284" w:hanging="284"/>
    </w:pPr>
    <w:rPr>
      <w:b/>
      <w:szCs w:val="20"/>
      <w:lang w:val="en-GB"/>
    </w:rPr>
  </w:style>
  <w:style w:type="character" w:customStyle="1" w:styleId="TextegrasCar">
    <w:name w:val="Textegras Car"/>
    <w:basedOn w:val="Texte1Car"/>
    <w:link w:val="Textegras"/>
    <w:rsid w:val="00C13EA7"/>
    <w:rPr>
      <w:rFonts w:ascii="Arial" w:eastAsia="SimSun" w:hAnsi="Arial" w:cs="Arial"/>
      <w:b/>
      <w:sz w:val="20"/>
      <w:szCs w:val="20"/>
      <w:lang w:val="fr-FR" w:eastAsia="zh-CN"/>
    </w:rPr>
  </w:style>
  <w:style w:type="paragraph" w:customStyle="1" w:styleId="Soustitre">
    <w:name w:val="Soustitre"/>
    <w:basedOn w:val="Normal"/>
    <w:link w:val="SoustitreCar"/>
    <w:qFormat/>
    <w:rsid w:val="00C13EA7"/>
    <w:pPr>
      <w:keepNext/>
      <w:spacing w:before="200" w:after="60" w:line="280" w:lineRule="exact"/>
    </w:pPr>
    <w:rPr>
      <w:rFonts w:ascii="Arial" w:eastAsia="SimSun" w:hAnsi="Arial" w:cs="Arial"/>
      <w:b/>
      <w:bCs/>
      <w:i/>
      <w:noProof/>
      <w:sz w:val="20"/>
      <w:szCs w:val="20"/>
      <w:lang w:val="fr-FR"/>
    </w:rPr>
  </w:style>
  <w:style w:type="character" w:customStyle="1" w:styleId="SoustitreCar">
    <w:name w:val="Soustitre Car"/>
    <w:link w:val="Soustitre"/>
    <w:rsid w:val="00C13EA7"/>
    <w:rPr>
      <w:rFonts w:ascii="Arial" w:eastAsia="SimSun" w:hAnsi="Arial" w:cs="Arial"/>
      <w:b/>
      <w:bCs/>
      <w:i/>
      <w:noProof/>
      <w:sz w:val="20"/>
      <w:szCs w:val="20"/>
      <w:lang w:val="fr-FR"/>
    </w:rPr>
  </w:style>
  <w:style w:type="paragraph" w:customStyle="1" w:styleId="Txtpucegras">
    <w:name w:val="Txtpucegras"/>
    <w:basedOn w:val="Texte1"/>
    <w:rsid w:val="00C13EA7"/>
    <w:pPr>
      <w:numPr>
        <w:numId w:val="5"/>
      </w:numPr>
      <w:tabs>
        <w:tab w:val="clear" w:pos="851"/>
        <w:tab w:val="num" w:pos="360"/>
      </w:tabs>
      <w:ind w:left="1135" w:firstLine="0"/>
    </w:pPr>
  </w:style>
  <w:style w:type="character" w:customStyle="1" w:styleId="DefaultChar">
    <w:name w:val="Default Char"/>
    <w:basedOn w:val="DefaultParagraphFont"/>
    <w:link w:val="Default"/>
    <w:rsid w:val="00C13EA7"/>
    <w:rPr>
      <w:rFonts w:ascii="Arial" w:hAnsi="Arial" w:cs="Arial"/>
      <w:color w:val="000000"/>
      <w:sz w:val="24"/>
      <w:szCs w:val="24"/>
    </w:rPr>
  </w:style>
  <w:style w:type="character" w:customStyle="1" w:styleId="A6">
    <w:name w:val="A6"/>
    <w:uiPriority w:val="99"/>
    <w:rsid w:val="00C13EA7"/>
    <w:rPr>
      <w:color w:val="000000"/>
      <w:sz w:val="11"/>
      <w:szCs w:val="11"/>
    </w:rPr>
  </w:style>
  <w:style w:type="paragraph" w:customStyle="1" w:styleId="Sansinterligne1">
    <w:name w:val="Sans interligne1"/>
    <w:uiPriority w:val="1"/>
    <w:rsid w:val="00C13EA7"/>
    <w:pPr>
      <w:spacing w:after="0" w:line="240" w:lineRule="auto"/>
    </w:pPr>
    <w:rPr>
      <w:rFonts w:ascii="Times New Roman" w:eastAsia="Times New Roman" w:hAnsi="Times New Roman" w:cs="Times New Roman"/>
      <w:sz w:val="24"/>
      <w:szCs w:val="24"/>
      <w:lang w:val="fr-FR" w:eastAsia="fr-FR"/>
    </w:rPr>
  </w:style>
  <w:style w:type="paragraph" w:styleId="Header">
    <w:name w:val="header"/>
    <w:basedOn w:val="Normal"/>
    <w:link w:val="HeaderChar"/>
    <w:uiPriority w:val="99"/>
    <w:unhideWhenUsed/>
    <w:rsid w:val="00C13EA7"/>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HeaderChar">
    <w:name w:val="Header Char"/>
    <w:basedOn w:val="DefaultParagraphFont"/>
    <w:link w:val="Header"/>
    <w:uiPriority w:val="99"/>
    <w:rsid w:val="00C13EA7"/>
    <w:rPr>
      <w:rFonts w:ascii="Times New Roman" w:eastAsia="Times New Roman" w:hAnsi="Times New Roman" w:cs="Times New Roman"/>
      <w:sz w:val="24"/>
      <w:szCs w:val="24"/>
      <w:lang w:val="fr-FR" w:eastAsia="fr-FR"/>
    </w:rPr>
  </w:style>
  <w:style w:type="character" w:styleId="PageNumber">
    <w:name w:val="page number"/>
    <w:basedOn w:val="DefaultParagraphFont"/>
    <w:rsid w:val="00C13EA7"/>
  </w:style>
  <w:style w:type="paragraph" w:customStyle="1" w:styleId="Footnote">
    <w:name w:val="Footnote"/>
    <w:basedOn w:val="EndnoteText"/>
    <w:link w:val="FootnoteChar"/>
    <w:qFormat/>
    <w:rsid w:val="00C13EA7"/>
    <w:pPr>
      <w:ind w:left="709" w:hanging="709"/>
    </w:pPr>
    <w:rPr>
      <w:rFonts w:ascii="Arial" w:eastAsia="Times New Roman" w:hAnsi="Arial" w:cs="Arial"/>
      <w:lang w:val="fr-FR" w:eastAsia="fr-FR"/>
    </w:rPr>
  </w:style>
  <w:style w:type="character" w:customStyle="1" w:styleId="FootnoteChar">
    <w:name w:val="Footnote Char"/>
    <w:basedOn w:val="EndnoteTextChar"/>
    <w:link w:val="Footnote"/>
    <w:rsid w:val="00C13EA7"/>
    <w:rPr>
      <w:rFonts w:ascii="Arial" w:eastAsia="Times New Roman" w:hAnsi="Arial" w:cs="Arial"/>
      <w:sz w:val="20"/>
      <w:szCs w:val="20"/>
      <w:lang w:val="fr-FR" w:eastAsia="fr-FR"/>
    </w:rPr>
  </w:style>
  <w:style w:type="paragraph" w:styleId="NormalWeb">
    <w:name w:val="Normal (Web)"/>
    <w:basedOn w:val="Normal"/>
    <w:uiPriority w:val="99"/>
    <w:unhideWhenUsed/>
    <w:rsid w:val="00C13E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13EA7"/>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C13EA7"/>
    <w:rPr>
      <w:rFonts w:asciiTheme="majorHAnsi" w:eastAsiaTheme="majorEastAsia" w:hAnsiTheme="majorHAnsi" w:cstheme="majorBidi"/>
      <w:b/>
      <w:bCs/>
      <w:i/>
      <w:iCs/>
      <w:color w:val="4F81BD" w:themeColor="accent1"/>
    </w:rPr>
  </w:style>
  <w:style w:type="paragraph" w:styleId="EndnoteText">
    <w:name w:val="endnote text"/>
    <w:basedOn w:val="Normal"/>
    <w:link w:val="EndnoteTextChar"/>
    <w:uiPriority w:val="99"/>
    <w:semiHidden/>
    <w:unhideWhenUsed/>
    <w:rsid w:val="00C13E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3EA7"/>
    <w:rPr>
      <w:sz w:val="20"/>
      <w:szCs w:val="20"/>
    </w:rPr>
  </w:style>
  <w:style w:type="paragraph" w:styleId="ListParagraph">
    <w:name w:val="List Paragraph"/>
    <w:basedOn w:val="Normal"/>
    <w:uiPriority w:val="34"/>
    <w:qFormat/>
    <w:rsid w:val="00D14C07"/>
    <w:pPr>
      <w:ind w:left="720"/>
      <w:contextualSpacing/>
    </w:pPr>
  </w:style>
  <w:style w:type="paragraph" w:styleId="BalloonText">
    <w:name w:val="Balloon Text"/>
    <w:basedOn w:val="Normal"/>
    <w:link w:val="BalloonTextChar"/>
    <w:uiPriority w:val="99"/>
    <w:semiHidden/>
    <w:unhideWhenUsed/>
    <w:rsid w:val="00086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8CA"/>
    <w:rPr>
      <w:rFonts w:ascii="Tahoma" w:hAnsi="Tahoma" w:cs="Tahoma"/>
      <w:sz w:val="16"/>
      <w:szCs w:val="16"/>
    </w:rPr>
  </w:style>
  <w:style w:type="character" w:styleId="CommentReference">
    <w:name w:val="annotation reference"/>
    <w:basedOn w:val="DefaultParagraphFont"/>
    <w:uiPriority w:val="99"/>
    <w:semiHidden/>
    <w:unhideWhenUsed/>
    <w:rsid w:val="00F61955"/>
    <w:rPr>
      <w:sz w:val="16"/>
      <w:szCs w:val="16"/>
    </w:rPr>
  </w:style>
  <w:style w:type="paragraph" w:styleId="CommentText">
    <w:name w:val="annotation text"/>
    <w:basedOn w:val="Normal"/>
    <w:link w:val="CommentTextChar"/>
    <w:uiPriority w:val="99"/>
    <w:semiHidden/>
    <w:unhideWhenUsed/>
    <w:rsid w:val="00F61955"/>
    <w:pPr>
      <w:spacing w:line="240" w:lineRule="auto"/>
    </w:pPr>
    <w:rPr>
      <w:sz w:val="20"/>
      <w:szCs w:val="20"/>
    </w:rPr>
  </w:style>
  <w:style w:type="character" w:customStyle="1" w:styleId="CommentTextChar">
    <w:name w:val="Comment Text Char"/>
    <w:basedOn w:val="DefaultParagraphFont"/>
    <w:link w:val="CommentText"/>
    <w:uiPriority w:val="99"/>
    <w:semiHidden/>
    <w:rsid w:val="00F61955"/>
    <w:rPr>
      <w:sz w:val="20"/>
      <w:szCs w:val="20"/>
    </w:rPr>
  </w:style>
  <w:style w:type="paragraph" w:styleId="CommentSubject">
    <w:name w:val="annotation subject"/>
    <w:basedOn w:val="CommentText"/>
    <w:next w:val="CommentText"/>
    <w:link w:val="CommentSubjectChar"/>
    <w:uiPriority w:val="99"/>
    <w:semiHidden/>
    <w:unhideWhenUsed/>
    <w:rsid w:val="00F61955"/>
    <w:rPr>
      <w:b/>
      <w:bCs/>
    </w:rPr>
  </w:style>
  <w:style w:type="character" w:customStyle="1" w:styleId="CommentSubjectChar">
    <w:name w:val="Comment Subject Char"/>
    <w:basedOn w:val="CommentTextChar"/>
    <w:link w:val="CommentSubject"/>
    <w:uiPriority w:val="99"/>
    <w:semiHidden/>
    <w:rsid w:val="00F61955"/>
    <w:rPr>
      <w:b/>
      <w:bCs/>
      <w:sz w:val="20"/>
      <w:szCs w:val="20"/>
    </w:rPr>
  </w:style>
  <w:style w:type="paragraph" w:customStyle="1" w:styleId="yiv8994617701msolistparagraph">
    <w:name w:val="yiv8994617701msolistparagraph"/>
    <w:basedOn w:val="Normal"/>
    <w:rsid w:val="005739E2"/>
    <w:pPr>
      <w:spacing w:before="100" w:beforeAutospacing="1" w:after="100" w:afterAutospacing="1" w:line="240" w:lineRule="auto"/>
    </w:pPr>
    <w:rPr>
      <w:rFonts w:ascii="Times New Roman" w:eastAsia="Times New Roman" w:hAnsi="Times New Roman" w:cs="Times New Roman"/>
      <w:sz w:val="24"/>
      <w:szCs w:val="24"/>
      <w:lang w:val="en-BZ" w:eastAsia="en-BZ"/>
    </w:rPr>
  </w:style>
  <w:style w:type="paragraph" w:customStyle="1" w:styleId="Txtjourne">
    <w:name w:val="Txtjournée"/>
    <w:basedOn w:val="Texte1"/>
    <w:rsid w:val="008806D4"/>
    <w:pPr>
      <w:spacing w:before="60"/>
      <w:ind w:left="113"/>
      <w:jc w:val="left"/>
    </w:pPr>
  </w:style>
  <w:style w:type="character" w:styleId="FollowedHyperlink">
    <w:name w:val="FollowedHyperlink"/>
    <w:basedOn w:val="DefaultParagraphFont"/>
    <w:uiPriority w:val="99"/>
    <w:semiHidden/>
    <w:unhideWhenUsed/>
    <w:rsid w:val="00871D57"/>
    <w:rPr>
      <w:color w:val="800080" w:themeColor="followedHyperlink"/>
      <w:u w:val="single"/>
    </w:rPr>
  </w:style>
  <w:style w:type="paragraph" w:styleId="Footer">
    <w:name w:val="footer"/>
    <w:basedOn w:val="Normal"/>
    <w:link w:val="FooterChar"/>
    <w:unhideWhenUsed/>
    <w:rsid w:val="00A50D12"/>
    <w:pPr>
      <w:tabs>
        <w:tab w:val="center" w:pos="4536"/>
        <w:tab w:val="right" w:pos="9072"/>
      </w:tabs>
      <w:spacing w:after="0" w:line="240" w:lineRule="auto"/>
    </w:pPr>
  </w:style>
  <w:style w:type="character" w:customStyle="1" w:styleId="FooterChar">
    <w:name w:val="Footer Char"/>
    <w:basedOn w:val="DefaultParagraphFont"/>
    <w:link w:val="Footer"/>
    <w:rsid w:val="00A50D12"/>
  </w:style>
  <w:style w:type="paragraph" w:customStyle="1" w:styleId="Lessonplan">
    <w:name w:val="Lesson plan"/>
    <w:basedOn w:val="UTxt"/>
    <w:qFormat/>
    <w:rsid w:val="00A0252F"/>
    <w:pPr>
      <w:spacing w:before="240"/>
    </w:pPr>
    <w:rPr>
      <w:i w:val="0"/>
      <w:szCs w:val="20"/>
      <w:lang w:val="en-GB" w:eastAsia="en-US"/>
    </w:rPr>
  </w:style>
  <w:style w:type="paragraph" w:customStyle="1" w:styleId="Style1">
    <w:name w:val="Style1"/>
    <w:basedOn w:val="Maintext"/>
    <w:qFormat/>
    <w:rsid w:val="00380DD8"/>
  </w:style>
  <w:style w:type="paragraph" w:customStyle="1" w:styleId="Maintext">
    <w:name w:val="Main text"/>
    <w:basedOn w:val="Normal"/>
    <w:qFormat/>
    <w:rsid w:val="00380DD8"/>
    <w:pPr>
      <w:spacing w:before="240"/>
      <w:jc w:val="both"/>
    </w:pPr>
    <w:rPr>
      <w:rFonts w:ascii="Arial" w:eastAsia="SimSun" w:hAnsi="Arial" w:cs="Arial"/>
      <w:sz w:val="20"/>
      <w:szCs w:val="24"/>
      <w:lang w:val="en-US"/>
    </w:rPr>
  </w:style>
  <w:style w:type="paragraph" w:customStyle="1" w:styleId="Slide">
    <w:name w:val="Slide"/>
    <w:basedOn w:val="Heading4"/>
    <w:qFormat/>
    <w:rsid w:val="00FD47F5"/>
    <w:pPr>
      <w:spacing w:before="240" w:after="120" w:line="280" w:lineRule="exact"/>
      <w:jc w:val="both"/>
    </w:pPr>
    <w:rPr>
      <w:rFonts w:ascii="Arial" w:eastAsia="SimSun" w:hAnsi="Arial" w:cs="Times New Roman"/>
      <w:i w:val="0"/>
      <w:iCs w:val="0"/>
      <w:caps/>
      <w:color w:val="008000"/>
      <w:sz w:val="24"/>
      <w:lang w:val="en-US"/>
    </w:rPr>
  </w:style>
  <w:style w:type="paragraph" w:customStyle="1" w:styleId="Slide2">
    <w:name w:val="Slide2"/>
    <w:basedOn w:val="Default"/>
    <w:qFormat/>
    <w:rsid w:val="00FD47F5"/>
    <w:pPr>
      <w:spacing w:line="276" w:lineRule="auto"/>
      <w:jc w:val="both"/>
    </w:pPr>
    <w:rPr>
      <w:rFonts w:eastAsia="SimSun" w:cs="Times New Roman"/>
      <w:b/>
      <w:bCs/>
      <w:caps/>
      <w:color w:val="auto"/>
      <w:sz w:val="22"/>
      <w:szCs w:val="22"/>
      <w:lang w:val="en-US"/>
    </w:rPr>
  </w:style>
  <w:style w:type="paragraph" w:customStyle="1" w:styleId="HeadingSlide">
    <w:name w:val="HeadingSlide"/>
    <w:basedOn w:val="Normal"/>
    <w:qFormat/>
    <w:rsid w:val="00B92EF4"/>
    <w:pPr>
      <w:keepNext/>
      <w:keepLines/>
      <w:spacing w:before="240" w:after="120" w:line="280" w:lineRule="exact"/>
      <w:jc w:val="both"/>
      <w:outlineLvl w:val="3"/>
    </w:pPr>
    <w:rPr>
      <w:rFonts w:ascii="Arial" w:eastAsia="SimSun" w:hAnsi="Arial" w:cs="Times New Roman"/>
      <w:b/>
      <w:bCs/>
      <w:caps/>
      <w:lang w:val="en-US"/>
    </w:rPr>
  </w:style>
  <w:style w:type="paragraph" w:styleId="Revision">
    <w:name w:val="Revision"/>
    <w:hidden/>
    <w:uiPriority w:val="99"/>
    <w:semiHidden/>
    <w:rsid w:val="006637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3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doc/src/ITH-17-12.COM_WG-5-EN.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nesco.org/open-access/terms-use-ccbysa-en" TargetMode="External"/><Relationship Id="rId4" Type="http://schemas.openxmlformats.org/officeDocument/2006/relationships/settings" Target="settings.xml"/><Relationship Id="rId9" Type="http://schemas.openxmlformats.org/officeDocument/2006/relationships/hyperlink" Target="http://creativecommons.org/licenses/by-sa/3.0/ig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AEFAE-A18E-4042-9F26-9B2E9000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4611</Words>
  <Characters>25365</Characters>
  <Application>Microsoft Office Word</Application>
  <DocSecurity>0</DocSecurity>
  <Lines>211</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Jeb Blake</dc:creator>
  <cp:lastModifiedBy>Juliette Hopkins</cp:lastModifiedBy>
  <cp:revision>4</cp:revision>
  <cp:lastPrinted>2019-10-17T14:33:00Z</cp:lastPrinted>
  <dcterms:created xsi:type="dcterms:W3CDTF">2020-02-03T11:18:00Z</dcterms:created>
  <dcterms:modified xsi:type="dcterms:W3CDTF">2020-02-03T11:20:00Z</dcterms:modified>
</cp:coreProperties>
</file>