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B9F49" w14:textId="77777777" w:rsidR="009471C4" w:rsidRPr="002C2BE8" w:rsidRDefault="009471C4" w:rsidP="00A64EB5">
      <w:pPr>
        <w:pStyle w:val="Chapitre"/>
        <w:spacing w:before="0" w:after="0" w:line="240" w:lineRule="auto"/>
        <w:rPr>
          <w:rFonts w:cs="Calibri"/>
          <w:b w:val="0"/>
          <w:color w:val="00B0F0"/>
          <w:sz w:val="44"/>
          <w:szCs w:val="44"/>
        </w:rPr>
      </w:pPr>
      <w:r>
        <w:t>UNIDAD 58</w:t>
      </w:r>
      <w:r>
        <w:rPr>
          <w:color w:val="00B0F0"/>
          <w:sz w:val="44"/>
        </w:rPr>
        <w:t xml:space="preserve"> </w:t>
      </w:r>
    </w:p>
    <w:p w14:paraId="48FA7CB9" w14:textId="77777777" w:rsidR="009471C4" w:rsidRDefault="009471C4" w:rsidP="00E9751E">
      <w:pPr>
        <w:pStyle w:val="HO1"/>
      </w:pPr>
      <w:r>
        <w:t>Folleto 1:</w:t>
      </w:r>
    </w:p>
    <w:p w14:paraId="4C8FB0CE" w14:textId="77777777" w:rsidR="009471C4" w:rsidRPr="00E9751E" w:rsidRDefault="009471C4" w:rsidP="008E320D">
      <w:pPr>
        <w:pStyle w:val="HO1"/>
        <w:spacing w:before="0" w:after="240"/>
        <w:rPr>
          <w:caps/>
        </w:rPr>
      </w:pPr>
      <w:r>
        <w:rPr>
          <w:caps/>
        </w:rPr>
        <w:t xml:space="preserve">Factores de evaluación </w:t>
      </w:r>
    </w:p>
    <w:p w14:paraId="3F7EA262" w14:textId="77777777" w:rsidR="009471C4" w:rsidRPr="008E320D" w:rsidRDefault="009471C4" w:rsidP="00D85F0B">
      <w:pPr>
        <w:jc w:val="both"/>
        <w:rPr>
          <w:rFonts w:ascii="Arial" w:hAnsi="Arial"/>
          <w:sz w:val="20"/>
          <w:szCs w:val="20"/>
        </w:rPr>
      </w:pPr>
      <w:r>
        <w:rPr>
          <w:rFonts w:ascii="Arial" w:hAnsi="Arial"/>
          <w:sz w:val="20"/>
        </w:rPr>
        <w:t>A continuación encontrará cinco de las áreas temáticas del marco global de resultados, con los factores de evaluación asignados para medir cada uno de los indicadores de base. Estos factores de evaluación corresponden en contenido a las preguntas formuladas en la herramienta en línea para la presentación de informes periódicos.</w:t>
      </w:r>
    </w:p>
    <w:p w14:paraId="78285161" w14:textId="77777777" w:rsidR="009471C4" w:rsidRPr="008E320D" w:rsidRDefault="009471C4" w:rsidP="00696A0B">
      <w:pPr>
        <w:rPr>
          <w:rFonts w:ascii="Arial" w:hAnsi="Arial"/>
          <w:b/>
          <w:bCs/>
          <w:iCs/>
          <w:sz w:val="20"/>
          <w:szCs w:val="20"/>
        </w:rPr>
      </w:pPr>
      <w:r>
        <w:rPr>
          <w:rFonts w:ascii="Arial" w:hAnsi="Arial"/>
          <w:b/>
          <w:sz w:val="20"/>
        </w:rPr>
        <w:t>Transmisión y educación (área temática 2)</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9471C4" w:rsidRPr="002C2BE8" w14:paraId="14FA5E06" w14:textId="77777777" w:rsidTr="00696A0B">
        <w:trPr>
          <w:cantSplit/>
        </w:trPr>
        <w:tc>
          <w:tcPr>
            <w:tcW w:w="5000" w:type="pct"/>
            <w:vAlign w:val="center"/>
          </w:tcPr>
          <w:p w14:paraId="3DC6F6E4" w14:textId="77777777" w:rsidR="009471C4" w:rsidRPr="008E320D" w:rsidRDefault="009471C4" w:rsidP="00696A0B">
            <w:pPr>
              <w:numPr>
                <w:ilvl w:val="1"/>
                <w:numId w:val="3"/>
              </w:numPr>
              <w:spacing w:before="60" w:after="60" w:line="240" w:lineRule="auto"/>
              <w:ind w:left="567" w:hanging="567"/>
              <w:rPr>
                <w:rFonts w:ascii="Arial" w:hAnsi="Arial"/>
                <w:vanish/>
                <w:sz w:val="20"/>
                <w:szCs w:val="20"/>
              </w:rPr>
            </w:pPr>
            <w:r>
              <w:rPr>
                <w:rFonts w:ascii="Arial" w:hAnsi="Arial"/>
                <w:sz w:val="20"/>
              </w:rPr>
              <w:t>Instituciones de educación superior ofrecen programas de estudios en materia de salvaguardia y gestión del PCI sobre una base inclusiva.</w:t>
            </w:r>
          </w:p>
        </w:tc>
      </w:tr>
      <w:tr w:rsidR="009471C4" w:rsidRPr="002C2BE8" w14:paraId="68CB9EEA" w14:textId="77777777" w:rsidTr="00696A0B">
        <w:trPr>
          <w:cantSplit/>
        </w:trPr>
        <w:tc>
          <w:tcPr>
            <w:tcW w:w="5000" w:type="pct"/>
            <w:vAlign w:val="center"/>
          </w:tcPr>
          <w:p w14:paraId="63F5D3CF" w14:textId="77777777" w:rsidR="009471C4" w:rsidRPr="008E320D" w:rsidRDefault="009471C4" w:rsidP="00DE6E1E">
            <w:pPr>
              <w:numPr>
                <w:ilvl w:val="1"/>
                <w:numId w:val="21"/>
              </w:numPr>
              <w:spacing w:before="60" w:after="60" w:line="240" w:lineRule="auto"/>
              <w:rPr>
                <w:rFonts w:ascii="Arial" w:hAnsi="Arial"/>
                <w:sz w:val="20"/>
                <w:szCs w:val="20"/>
              </w:rPr>
            </w:pPr>
            <w:r>
              <w:rPr>
                <w:rFonts w:ascii="Arial" w:hAnsi="Arial"/>
                <w:sz w:val="20"/>
              </w:rPr>
              <w:t>Iniciativas comunitarias o de las ONG proporcionan formación en materia de salvaguardia y gestión del PCI sobre una base inclusiva.</w:t>
            </w:r>
          </w:p>
        </w:tc>
      </w:tr>
      <w:tr w:rsidR="009471C4" w:rsidRPr="002C2BE8" w14:paraId="165D806E" w14:textId="77777777" w:rsidTr="00696A0B">
        <w:trPr>
          <w:cantSplit/>
        </w:trPr>
        <w:tc>
          <w:tcPr>
            <w:tcW w:w="5000" w:type="pct"/>
            <w:vAlign w:val="center"/>
          </w:tcPr>
          <w:p w14:paraId="669C545E" w14:textId="77777777" w:rsidR="009471C4" w:rsidRPr="008E320D" w:rsidRDefault="009471C4" w:rsidP="00DE6E1E">
            <w:pPr>
              <w:numPr>
                <w:ilvl w:val="1"/>
                <w:numId w:val="22"/>
              </w:numPr>
              <w:spacing w:before="60" w:after="60" w:line="240" w:lineRule="auto"/>
              <w:rPr>
                <w:rFonts w:ascii="Arial" w:hAnsi="Arial"/>
                <w:sz w:val="20"/>
                <w:szCs w:val="20"/>
              </w:rPr>
            </w:pPr>
            <w:r>
              <w:rPr>
                <w:rFonts w:ascii="Arial" w:hAnsi="Arial"/>
                <w:sz w:val="20"/>
              </w:rPr>
              <w:t>Los programas de formación que permitan el fortalecimiento de capacidades sobre el PCI destinado a aquellas personas que trabajen en el ámbito de la cultura y del patrimonio, sobre una base inclusiva.</w:t>
            </w:r>
          </w:p>
        </w:tc>
      </w:tr>
      <w:tr w:rsidR="009471C4" w:rsidRPr="002C2BE8" w14:paraId="6042115E" w14:textId="77777777" w:rsidTr="00696A0B">
        <w:trPr>
          <w:cantSplit/>
        </w:trPr>
        <w:tc>
          <w:tcPr>
            <w:tcW w:w="5000" w:type="pct"/>
            <w:vAlign w:val="center"/>
          </w:tcPr>
          <w:p w14:paraId="1C14AD1E" w14:textId="77777777" w:rsidR="009471C4" w:rsidRPr="008E320D" w:rsidRDefault="009471C4" w:rsidP="00DE6E1E">
            <w:pPr>
              <w:numPr>
                <w:ilvl w:val="1"/>
                <w:numId w:val="23"/>
              </w:numPr>
              <w:spacing w:before="60" w:after="60" w:line="240" w:lineRule="auto"/>
              <w:rPr>
                <w:rFonts w:ascii="Arial" w:hAnsi="Arial"/>
                <w:sz w:val="20"/>
                <w:szCs w:val="20"/>
              </w:rPr>
            </w:pPr>
            <w:r>
              <w:rPr>
                <w:rFonts w:ascii="Arial" w:hAnsi="Arial"/>
                <w:sz w:val="20"/>
              </w:rPr>
              <w:t>Las modalidades y los métodos de transmisión del PCI reconocidos por las comunidades, los grupos y los individuos se aprenden o se refuerzan y se incluyen en los programas de educación tanto formal como no formal.</w:t>
            </w:r>
          </w:p>
        </w:tc>
      </w:tr>
      <w:tr w:rsidR="009471C4" w:rsidRPr="002C2BE8" w14:paraId="7EB67280" w14:textId="77777777" w:rsidTr="00696A0B">
        <w:trPr>
          <w:cantSplit/>
        </w:trPr>
        <w:tc>
          <w:tcPr>
            <w:tcW w:w="5000" w:type="pct"/>
            <w:vAlign w:val="center"/>
          </w:tcPr>
          <w:p w14:paraId="61A12933" w14:textId="77777777" w:rsidR="009471C4" w:rsidRPr="008E320D" w:rsidRDefault="009471C4" w:rsidP="00DE6E1E">
            <w:pPr>
              <w:numPr>
                <w:ilvl w:val="1"/>
                <w:numId w:val="24"/>
              </w:numPr>
              <w:spacing w:before="60" w:after="60" w:line="240" w:lineRule="auto"/>
              <w:rPr>
                <w:rFonts w:ascii="Arial" w:hAnsi="Arial"/>
                <w:sz w:val="20"/>
                <w:szCs w:val="20"/>
              </w:rPr>
            </w:pPr>
            <w:r>
              <w:rPr>
                <w:rFonts w:ascii="Arial" w:hAnsi="Arial"/>
                <w:sz w:val="20"/>
              </w:rPr>
              <w:t>Los programas de formación de profesores y los programas para educadores en el ámbito no formal, incluyen enfoques para integrar el PCI y su salvaguardia en la educación.</w:t>
            </w:r>
          </w:p>
        </w:tc>
      </w:tr>
      <w:tr w:rsidR="009471C4" w:rsidRPr="002C2BE8" w14:paraId="77168597" w14:textId="77777777" w:rsidTr="008E320D">
        <w:trPr>
          <w:cantSplit/>
          <w:trHeight w:val="507"/>
        </w:trPr>
        <w:tc>
          <w:tcPr>
            <w:tcW w:w="5000" w:type="pct"/>
            <w:vAlign w:val="center"/>
          </w:tcPr>
          <w:p w14:paraId="385384B2" w14:textId="77777777" w:rsidR="009471C4" w:rsidRPr="008E320D" w:rsidRDefault="00300A10" w:rsidP="003F35DC">
            <w:pPr>
              <w:spacing w:before="60" w:after="60" w:line="240" w:lineRule="auto"/>
              <w:rPr>
                <w:rFonts w:ascii="Arial" w:hAnsi="Arial"/>
                <w:sz w:val="20"/>
                <w:szCs w:val="20"/>
              </w:rPr>
            </w:pPr>
            <w:r w:rsidRPr="00300A10">
              <w:rPr>
                <w:rFonts w:ascii="Arial" w:hAnsi="Arial"/>
                <w:sz w:val="20"/>
              </w:rPr>
              <w:t>6.2</w:t>
            </w:r>
            <w:r>
              <w:rPr>
                <w:rFonts w:ascii="Arial" w:hAnsi="Arial"/>
                <w:sz w:val="20"/>
              </w:rPr>
              <w:t xml:space="preserve">     </w:t>
            </w:r>
            <w:r w:rsidR="009471C4">
              <w:rPr>
                <w:rFonts w:ascii="Arial" w:hAnsi="Arial"/>
                <w:sz w:val="20"/>
              </w:rPr>
              <w:t>Las instituciones de educación superior ofrecen programas académicos y licenciaturas para estudiar el PCI así como sus dimensiones sociales, culturales y de otra índole.</w:t>
            </w:r>
          </w:p>
        </w:tc>
      </w:tr>
    </w:tbl>
    <w:p w14:paraId="360FE565" w14:textId="77777777" w:rsidR="009471C4" w:rsidRPr="008E320D" w:rsidRDefault="009471C4" w:rsidP="00696A0B">
      <w:pPr>
        <w:rPr>
          <w:rFonts w:ascii="Arial" w:hAnsi="Arial"/>
          <w:iCs/>
          <w:sz w:val="20"/>
          <w:szCs w:val="20"/>
        </w:rPr>
      </w:pPr>
    </w:p>
    <w:p w14:paraId="1AE03121" w14:textId="77777777" w:rsidR="009471C4" w:rsidRPr="008E320D" w:rsidRDefault="009471C4" w:rsidP="00696A0B">
      <w:pPr>
        <w:rPr>
          <w:rFonts w:ascii="Arial" w:hAnsi="Arial"/>
          <w:b/>
          <w:bCs/>
          <w:iCs/>
          <w:sz w:val="20"/>
          <w:szCs w:val="20"/>
        </w:rPr>
      </w:pPr>
      <w:r>
        <w:rPr>
          <w:rFonts w:ascii="Arial" w:hAnsi="Arial"/>
          <w:b/>
          <w:sz w:val="20"/>
        </w:rPr>
        <w:t>Elaboración de inventarios e investigación (área temática 3):</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9471C4" w:rsidRPr="002C2BE8" w14:paraId="3F218F68" w14:textId="77777777" w:rsidTr="00696A0B">
        <w:trPr>
          <w:cantSplit/>
        </w:trPr>
        <w:tc>
          <w:tcPr>
            <w:tcW w:w="5000" w:type="pct"/>
            <w:vAlign w:val="center"/>
          </w:tcPr>
          <w:p w14:paraId="25C985DF" w14:textId="77777777" w:rsidR="009471C4" w:rsidRPr="008E320D" w:rsidRDefault="009471C4" w:rsidP="00DE6E1E">
            <w:pPr>
              <w:numPr>
                <w:ilvl w:val="1"/>
                <w:numId w:val="25"/>
              </w:numPr>
              <w:spacing w:before="60" w:after="60" w:line="240" w:lineRule="auto"/>
              <w:rPr>
                <w:rFonts w:ascii="Arial" w:hAnsi="Arial"/>
                <w:sz w:val="20"/>
                <w:szCs w:val="20"/>
              </w:rPr>
            </w:pPr>
            <w:r>
              <w:rPr>
                <w:rFonts w:ascii="Arial" w:hAnsi="Arial"/>
                <w:sz w:val="20"/>
              </w:rPr>
              <w:t>Inventarios especializados o inventarios de distintos alcances reflejan la diversidad y contribuyen a salvaguardarla.</w:t>
            </w:r>
          </w:p>
        </w:tc>
      </w:tr>
      <w:tr w:rsidR="009471C4" w:rsidRPr="002C2BE8" w14:paraId="36D39471" w14:textId="77777777" w:rsidTr="00696A0B">
        <w:trPr>
          <w:cantSplit/>
        </w:trPr>
        <w:tc>
          <w:tcPr>
            <w:tcW w:w="5000" w:type="pct"/>
            <w:vAlign w:val="center"/>
          </w:tcPr>
          <w:p w14:paraId="058768FE" w14:textId="77777777" w:rsidR="009471C4" w:rsidRPr="008E320D" w:rsidRDefault="009471C4" w:rsidP="00696A0B">
            <w:pPr>
              <w:numPr>
                <w:ilvl w:val="1"/>
                <w:numId w:val="7"/>
              </w:numPr>
              <w:spacing w:before="60" w:after="60" w:line="240" w:lineRule="auto"/>
              <w:ind w:left="567" w:hanging="567"/>
              <w:rPr>
                <w:rFonts w:ascii="Arial" w:hAnsi="Arial"/>
                <w:sz w:val="20"/>
                <w:szCs w:val="20"/>
              </w:rPr>
            </w:pPr>
            <w:r>
              <w:rPr>
                <w:rFonts w:ascii="Arial" w:hAnsi="Arial"/>
                <w:sz w:val="20"/>
              </w:rPr>
              <w:t>Las comunidades, los grupos y las ONG relevantes participan de manera inclusiva en la elaboración de inventarios, que permite informar y fortalecer los esfuerzos en materia de salvaguardia.</w:t>
            </w:r>
          </w:p>
        </w:tc>
      </w:tr>
      <w:tr w:rsidR="009471C4" w:rsidRPr="002C2BE8" w14:paraId="0C4201F2" w14:textId="77777777" w:rsidTr="00696A0B">
        <w:trPr>
          <w:cantSplit/>
        </w:trPr>
        <w:tc>
          <w:tcPr>
            <w:tcW w:w="5000" w:type="pct"/>
            <w:vAlign w:val="center"/>
          </w:tcPr>
          <w:p w14:paraId="6DF2876B" w14:textId="77777777" w:rsidR="009471C4" w:rsidRPr="008E320D" w:rsidRDefault="009471C4" w:rsidP="00696A0B">
            <w:pPr>
              <w:numPr>
                <w:ilvl w:val="1"/>
                <w:numId w:val="8"/>
              </w:numPr>
              <w:spacing w:before="60" w:after="60" w:line="240" w:lineRule="auto"/>
              <w:ind w:left="567" w:hanging="567"/>
              <w:rPr>
                <w:rFonts w:ascii="Arial" w:hAnsi="Arial"/>
                <w:sz w:val="20"/>
                <w:szCs w:val="20"/>
              </w:rPr>
            </w:pPr>
            <w:r>
              <w:rPr>
                <w:rFonts w:ascii="Arial" w:hAnsi="Arial"/>
                <w:sz w:val="20"/>
              </w:rPr>
              <w:t>Apoyos financieros y de otra índole fomentan la investigación, los estudios científicos, técnicos y artísticos, la documentación y el registro, orientados a salvaguardar el PCI y son elaborados en conformidad con los principios éticos relevantes.</w:t>
            </w:r>
          </w:p>
        </w:tc>
      </w:tr>
      <w:tr w:rsidR="009471C4" w:rsidRPr="002C2BE8" w14:paraId="59281D1F" w14:textId="77777777" w:rsidTr="00696A0B">
        <w:trPr>
          <w:cantSplit/>
        </w:trPr>
        <w:tc>
          <w:tcPr>
            <w:tcW w:w="5000" w:type="pct"/>
            <w:vAlign w:val="center"/>
          </w:tcPr>
          <w:p w14:paraId="5B514DF2" w14:textId="77777777" w:rsidR="009471C4" w:rsidRPr="008E320D" w:rsidRDefault="009471C4" w:rsidP="00254491">
            <w:pPr>
              <w:numPr>
                <w:ilvl w:val="1"/>
                <w:numId w:val="9"/>
              </w:numPr>
              <w:spacing w:before="60" w:after="60" w:line="240" w:lineRule="auto"/>
              <w:ind w:left="567" w:hanging="567"/>
              <w:rPr>
                <w:rFonts w:ascii="Arial" w:hAnsi="Arial"/>
                <w:sz w:val="20"/>
                <w:szCs w:val="20"/>
              </w:rPr>
            </w:pPr>
            <w:r>
              <w:rPr>
                <w:rFonts w:ascii="Arial" w:hAnsi="Arial"/>
                <w:sz w:val="20"/>
              </w:rPr>
              <w:t xml:space="preserve">La documentación y los resultados de las investigaciones están disponibles para las comunidades, los grupos y los individuos </w:t>
            </w:r>
            <w:r w:rsidR="00254491">
              <w:rPr>
                <w:rFonts w:ascii="Arial" w:hAnsi="Arial"/>
                <w:sz w:val="20"/>
              </w:rPr>
              <w:t>―</w:t>
            </w:r>
            <w:r>
              <w:rPr>
                <w:rFonts w:ascii="Arial" w:hAnsi="Arial"/>
                <w:sz w:val="20"/>
              </w:rPr>
              <w:t>respetando las prácticas consuetudinarias por las que se rige el acceso a determinados aspectos del PCI</w:t>
            </w:r>
            <w:r w:rsidR="00254491">
              <w:rPr>
                <w:rFonts w:ascii="Arial" w:hAnsi="Arial"/>
                <w:sz w:val="20"/>
              </w:rPr>
              <w:t>―</w:t>
            </w:r>
            <w:r>
              <w:rPr>
                <w:rFonts w:ascii="Arial" w:hAnsi="Arial"/>
                <w:sz w:val="20"/>
              </w:rPr>
              <w:t>.</w:t>
            </w:r>
          </w:p>
        </w:tc>
      </w:tr>
      <w:tr w:rsidR="009471C4" w:rsidRPr="002C2BE8" w14:paraId="4B7B101D" w14:textId="77777777" w:rsidTr="00696A0B">
        <w:trPr>
          <w:cantSplit/>
        </w:trPr>
        <w:tc>
          <w:tcPr>
            <w:tcW w:w="5000" w:type="pct"/>
            <w:vAlign w:val="center"/>
          </w:tcPr>
          <w:p w14:paraId="72F210CA" w14:textId="77777777" w:rsidR="009471C4" w:rsidRPr="008E320D" w:rsidRDefault="009471C4" w:rsidP="00696A0B">
            <w:pPr>
              <w:numPr>
                <w:ilvl w:val="1"/>
                <w:numId w:val="9"/>
              </w:numPr>
              <w:spacing w:before="60" w:after="60" w:line="240" w:lineRule="auto"/>
              <w:ind w:left="567" w:hanging="567"/>
              <w:rPr>
                <w:rFonts w:ascii="Arial" w:hAnsi="Arial"/>
                <w:sz w:val="20"/>
                <w:szCs w:val="20"/>
              </w:rPr>
            </w:pPr>
            <w:r>
              <w:rPr>
                <w:rFonts w:ascii="Arial" w:hAnsi="Arial"/>
                <w:sz w:val="20"/>
              </w:rPr>
              <w:t>Los resultados de las investigaciones, la documentación y los estudios científicos, técnicos y artísticos sobre el PCI se utilizan con el fin de reforzar la elaboración de políticas en todos los sectores.</w:t>
            </w:r>
          </w:p>
        </w:tc>
      </w:tr>
    </w:tbl>
    <w:p w14:paraId="4B2616C1" w14:textId="77777777" w:rsidR="009471C4" w:rsidRPr="008E320D" w:rsidRDefault="009471C4" w:rsidP="00696A0B">
      <w:pPr>
        <w:rPr>
          <w:rFonts w:ascii="Arial" w:hAnsi="Arial"/>
          <w:iCs/>
          <w:sz w:val="20"/>
          <w:szCs w:val="20"/>
        </w:rPr>
      </w:pPr>
    </w:p>
    <w:p w14:paraId="0F43CB60" w14:textId="77777777" w:rsidR="009471C4" w:rsidRPr="008E320D" w:rsidRDefault="009471C4" w:rsidP="00696A0B">
      <w:pPr>
        <w:spacing w:after="0"/>
        <w:rPr>
          <w:rFonts w:ascii="Arial" w:hAnsi="Arial"/>
          <w:b/>
          <w:bCs/>
          <w:iCs/>
          <w:sz w:val="20"/>
          <w:szCs w:val="20"/>
        </w:rPr>
      </w:pPr>
      <w:r>
        <w:rPr>
          <w:rFonts w:ascii="Arial" w:hAnsi="Arial"/>
          <w:b/>
          <w:sz w:val="20"/>
        </w:rPr>
        <w:lastRenderedPageBreak/>
        <w:t xml:space="preserve">Políticas y </w:t>
      </w:r>
      <w:r>
        <w:rPr>
          <w:rFonts w:ascii="Arial" w:hAnsi="Arial"/>
          <w:b/>
          <w:color w:val="000000"/>
          <w:kern w:val="24"/>
          <w:sz w:val="20"/>
        </w:rPr>
        <w:t xml:space="preserve">medidas legales y administrativas </w:t>
      </w:r>
      <w:r>
        <w:rPr>
          <w:rFonts w:ascii="Arial" w:hAnsi="Arial"/>
          <w:b/>
          <w:sz w:val="20"/>
        </w:rPr>
        <w:t>(</w:t>
      </w:r>
      <w:r w:rsidR="00254491">
        <w:rPr>
          <w:rFonts w:ascii="Arial" w:hAnsi="Arial"/>
          <w:b/>
          <w:sz w:val="20"/>
        </w:rPr>
        <w:t>área temática</w:t>
      </w:r>
      <w:r>
        <w:rPr>
          <w:rFonts w:ascii="Arial" w:hAnsi="Arial"/>
          <w:b/>
          <w:sz w:val="20"/>
        </w:rPr>
        <w:t xml:space="preserve"> 4):</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9471C4" w:rsidRPr="002C2BE8" w14:paraId="75FB7EA0" w14:textId="77777777" w:rsidTr="00696A0B">
        <w:trPr>
          <w:cantSplit/>
        </w:trPr>
        <w:tc>
          <w:tcPr>
            <w:tcW w:w="5000" w:type="pct"/>
            <w:vAlign w:val="center"/>
          </w:tcPr>
          <w:p w14:paraId="36DDCC83" w14:textId="77777777" w:rsidR="009471C4" w:rsidRPr="00254491" w:rsidRDefault="009471C4" w:rsidP="00DE6E1E">
            <w:pPr>
              <w:numPr>
                <w:ilvl w:val="1"/>
                <w:numId w:val="26"/>
              </w:numPr>
              <w:spacing w:before="60" w:after="60" w:line="240" w:lineRule="auto"/>
              <w:rPr>
                <w:rFonts w:ascii="Arial" w:hAnsi="Arial"/>
                <w:sz w:val="20"/>
                <w:szCs w:val="20"/>
              </w:rPr>
            </w:pPr>
            <w:r>
              <w:rPr>
                <w:rFonts w:ascii="Arial" w:hAnsi="Arial"/>
                <w:sz w:val="20"/>
              </w:rPr>
              <w:t>Se han creado o actualizado estrategias nacionales o subregionales, o planes de acción para la salvaguardia del PCI, mismos que se implementan, entre ellos se incluyen los planes de salvaguardia de elementos específicos, independientemente de si están o no inscritos.</w:t>
            </w:r>
          </w:p>
        </w:tc>
      </w:tr>
      <w:tr w:rsidR="009471C4" w:rsidRPr="002C2BE8" w14:paraId="4331BE82" w14:textId="77777777" w:rsidTr="00696A0B">
        <w:trPr>
          <w:cantSplit/>
        </w:trPr>
        <w:tc>
          <w:tcPr>
            <w:tcW w:w="5000" w:type="pct"/>
            <w:vAlign w:val="center"/>
          </w:tcPr>
          <w:p w14:paraId="4C35B370" w14:textId="77777777" w:rsidR="009471C4" w:rsidRPr="008E320D" w:rsidRDefault="009471C4" w:rsidP="00DE6E1E">
            <w:pPr>
              <w:numPr>
                <w:ilvl w:val="1"/>
                <w:numId w:val="27"/>
              </w:numPr>
              <w:spacing w:before="60" w:after="60" w:line="240" w:lineRule="auto"/>
              <w:rPr>
                <w:rFonts w:ascii="Arial" w:hAnsi="Arial"/>
                <w:sz w:val="20"/>
                <w:szCs w:val="20"/>
              </w:rPr>
            </w:pPr>
            <w:r>
              <w:rPr>
                <w:rFonts w:ascii="Arial" w:hAnsi="Arial"/>
                <w:sz w:val="20"/>
              </w:rPr>
              <w:t>Las políticas culturales y/o las medidas legales y administrativas que incluyen el PCI y su salvaguardia se elaboran con la participación activa de comunidades, grupos e individuos.</w:t>
            </w:r>
          </w:p>
        </w:tc>
      </w:tr>
      <w:tr w:rsidR="009471C4" w:rsidRPr="002C2BE8" w14:paraId="7DB82441" w14:textId="77777777" w:rsidTr="00696A0B">
        <w:trPr>
          <w:cantSplit/>
        </w:trPr>
        <w:tc>
          <w:tcPr>
            <w:tcW w:w="5000" w:type="pct"/>
            <w:vAlign w:val="center"/>
          </w:tcPr>
          <w:p w14:paraId="66664D80" w14:textId="77777777" w:rsidR="009471C4" w:rsidRPr="008E320D" w:rsidRDefault="009471C4" w:rsidP="00DE6E1E">
            <w:pPr>
              <w:numPr>
                <w:ilvl w:val="1"/>
                <w:numId w:val="28"/>
              </w:numPr>
              <w:spacing w:before="60" w:after="60" w:line="240" w:lineRule="auto"/>
              <w:rPr>
                <w:rFonts w:ascii="Arial" w:hAnsi="Arial"/>
                <w:sz w:val="20"/>
                <w:szCs w:val="20"/>
              </w:rPr>
            </w:pPr>
            <w:r>
              <w:rPr>
                <w:rFonts w:ascii="Arial" w:hAnsi="Arial"/>
                <w:sz w:val="20"/>
              </w:rPr>
              <w:t>Políticas y/o medidas legales y administrativas que promuevan la enseñanza en la lengua materna y la educación multilingüe.</w:t>
            </w:r>
          </w:p>
        </w:tc>
      </w:tr>
      <w:tr w:rsidR="009471C4" w:rsidRPr="002C2BE8" w14:paraId="5360963B" w14:textId="77777777" w:rsidTr="00696A0B">
        <w:trPr>
          <w:cantSplit/>
          <w:trHeight w:val="675"/>
        </w:trPr>
        <w:tc>
          <w:tcPr>
            <w:tcW w:w="5000" w:type="pct"/>
            <w:vAlign w:val="center"/>
          </w:tcPr>
          <w:p w14:paraId="1C53BC04" w14:textId="77777777" w:rsidR="009471C4" w:rsidRPr="008E320D" w:rsidRDefault="009471C4" w:rsidP="00DE6E1E">
            <w:pPr>
              <w:numPr>
                <w:ilvl w:val="1"/>
                <w:numId w:val="29"/>
              </w:numPr>
              <w:spacing w:before="60" w:after="60" w:line="240" w:lineRule="auto"/>
              <w:rPr>
                <w:rFonts w:ascii="Arial" w:hAnsi="Arial"/>
                <w:sz w:val="20"/>
                <w:szCs w:val="20"/>
              </w:rPr>
            </w:pPr>
            <w:r>
              <w:rPr>
                <w:rFonts w:ascii="Arial" w:hAnsi="Arial"/>
                <w:sz w:val="20"/>
              </w:rPr>
              <w:t>Políticas y/o medidas administrativas y legales para responder a situaciones de desastres naturales o de conflicto armado se ponen en práctica o se actualizan con el objetivo de que se tome en cuenta el PCI afectado y se reconozca su importancia para la resiliencia de las poblaciones afectadas.</w:t>
            </w:r>
          </w:p>
        </w:tc>
      </w:tr>
      <w:tr w:rsidR="009471C4" w:rsidRPr="002C2BE8" w14:paraId="5B3F71AD" w14:textId="77777777" w:rsidTr="00696A0B">
        <w:trPr>
          <w:cantSplit/>
          <w:trHeight w:val="675"/>
        </w:trPr>
        <w:tc>
          <w:tcPr>
            <w:tcW w:w="5000" w:type="pct"/>
            <w:vAlign w:val="center"/>
          </w:tcPr>
          <w:p w14:paraId="3B7038CA" w14:textId="77777777" w:rsidR="009471C4" w:rsidRPr="008E320D" w:rsidRDefault="009471C4" w:rsidP="00DE6E1E">
            <w:pPr>
              <w:numPr>
                <w:ilvl w:val="1"/>
                <w:numId w:val="30"/>
              </w:numPr>
              <w:spacing w:before="60" w:after="60" w:line="240" w:lineRule="auto"/>
              <w:rPr>
                <w:rFonts w:ascii="Arial" w:hAnsi="Arial"/>
                <w:sz w:val="20"/>
                <w:szCs w:val="20"/>
              </w:rPr>
            </w:pPr>
            <w:r>
              <w:rPr>
                <w:rFonts w:ascii="Arial" w:hAnsi="Arial"/>
                <w:sz w:val="20"/>
              </w:rPr>
              <w:t>Medidas o incentivos fiscales o financieros favorables con el fin de facilitar o fomentar la práctica y la transmisión del PCI y aumentar la disponibilidad de los recursos naturales o de otra índole necesarios para su práctica.</w:t>
            </w:r>
          </w:p>
        </w:tc>
      </w:tr>
    </w:tbl>
    <w:p w14:paraId="2BF8E0F3" w14:textId="77777777" w:rsidR="009471C4" w:rsidRPr="008E320D" w:rsidRDefault="009471C4" w:rsidP="00696A0B">
      <w:pPr>
        <w:rPr>
          <w:rFonts w:ascii="Arial" w:hAnsi="Arial"/>
          <w:b/>
          <w:bCs/>
          <w:iCs/>
          <w:sz w:val="20"/>
          <w:szCs w:val="20"/>
        </w:rPr>
      </w:pPr>
    </w:p>
    <w:p w14:paraId="05DAA1B9" w14:textId="77777777" w:rsidR="009471C4" w:rsidRPr="008E320D" w:rsidRDefault="009471C4" w:rsidP="00696A0B">
      <w:pPr>
        <w:spacing w:after="0"/>
        <w:rPr>
          <w:rFonts w:ascii="Arial" w:hAnsi="Arial"/>
          <w:b/>
          <w:bCs/>
          <w:iCs/>
          <w:sz w:val="20"/>
          <w:szCs w:val="20"/>
        </w:rPr>
      </w:pPr>
      <w:r>
        <w:rPr>
          <w:rFonts w:ascii="Arial" w:hAnsi="Arial"/>
          <w:b/>
          <w:sz w:val="20"/>
        </w:rPr>
        <w:t>Sensibilización (área temática 5)</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9471C4" w:rsidRPr="002C2BE8" w14:paraId="193E51EE" w14:textId="77777777" w:rsidTr="00696A0B">
        <w:trPr>
          <w:cantSplit/>
        </w:trPr>
        <w:tc>
          <w:tcPr>
            <w:tcW w:w="5000" w:type="pct"/>
            <w:vAlign w:val="center"/>
          </w:tcPr>
          <w:p w14:paraId="2F7AE8B6" w14:textId="77777777" w:rsidR="009471C4" w:rsidRPr="008E320D" w:rsidRDefault="009471C4" w:rsidP="00DE6E1E">
            <w:pPr>
              <w:numPr>
                <w:ilvl w:val="1"/>
                <w:numId w:val="31"/>
              </w:numPr>
              <w:spacing w:before="60" w:after="60" w:line="240" w:lineRule="auto"/>
              <w:rPr>
                <w:rFonts w:ascii="Arial" w:hAnsi="Arial"/>
                <w:sz w:val="20"/>
                <w:szCs w:val="20"/>
              </w:rPr>
            </w:pPr>
            <w:r>
              <w:rPr>
                <w:rFonts w:ascii="Arial" w:hAnsi="Arial"/>
                <w:sz w:val="20"/>
              </w:rPr>
              <w:t>Los derechos de las comunidades, de los grupos y de los individuos y sus intereses morales y materiales están debidamente protegidos cuando se lleven a cabo actividades de sensibilización sobre su PCI.</w:t>
            </w:r>
          </w:p>
        </w:tc>
      </w:tr>
      <w:tr w:rsidR="009471C4" w:rsidRPr="002C2BE8" w14:paraId="6E817161" w14:textId="77777777" w:rsidTr="00696A0B">
        <w:trPr>
          <w:cantSplit/>
        </w:trPr>
        <w:tc>
          <w:tcPr>
            <w:tcW w:w="5000" w:type="pct"/>
            <w:vAlign w:val="center"/>
          </w:tcPr>
          <w:p w14:paraId="06D9D9B4" w14:textId="77777777" w:rsidR="009471C4" w:rsidRPr="008E320D" w:rsidRDefault="009471C4" w:rsidP="00DE6E1E">
            <w:pPr>
              <w:numPr>
                <w:ilvl w:val="1"/>
                <w:numId w:val="31"/>
              </w:numPr>
              <w:spacing w:before="60" w:after="60" w:line="240" w:lineRule="auto"/>
              <w:rPr>
                <w:rFonts w:ascii="Arial" w:hAnsi="Arial"/>
                <w:sz w:val="20"/>
                <w:szCs w:val="20"/>
              </w:rPr>
            </w:pPr>
            <w:r>
              <w:rPr>
                <w:rFonts w:ascii="Arial" w:hAnsi="Arial"/>
                <w:sz w:val="20"/>
              </w:rPr>
              <w:t>Los jóvenes participan activamente en las actividades de sensibilización, así como en la recolección y en la divulgación de información sobre el patrimonio cultural inmaterial de sus comunidades o grupos.</w:t>
            </w:r>
          </w:p>
        </w:tc>
      </w:tr>
      <w:tr w:rsidR="009471C4" w:rsidRPr="002C2BE8" w14:paraId="2C836A62" w14:textId="77777777" w:rsidTr="00696A0B">
        <w:trPr>
          <w:cantSplit/>
        </w:trPr>
        <w:tc>
          <w:tcPr>
            <w:tcW w:w="5000" w:type="pct"/>
            <w:vAlign w:val="center"/>
          </w:tcPr>
          <w:p w14:paraId="76E78FC5" w14:textId="77777777" w:rsidR="009471C4" w:rsidRPr="008E320D" w:rsidRDefault="009471C4" w:rsidP="00DE6E1E">
            <w:pPr>
              <w:numPr>
                <w:ilvl w:val="1"/>
                <w:numId w:val="32"/>
              </w:numPr>
              <w:spacing w:before="60" w:after="60" w:line="240" w:lineRule="auto"/>
              <w:rPr>
                <w:rFonts w:ascii="Arial" w:hAnsi="Arial"/>
                <w:sz w:val="20"/>
                <w:szCs w:val="20"/>
              </w:rPr>
            </w:pPr>
            <w:r>
              <w:rPr>
                <w:rFonts w:ascii="Arial" w:hAnsi="Arial"/>
                <w:sz w:val="20"/>
              </w:rPr>
              <w:t>La programación de los medios de comunicación sobre el PCI es inclusiva y utiliza la lengua de las comunidades y los grupos interesados y/o se dirige a distintos públicos objetivos.</w:t>
            </w:r>
          </w:p>
        </w:tc>
      </w:tr>
      <w:tr w:rsidR="009471C4" w:rsidRPr="002C2BE8" w14:paraId="1866456A" w14:textId="77777777" w:rsidTr="00696A0B">
        <w:trPr>
          <w:cantSplit/>
        </w:trPr>
        <w:tc>
          <w:tcPr>
            <w:tcW w:w="5000" w:type="pct"/>
            <w:vAlign w:val="center"/>
          </w:tcPr>
          <w:p w14:paraId="48950825" w14:textId="77777777" w:rsidR="009471C4" w:rsidRPr="008E320D" w:rsidRDefault="009471C4" w:rsidP="00DE6E1E">
            <w:pPr>
              <w:numPr>
                <w:ilvl w:val="1"/>
                <w:numId w:val="33"/>
              </w:numPr>
              <w:spacing w:before="60" w:after="60" w:line="240" w:lineRule="auto"/>
              <w:rPr>
                <w:rFonts w:ascii="Arial" w:hAnsi="Arial"/>
                <w:sz w:val="20"/>
                <w:szCs w:val="20"/>
              </w:rPr>
            </w:pPr>
            <w:r>
              <w:rPr>
                <w:rFonts w:ascii="Arial" w:hAnsi="Arial"/>
                <w:sz w:val="20"/>
              </w:rPr>
              <w:t>La información pública sobre el PCI que promueva el respeto mutuo y el reconocimiento entre las comunidades y los grupos.</w:t>
            </w:r>
          </w:p>
        </w:tc>
      </w:tr>
      <w:tr w:rsidR="009471C4" w:rsidRPr="002C2BE8" w14:paraId="5B0BF3E2" w14:textId="77777777" w:rsidTr="00696A0B">
        <w:trPr>
          <w:cantSplit/>
        </w:trPr>
        <w:tc>
          <w:tcPr>
            <w:tcW w:w="5000" w:type="pct"/>
            <w:vAlign w:val="center"/>
          </w:tcPr>
          <w:p w14:paraId="2681C269" w14:textId="77777777" w:rsidR="009471C4" w:rsidRPr="008E320D" w:rsidRDefault="009471C4" w:rsidP="00696A0B">
            <w:pPr>
              <w:numPr>
                <w:ilvl w:val="1"/>
                <w:numId w:val="17"/>
              </w:numPr>
              <w:spacing w:before="60" w:after="60" w:line="240" w:lineRule="auto"/>
              <w:ind w:left="567" w:hanging="567"/>
              <w:rPr>
                <w:rFonts w:ascii="Arial" w:hAnsi="Arial"/>
                <w:sz w:val="20"/>
                <w:szCs w:val="20"/>
              </w:rPr>
            </w:pPr>
            <w:r>
              <w:rPr>
                <w:rFonts w:ascii="Arial" w:hAnsi="Arial"/>
                <w:sz w:val="20"/>
              </w:rPr>
              <w:t>Se respetan los Principios Éticos para la Salvaguardia del Patrimonio Cultural Inmaterial en las actividades de sensibilización.</w:t>
            </w:r>
          </w:p>
        </w:tc>
      </w:tr>
    </w:tbl>
    <w:p w14:paraId="749818B7" w14:textId="77777777" w:rsidR="009471C4" w:rsidRPr="008E320D" w:rsidRDefault="009471C4" w:rsidP="00696A0B">
      <w:pPr>
        <w:spacing w:after="0"/>
        <w:rPr>
          <w:rFonts w:ascii="Arial" w:hAnsi="Arial"/>
          <w:iCs/>
          <w:sz w:val="20"/>
          <w:szCs w:val="20"/>
        </w:rPr>
      </w:pPr>
    </w:p>
    <w:p w14:paraId="09F908BD" w14:textId="77777777" w:rsidR="009471C4" w:rsidRPr="008E320D" w:rsidRDefault="009471C4" w:rsidP="00696A0B">
      <w:pPr>
        <w:spacing w:after="0"/>
        <w:rPr>
          <w:rFonts w:ascii="Arial" w:hAnsi="Arial"/>
          <w:b/>
          <w:bCs/>
          <w:iCs/>
          <w:sz w:val="20"/>
          <w:szCs w:val="20"/>
        </w:rPr>
      </w:pPr>
      <w:r>
        <w:rPr>
          <w:rFonts w:ascii="Arial" w:hAnsi="Arial"/>
          <w:b/>
          <w:sz w:val="20"/>
        </w:rPr>
        <w:t xml:space="preserve">Participación </w:t>
      </w:r>
      <w:r>
        <w:rPr>
          <w:rFonts w:ascii="Arial" w:hAnsi="Arial"/>
          <w:b/>
          <w:color w:val="000000"/>
          <w:kern w:val="24"/>
          <w:sz w:val="20"/>
        </w:rPr>
        <w:t>de las comunidades, los grupos y los individuos así como de otros</w:t>
      </w:r>
      <w:r>
        <w:rPr>
          <w:rFonts w:ascii="Arial" w:hAnsi="Arial"/>
          <w:b/>
          <w:sz w:val="20"/>
        </w:rPr>
        <w:t xml:space="preserve"> actores interesados (área temática 6):</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9471C4" w:rsidRPr="002C2BE8" w14:paraId="378603CD" w14:textId="77777777" w:rsidTr="00696A0B">
        <w:trPr>
          <w:cantSplit/>
        </w:trPr>
        <w:tc>
          <w:tcPr>
            <w:tcW w:w="5000" w:type="pct"/>
            <w:vAlign w:val="center"/>
          </w:tcPr>
          <w:p w14:paraId="31D0EFA3" w14:textId="77777777" w:rsidR="009471C4" w:rsidRPr="008E320D" w:rsidRDefault="009471C4" w:rsidP="00696A0B">
            <w:pPr>
              <w:numPr>
                <w:ilvl w:val="1"/>
                <w:numId w:val="18"/>
              </w:numPr>
              <w:spacing w:before="60" w:after="60" w:line="240" w:lineRule="auto"/>
              <w:ind w:left="567" w:hanging="567"/>
              <w:rPr>
                <w:rFonts w:ascii="Arial" w:hAnsi="Arial"/>
                <w:vanish/>
                <w:sz w:val="20"/>
                <w:szCs w:val="20"/>
              </w:rPr>
            </w:pPr>
            <w:r>
              <w:rPr>
                <w:rFonts w:ascii="Arial" w:hAnsi="Arial"/>
                <w:sz w:val="20"/>
              </w:rPr>
              <w:t>Las comunidades, los grupos y los individuos participan, sobre una base inclusiva y de la manera más amplia posible, en la salvaguardia del PCI de manera general así como en la salvaguardia de elementos específicos del PCI, independientemente de si están o no inscritos.</w:t>
            </w:r>
          </w:p>
        </w:tc>
      </w:tr>
      <w:tr w:rsidR="009471C4" w:rsidRPr="002C2BE8" w14:paraId="361C7E57" w14:textId="77777777" w:rsidTr="00696A0B">
        <w:trPr>
          <w:cantSplit/>
        </w:trPr>
        <w:tc>
          <w:tcPr>
            <w:tcW w:w="5000" w:type="pct"/>
            <w:vAlign w:val="center"/>
          </w:tcPr>
          <w:p w14:paraId="2B4CA32B" w14:textId="77777777" w:rsidR="009471C4" w:rsidRPr="008E320D" w:rsidRDefault="009471C4" w:rsidP="00696A0B">
            <w:pPr>
              <w:numPr>
                <w:ilvl w:val="1"/>
                <w:numId w:val="18"/>
              </w:numPr>
              <w:spacing w:before="60" w:after="60" w:line="240" w:lineRule="auto"/>
              <w:ind w:left="567" w:hanging="567"/>
              <w:rPr>
                <w:rFonts w:ascii="Arial" w:hAnsi="Arial"/>
                <w:sz w:val="20"/>
                <w:szCs w:val="20"/>
              </w:rPr>
            </w:pPr>
            <w:r>
              <w:rPr>
                <w:rFonts w:ascii="Arial" w:hAnsi="Arial"/>
                <w:sz w:val="20"/>
              </w:rPr>
              <w:t>ONG y otros actores de la sociedad civil participan en la salvaguardia del PCI en general y en el de elementos específicos del PCI, independientemente de si están o no inscritos.</w:t>
            </w:r>
          </w:p>
        </w:tc>
      </w:tr>
      <w:tr w:rsidR="009471C4" w:rsidRPr="002C2BE8" w14:paraId="51715989" w14:textId="77777777" w:rsidTr="00696A0B">
        <w:trPr>
          <w:cantSplit/>
        </w:trPr>
        <w:tc>
          <w:tcPr>
            <w:tcW w:w="5000" w:type="pct"/>
            <w:vAlign w:val="center"/>
          </w:tcPr>
          <w:p w14:paraId="7E27A1A6" w14:textId="77777777" w:rsidR="009471C4" w:rsidRPr="008E320D" w:rsidRDefault="009471C4" w:rsidP="00696A0B">
            <w:pPr>
              <w:numPr>
                <w:ilvl w:val="1"/>
                <w:numId w:val="18"/>
              </w:numPr>
              <w:spacing w:before="60" w:after="60" w:line="240" w:lineRule="auto"/>
              <w:ind w:left="567" w:hanging="567"/>
              <w:rPr>
                <w:rFonts w:ascii="Arial" w:hAnsi="Arial"/>
                <w:sz w:val="20"/>
                <w:szCs w:val="20"/>
              </w:rPr>
            </w:pPr>
            <w:r>
              <w:rPr>
                <w:rFonts w:ascii="Arial" w:hAnsi="Arial"/>
                <w:sz w:val="20"/>
              </w:rPr>
              <w:t>Entidades del sector privado participan en la salvaguardia del PCI y de elementos específicos del PCI, independientemente de si están o no inscritos, respetando los Principios Éticos de la Salvaguardia del PCI</w:t>
            </w:r>
          </w:p>
        </w:tc>
      </w:tr>
      <w:tr w:rsidR="009471C4" w:rsidRPr="002C2BE8" w14:paraId="734FC57A" w14:textId="77777777" w:rsidTr="00696A0B">
        <w:trPr>
          <w:cantSplit/>
        </w:trPr>
        <w:tc>
          <w:tcPr>
            <w:tcW w:w="5000" w:type="pct"/>
            <w:vAlign w:val="center"/>
          </w:tcPr>
          <w:p w14:paraId="0484BCE8" w14:textId="77777777" w:rsidR="009471C4" w:rsidRPr="008E320D" w:rsidRDefault="009471C4" w:rsidP="00696A0B">
            <w:pPr>
              <w:numPr>
                <w:ilvl w:val="1"/>
                <w:numId w:val="19"/>
              </w:numPr>
              <w:spacing w:before="60" w:after="60" w:line="240" w:lineRule="auto"/>
              <w:ind w:left="567" w:hanging="567"/>
              <w:rPr>
                <w:rFonts w:ascii="Arial" w:hAnsi="Arial"/>
                <w:vanish/>
                <w:sz w:val="20"/>
                <w:szCs w:val="20"/>
              </w:rPr>
            </w:pPr>
            <w:r>
              <w:rPr>
                <w:rFonts w:ascii="Arial" w:hAnsi="Arial"/>
                <w:sz w:val="20"/>
              </w:rPr>
              <w:t>Entorno propicio para las comunidades, los grupos y los individuos interesados para monitorear y llevar a cabo estudios científicos, técnicos y artísticos sobre programas y medidas de salvaguardia del PCI.</w:t>
            </w:r>
          </w:p>
        </w:tc>
      </w:tr>
      <w:tr w:rsidR="009471C4" w:rsidRPr="002C2BE8" w14:paraId="030CFDC2" w14:textId="77777777" w:rsidTr="00696A0B">
        <w:trPr>
          <w:cantSplit/>
        </w:trPr>
        <w:tc>
          <w:tcPr>
            <w:tcW w:w="5000" w:type="pct"/>
            <w:vAlign w:val="center"/>
          </w:tcPr>
          <w:p w14:paraId="5657D82C" w14:textId="77777777" w:rsidR="009471C4" w:rsidRPr="008E320D" w:rsidRDefault="009471C4" w:rsidP="00696A0B">
            <w:pPr>
              <w:numPr>
                <w:ilvl w:val="1"/>
                <w:numId w:val="19"/>
              </w:numPr>
              <w:spacing w:before="60" w:after="60" w:line="240" w:lineRule="auto"/>
              <w:ind w:left="567" w:hanging="567"/>
              <w:rPr>
                <w:rFonts w:ascii="Arial" w:hAnsi="Arial"/>
                <w:sz w:val="20"/>
                <w:szCs w:val="20"/>
              </w:rPr>
            </w:pPr>
            <w:r>
              <w:rPr>
                <w:rFonts w:ascii="Arial" w:hAnsi="Arial"/>
                <w:sz w:val="20"/>
              </w:rPr>
              <w:t>Entorno propicio para ONG y otros órganos de la sociedad civil para monitorear y llevar a cabo estudios científicos, técnicos y artísticos sobre programas y medidas de salvaguardia del PCI.</w:t>
            </w:r>
          </w:p>
        </w:tc>
        <w:bookmarkStart w:id="0" w:name="_GoBack"/>
        <w:bookmarkEnd w:id="0"/>
      </w:tr>
    </w:tbl>
    <w:p w14:paraId="246FB2ED" w14:textId="77777777" w:rsidR="009471C4" w:rsidRPr="008E320D" w:rsidRDefault="009471C4" w:rsidP="00696A0B">
      <w:pPr>
        <w:spacing w:after="0"/>
        <w:rPr>
          <w:rFonts w:ascii="Arial" w:hAnsi="Arial"/>
          <w:b/>
          <w:bCs/>
          <w:iCs/>
          <w:sz w:val="20"/>
          <w:szCs w:val="20"/>
        </w:rPr>
      </w:pPr>
    </w:p>
    <w:p w14:paraId="6C2FF175" w14:textId="77777777" w:rsidR="009471C4" w:rsidRPr="008E320D" w:rsidRDefault="009471C4" w:rsidP="00840BE7">
      <w:pPr>
        <w:rPr>
          <w:rFonts w:ascii="Arial" w:hAnsi="Arial"/>
          <w:b/>
          <w:iCs/>
          <w:sz w:val="20"/>
          <w:szCs w:val="20"/>
        </w:rPr>
      </w:pPr>
      <w:r>
        <w:rPr>
          <w:rFonts w:ascii="Arial" w:hAnsi="Arial"/>
          <w:b/>
          <w:sz w:val="20"/>
        </w:rPr>
        <w:t xml:space="preserve">Preguntas para la reflexión: </w:t>
      </w:r>
    </w:p>
    <w:p w14:paraId="064F11AA" w14:textId="77777777" w:rsidR="009471C4" w:rsidRPr="008E320D" w:rsidRDefault="009471C4" w:rsidP="003166E5">
      <w:pPr>
        <w:pStyle w:val="Paragraphedeliste"/>
        <w:numPr>
          <w:ilvl w:val="0"/>
          <w:numId w:val="1"/>
        </w:numPr>
        <w:rPr>
          <w:rFonts w:ascii="Arial" w:hAnsi="Arial" w:cs="Arial"/>
          <w:iCs/>
          <w:sz w:val="20"/>
          <w:szCs w:val="20"/>
        </w:rPr>
      </w:pPr>
      <w:r>
        <w:rPr>
          <w:rFonts w:ascii="Arial" w:hAnsi="Arial"/>
          <w:sz w:val="20"/>
        </w:rPr>
        <w:lastRenderedPageBreak/>
        <w:t>¿Cómo se seleccionaron estos factores de evaluación (es decir, cuáles son sus fuentes)?</w:t>
      </w:r>
    </w:p>
    <w:p w14:paraId="2265597D" w14:textId="77777777" w:rsidR="009471C4" w:rsidRPr="008E320D" w:rsidRDefault="009471C4" w:rsidP="000F263A">
      <w:pPr>
        <w:pStyle w:val="Paragraphedeliste"/>
        <w:numPr>
          <w:ilvl w:val="0"/>
          <w:numId w:val="1"/>
        </w:numPr>
        <w:rPr>
          <w:rFonts w:ascii="Arial" w:hAnsi="Arial" w:cs="Arial"/>
          <w:iCs/>
          <w:sz w:val="20"/>
          <w:szCs w:val="20"/>
        </w:rPr>
      </w:pPr>
      <w:r>
        <w:rPr>
          <w:rFonts w:ascii="Arial" w:hAnsi="Arial"/>
          <w:sz w:val="20"/>
        </w:rPr>
        <w:t>¿Cuáles de estos factores de evaluación miden aspectos puramente cuantitativos del indicador?</w:t>
      </w:r>
    </w:p>
    <w:p w14:paraId="2526C2C4" w14:textId="77777777" w:rsidR="009471C4" w:rsidRPr="008E320D" w:rsidRDefault="009471C4" w:rsidP="000F263A">
      <w:pPr>
        <w:pStyle w:val="Paragraphedeliste"/>
        <w:numPr>
          <w:ilvl w:val="0"/>
          <w:numId w:val="1"/>
        </w:numPr>
        <w:rPr>
          <w:rFonts w:ascii="Arial" w:hAnsi="Arial" w:cs="Arial"/>
          <w:iCs/>
          <w:sz w:val="20"/>
          <w:szCs w:val="20"/>
        </w:rPr>
      </w:pPr>
      <w:r>
        <w:rPr>
          <w:rFonts w:ascii="Arial" w:hAnsi="Arial"/>
          <w:sz w:val="20"/>
        </w:rPr>
        <w:t>¿Cuáles de estos factores de evaluación miden aspectos cualitativos?</w:t>
      </w:r>
    </w:p>
    <w:p w14:paraId="5B0A8F13" w14:textId="77777777" w:rsidR="009471C4" w:rsidRPr="008E320D" w:rsidRDefault="009471C4" w:rsidP="000F263A">
      <w:pPr>
        <w:pStyle w:val="Paragraphedeliste"/>
        <w:numPr>
          <w:ilvl w:val="0"/>
          <w:numId w:val="1"/>
        </w:numPr>
        <w:rPr>
          <w:rFonts w:ascii="Arial" w:hAnsi="Arial" w:cs="Arial"/>
          <w:iCs/>
          <w:sz w:val="20"/>
          <w:szCs w:val="20"/>
        </w:rPr>
      </w:pPr>
      <w:r>
        <w:rPr>
          <w:rFonts w:ascii="Arial" w:hAnsi="Arial"/>
          <w:sz w:val="20"/>
        </w:rPr>
        <w:t>¿Qué le imprime a un factor de evaluación un carácter más cualitativo?</w:t>
      </w:r>
    </w:p>
    <w:p w14:paraId="3F1FBCBF" w14:textId="77777777" w:rsidR="009471C4" w:rsidRPr="008E320D" w:rsidRDefault="009471C4" w:rsidP="00840BE7">
      <w:pPr>
        <w:pStyle w:val="Paragraphedeliste"/>
        <w:numPr>
          <w:ilvl w:val="0"/>
          <w:numId w:val="1"/>
        </w:numPr>
        <w:rPr>
          <w:rFonts w:ascii="Arial" w:hAnsi="Arial" w:cs="Arial"/>
          <w:iCs/>
          <w:sz w:val="20"/>
          <w:szCs w:val="20"/>
        </w:rPr>
      </w:pPr>
      <w:r>
        <w:rPr>
          <w:rFonts w:ascii="Arial" w:hAnsi="Arial"/>
          <w:sz w:val="20"/>
        </w:rPr>
        <w:t>¿Qué disponibilidad de datos e información existe para estos indicadores?</w:t>
      </w:r>
    </w:p>
    <w:p w14:paraId="3F98B3FE" w14:textId="77777777" w:rsidR="009471C4" w:rsidRPr="008E320D" w:rsidRDefault="009471C4" w:rsidP="00840BE7">
      <w:pPr>
        <w:pStyle w:val="Paragraphedeliste"/>
        <w:numPr>
          <w:ilvl w:val="0"/>
          <w:numId w:val="1"/>
        </w:numPr>
        <w:rPr>
          <w:rFonts w:ascii="Arial" w:hAnsi="Arial" w:cs="Arial"/>
          <w:iCs/>
          <w:sz w:val="20"/>
          <w:szCs w:val="20"/>
        </w:rPr>
      </w:pPr>
      <w:r>
        <w:rPr>
          <w:rFonts w:ascii="Arial" w:hAnsi="Arial"/>
          <w:sz w:val="20"/>
        </w:rPr>
        <w:t>¿Qué actores y partes interesadas están en condiciones de aportar datos e información?</w:t>
      </w:r>
    </w:p>
    <w:p w14:paraId="603DF17C" w14:textId="77777777" w:rsidR="009471C4" w:rsidRPr="008E320D" w:rsidRDefault="009471C4" w:rsidP="00840BE7">
      <w:pPr>
        <w:pStyle w:val="Paragraphedeliste"/>
        <w:numPr>
          <w:ilvl w:val="0"/>
          <w:numId w:val="1"/>
        </w:numPr>
        <w:rPr>
          <w:rFonts w:ascii="Arial" w:hAnsi="Arial" w:cs="Arial"/>
          <w:iCs/>
          <w:sz w:val="20"/>
          <w:szCs w:val="20"/>
        </w:rPr>
      </w:pPr>
      <w:r>
        <w:rPr>
          <w:rFonts w:ascii="Arial" w:hAnsi="Arial"/>
          <w:sz w:val="20"/>
        </w:rPr>
        <w:t>¿Es posible continuar midiendo estos factores de evaluación en el transcurso del tiempo?</w:t>
      </w:r>
    </w:p>
    <w:p w14:paraId="4366168F" w14:textId="77777777" w:rsidR="009471C4" w:rsidRPr="008E320D" w:rsidRDefault="009471C4" w:rsidP="00840BE7">
      <w:pPr>
        <w:pStyle w:val="Paragraphedeliste"/>
        <w:numPr>
          <w:ilvl w:val="0"/>
          <w:numId w:val="1"/>
        </w:numPr>
        <w:rPr>
          <w:rFonts w:ascii="Arial" w:hAnsi="Arial" w:cs="Arial"/>
          <w:iCs/>
          <w:sz w:val="20"/>
          <w:szCs w:val="20"/>
        </w:rPr>
      </w:pPr>
      <w:r>
        <w:rPr>
          <w:rFonts w:ascii="Arial" w:hAnsi="Arial"/>
          <w:sz w:val="20"/>
        </w:rPr>
        <w:t>¿De qué modo estos factores de evaluación aportan información para establecer los puntos de referencia y las metas para el indicador asociado?</w:t>
      </w:r>
    </w:p>
    <w:sectPr w:rsidR="009471C4" w:rsidRPr="008E320D" w:rsidSect="003F7A1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619A8" w14:textId="77777777" w:rsidR="004E099D" w:rsidRDefault="004E099D" w:rsidP="00002413">
      <w:pPr>
        <w:spacing w:after="0" w:line="240" w:lineRule="auto"/>
      </w:pPr>
      <w:r>
        <w:separator/>
      </w:r>
    </w:p>
  </w:endnote>
  <w:endnote w:type="continuationSeparator" w:id="0">
    <w:p w14:paraId="18A2766C" w14:textId="77777777" w:rsidR="004E099D" w:rsidRDefault="004E099D" w:rsidP="0000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ED538" w14:textId="4978354A" w:rsidR="009471C4" w:rsidRPr="008E320D" w:rsidRDefault="00761C15" w:rsidP="008E320D">
    <w:pPr>
      <w:pStyle w:val="Pieddepage"/>
      <w:tabs>
        <w:tab w:val="left" w:pos="2093"/>
      </w:tabs>
      <w:rPr>
        <w:rFonts w:ascii="Arial" w:hAnsi="Arial"/>
        <w:sz w:val="16"/>
        <w:szCs w:val="16"/>
      </w:rPr>
    </w:pPr>
    <w:r>
      <w:rPr>
        <w:rFonts w:ascii="Arial" w:hAnsi="Arial"/>
        <w:noProof/>
        <w:sz w:val="16"/>
        <w:lang w:val="fr-FR" w:eastAsia="fr-FR"/>
      </w:rPr>
      <w:drawing>
        <wp:anchor distT="0" distB="0" distL="114300" distR="114300" simplePos="0" relativeHeight="251661312" behindDoc="0" locked="0" layoutInCell="1" allowOverlap="1" wp14:anchorId="0598D13B" wp14:editId="1E2F8917">
          <wp:simplePos x="0" y="0"/>
          <wp:positionH relativeFrom="column">
            <wp:posOffset>4671060</wp:posOffset>
          </wp:positionH>
          <wp:positionV relativeFrom="paragraph">
            <wp:posOffset>-102235</wp:posOffset>
          </wp:positionV>
          <wp:extent cx="752475" cy="552450"/>
          <wp:effectExtent l="0" t="0" r="952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55245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0288" behindDoc="0" locked="0" layoutInCell="1" allowOverlap="1" wp14:anchorId="2C0D7198" wp14:editId="710B75E0">
          <wp:simplePos x="0" y="0"/>
          <wp:positionH relativeFrom="column">
            <wp:posOffset>5593080</wp:posOffset>
          </wp:positionH>
          <wp:positionV relativeFrom="paragraph">
            <wp:posOffset>9852025</wp:posOffset>
          </wp:positionV>
          <wp:extent cx="743585" cy="54229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3585" cy="54229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9264" behindDoc="0" locked="0" layoutInCell="1" allowOverlap="1" wp14:anchorId="2C0D7198" wp14:editId="2BA90329">
          <wp:simplePos x="0" y="0"/>
          <wp:positionH relativeFrom="column">
            <wp:posOffset>5593080</wp:posOffset>
          </wp:positionH>
          <wp:positionV relativeFrom="paragraph">
            <wp:posOffset>9852025</wp:posOffset>
          </wp:positionV>
          <wp:extent cx="743585" cy="54229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3585" cy="54229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8240" behindDoc="0" locked="0" layoutInCell="1" allowOverlap="1" wp14:anchorId="21F92B33" wp14:editId="36E9A8F5">
          <wp:simplePos x="0" y="0"/>
          <wp:positionH relativeFrom="column">
            <wp:posOffset>2316480</wp:posOffset>
          </wp:positionH>
          <wp:positionV relativeFrom="paragraph">
            <wp:posOffset>-3175</wp:posOffset>
          </wp:positionV>
          <wp:extent cx="542290" cy="189230"/>
          <wp:effectExtent l="0" t="0" r="0" b="127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9471C4">
      <w:rPr>
        <w:rFonts w:ascii="Arial" w:hAnsi="Arial"/>
        <w:sz w:val="16"/>
      </w:rPr>
      <w:t>U058-v1.0-HO1-ES</w:t>
    </w:r>
    <w:r w:rsidR="009471C4">
      <w:rPr>
        <w:rFonts w:ascii="Arial" w:hAnsi="Arial"/>
        <w:sz w:val="16"/>
      </w:rPr>
      <w:tab/>
    </w:r>
    <w:r w:rsidR="009471C4">
      <w:rPr>
        <w:rFonts w:ascii="Arial" w:hAnsi="Arial"/>
        <w:sz w:val="16"/>
      </w:rPr>
      <w:tab/>
    </w:r>
    <w:r w:rsidR="009471C4">
      <w:rPr>
        <w:rFonts w:ascii="Arial" w:hAnsi="Arial"/>
        <w:sz w:val="16"/>
      </w:rPr>
      <w:tab/>
    </w:r>
  </w:p>
  <w:p w14:paraId="3026A434" w14:textId="209F8593" w:rsidR="009471C4" w:rsidRPr="008E320D" w:rsidRDefault="009471C4" w:rsidP="008E32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E2533" w14:textId="77777777" w:rsidR="004E099D" w:rsidRDefault="004E099D" w:rsidP="00002413">
      <w:pPr>
        <w:spacing w:after="0" w:line="240" w:lineRule="auto"/>
      </w:pPr>
      <w:r>
        <w:separator/>
      </w:r>
    </w:p>
  </w:footnote>
  <w:footnote w:type="continuationSeparator" w:id="0">
    <w:p w14:paraId="14F3B3CA" w14:textId="77777777" w:rsidR="004E099D" w:rsidRDefault="004E099D" w:rsidP="00002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FE21" w14:textId="77777777" w:rsidR="009471C4" w:rsidRPr="008E320D" w:rsidRDefault="009471C4" w:rsidP="008E320D">
    <w:pPr>
      <w:pStyle w:val="En-tte"/>
    </w:pPr>
    <w:r>
      <w:tab/>
      <w:t>Folleto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6F3D"/>
    <w:multiLevelType w:val="multilevel"/>
    <w:tmpl w:val="850A45F8"/>
    <w:lvl w:ilvl="0">
      <w:start w:val="1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15:restartNumberingAfterBreak="0">
    <w:nsid w:val="0C4862B3"/>
    <w:multiLevelType w:val="multilevel"/>
    <w:tmpl w:val="69FC5ABC"/>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139863DE"/>
    <w:multiLevelType w:val="multilevel"/>
    <w:tmpl w:val="030A1A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B16454"/>
    <w:multiLevelType w:val="multilevel"/>
    <w:tmpl w:val="5E2C13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F95E1A"/>
    <w:multiLevelType w:val="multilevel"/>
    <w:tmpl w:val="8D9AC12E"/>
    <w:lvl w:ilvl="0">
      <w:start w:val="1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502B12"/>
    <w:multiLevelType w:val="multilevel"/>
    <w:tmpl w:val="2C1222D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5155C1"/>
    <w:multiLevelType w:val="multilevel"/>
    <w:tmpl w:val="356E2A84"/>
    <w:lvl w:ilvl="0">
      <w:start w:val="2"/>
      <w:numFmt w:val="decimal"/>
      <w:lvlText w:val="%1"/>
      <w:lvlJc w:val="left"/>
      <w:pPr>
        <w:ind w:left="360" w:hanging="360"/>
      </w:pPr>
      <w:rPr>
        <w:rFonts w:cs="Times New Roman" w:hint="default"/>
      </w:rPr>
    </w:lvl>
    <w:lvl w:ilvl="1">
      <w:start w:val="1"/>
      <w:numFmt w:val="decimal"/>
      <w:lvlText w:val="4.%2"/>
      <w:lvlJc w:val="left"/>
      <w:pPr>
        <w:ind w:left="955" w:hanging="360"/>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9" w15:restartNumberingAfterBreak="0">
    <w:nsid w:val="1E6F3D42"/>
    <w:multiLevelType w:val="multilevel"/>
    <w:tmpl w:val="9232358E"/>
    <w:lvl w:ilvl="0">
      <w:start w:val="11"/>
      <w:numFmt w:val="decimal"/>
      <w:lvlText w:val="%1"/>
      <w:lvlJc w:val="left"/>
      <w:pPr>
        <w:ind w:left="375" w:hanging="375"/>
      </w:pPr>
      <w:rPr>
        <w:rFonts w:cs="Times New Roman" w:hint="default"/>
      </w:rPr>
    </w:lvl>
    <w:lvl w:ilvl="1">
      <w:start w:val="1"/>
      <w:numFmt w:val="decimal"/>
      <w:lvlText w:val="%1.%2"/>
      <w:lvlJc w:val="left"/>
      <w:pPr>
        <w:ind w:left="4061" w:hanging="375"/>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10" w15:restartNumberingAfterBreak="0">
    <w:nsid w:val="279E24B6"/>
    <w:multiLevelType w:val="multilevel"/>
    <w:tmpl w:val="1E2E176A"/>
    <w:lvl w:ilvl="0">
      <w:start w:val="1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492111"/>
    <w:multiLevelType w:val="multilevel"/>
    <w:tmpl w:val="979E0306"/>
    <w:lvl w:ilvl="0">
      <w:start w:val="1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503CC3"/>
    <w:multiLevelType w:val="multilevel"/>
    <w:tmpl w:val="765075C4"/>
    <w:lvl w:ilvl="0">
      <w:start w:val="23"/>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290C59B0"/>
    <w:multiLevelType w:val="multilevel"/>
    <w:tmpl w:val="DBD65236"/>
    <w:lvl w:ilvl="0">
      <w:start w:val="17"/>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3711F"/>
    <w:multiLevelType w:val="hybridMultilevel"/>
    <w:tmpl w:val="128850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DD2AEE"/>
    <w:multiLevelType w:val="multilevel"/>
    <w:tmpl w:val="5936EBC6"/>
    <w:lvl w:ilvl="0">
      <w:start w:val="18"/>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7B114F"/>
    <w:multiLevelType w:val="multilevel"/>
    <w:tmpl w:val="8F2E658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F84BCB"/>
    <w:multiLevelType w:val="multilevel"/>
    <w:tmpl w:val="DBD86F44"/>
    <w:lvl w:ilvl="0">
      <w:start w:val="2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391359B8"/>
    <w:multiLevelType w:val="multilevel"/>
    <w:tmpl w:val="76340600"/>
    <w:lvl w:ilvl="0">
      <w:start w:val="9"/>
      <w:numFmt w:val="decimal"/>
      <w:lvlText w:val="%1"/>
      <w:lvlJc w:val="left"/>
      <w:pPr>
        <w:ind w:left="360" w:hanging="360"/>
      </w:pPr>
      <w:rPr>
        <w:rFonts w:cs="Times New Roman" w:hint="default"/>
      </w:rPr>
    </w:lvl>
    <w:lvl w:ilvl="1">
      <w:start w:val="1"/>
      <w:numFmt w:val="decimal"/>
      <w:lvlText w:val="%1.%2"/>
      <w:lvlJc w:val="left"/>
      <w:pPr>
        <w:ind w:left="955" w:hanging="360"/>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19" w15:restartNumberingAfterBreak="0">
    <w:nsid w:val="3C833CD7"/>
    <w:multiLevelType w:val="multilevel"/>
    <w:tmpl w:val="835843FC"/>
    <w:lvl w:ilvl="0">
      <w:start w:val="13"/>
      <w:numFmt w:val="decimal"/>
      <w:lvlText w:val="%1"/>
      <w:lvlJc w:val="left"/>
      <w:pPr>
        <w:ind w:left="375" w:hanging="375"/>
      </w:pPr>
      <w:rPr>
        <w:rFonts w:cs="Times New Roman" w:hint="default"/>
      </w:rPr>
    </w:lvl>
    <w:lvl w:ilvl="1">
      <w:start w:val="1"/>
      <w:numFmt w:val="decimal"/>
      <w:lvlText w:val="%1.%2"/>
      <w:lvlJc w:val="left"/>
      <w:pPr>
        <w:ind w:left="970" w:hanging="375"/>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20" w15:restartNumberingAfterBreak="0">
    <w:nsid w:val="3FA7287F"/>
    <w:multiLevelType w:val="multilevel"/>
    <w:tmpl w:val="90102936"/>
    <w:lvl w:ilvl="0">
      <w:start w:val="8"/>
      <w:numFmt w:val="decimal"/>
      <w:lvlText w:val="%1"/>
      <w:lvlJc w:val="left"/>
      <w:pPr>
        <w:ind w:left="360" w:hanging="360"/>
      </w:pPr>
      <w:rPr>
        <w:rFonts w:cs="Times New Roman" w:hint="default"/>
      </w:rPr>
    </w:lvl>
    <w:lvl w:ilvl="1">
      <w:start w:val="1"/>
      <w:numFmt w:val="decimal"/>
      <w:lvlText w:val="%1.%2"/>
      <w:lvlJc w:val="left"/>
      <w:pPr>
        <w:ind w:left="955" w:hanging="360"/>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21" w15:restartNumberingAfterBreak="0">
    <w:nsid w:val="40EB2969"/>
    <w:multiLevelType w:val="multilevel"/>
    <w:tmpl w:val="CCDA820A"/>
    <w:lvl w:ilvl="0">
      <w:start w:val="20"/>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40FD6EEF"/>
    <w:multiLevelType w:val="multilevel"/>
    <w:tmpl w:val="1080733E"/>
    <w:lvl w:ilvl="0">
      <w:start w:val="7"/>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23" w15:restartNumberingAfterBreak="0">
    <w:nsid w:val="44984C0B"/>
    <w:multiLevelType w:val="multilevel"/>
    <w:tmpl w:val="F37EAD20"/>
    <w:lvl w:ilvl="0">
      <w:start w:val="14"/>
      <w:numFmt w:val="decimal"/>
      <w:lvlText w:val="%1"/>
      <w:lvlJc w:val="left"/>
      <w:pPr>
        <w:ind w:left="375" w:hanging="375"/>
      </w:pPr>
      <w:rPr>
        <w:rFonts w:cs="Times New Roman" w:hint="default"/>
      </w:rPr>
    </w:lvl>
    <w:lvl w:ilvl="1">
      <w:start w:val="1"/>
      <w:numFmt w:val="decimal"/>
      <w:lvlText w:val="%1.%2"/>
      <w:lvlJc w:val="left"/>
      <w:pPr>
        <w:ind w:left="970" w:hanging="375"/>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24" w15:restartNumberingAfterBreak="0">
    <w:nsid w:val="49545EAC"/>
    <w:multiLevelType w:val="multilevel"/>
    <w:tmpl w:val="E1DEAED6"/>
    <w:lvl w:ilvl="0">
      <w:start w:val="5"/>
      <w:numFmt w:val="decimal"/>
      <w:lvlText w:val="%1"/>
      <w:lvlJc w:val="left"/>
      <w:pPr>
        <w:ind w:left="360" w:hanging="360"/>
      </w:pPr>
      <w:rPr>
        <w:rFonts w:cs="Times New Roman" w:hint="default"/>
      </w:rPr>
    </w:lvl>
    <w:lvl w:ilvl="1">
      <w:start w:val="1"/>
      <w:numFmt w:val="decimal"/>
      <w:lvlText w:val="2.%2"/>
      <w:lvlJc w:val="left"/>
      <w:pPr>
        <w:ind w:left="955" w:hanging="360"/>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25" w15:restartNumberingAfterBreak="0">
    <w:nsid w:val="585211E8"/>
    <w:multiLevelType w:val="multilevel"/>
    <w:tmpl w:val="6B8C3E24"/>
    <w:lvl w:ilvl="0">
      <w:start w:val="10"/>
      <w:numFmt w:val="decimal"/>
      <w:lvlText w:val="%1"/>
      <w:lvlJc w:val="left"/>
      <w:pPr>
        <w:ind w:left="375" w:hanging="375"/>
      </w:pPr>
      <w:rPr>
        <w:rFonts w:cs="Times New Roman" w:hint="default"/>
      </w:rPr>
    </w:lvl>
    <w:lvl w:ilvl="1">
      <w:start w:val="1"/>
      <w:numFmt w:val="decimal"/>
      <w:lvlText w:val="%1.%2"/>
      <w:lvlJc w:val="left"/>
      <w:pPr>
        <w:ind w:left="970" w:hanging="375"/>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26" w15:restartNumberingAfterBreak="0">
    <w:nsid w:val="5C4E592F"/>
    <w:multiLevelType w:val="multilevel"/>
    <w:tmpl w:val="5DF03706"/>
    <w:lvl w:ilvl="0">
      <w:start w:val="1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092062"/>
    <w:multiLevelType w:val="multilevel"/>
    <w:tmpl w:val="FD704AB8"/>
    <w:lvl w:ilvl="0">
      <w:start w:val="18"/>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15:restartNumberingAfterBreak="0">
    <w:nsid w:val="69B22285"/>
    <w:multiLevelType w:val="multilevel"/>
    <w:tmpl w:val="FF4EE7DA"/>
    <w:lvl w:ilvl="0">
      <w:start w:val="2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15:restartNumberingAfterBreak="0">
    <w:nsid w:val="6A144845"/>
    <w:multiLevelType w:val="multilevel"/>
    <w:tmpl w:val="A2D69308"/>
    <w:lvl w:ilvl="0">
      <w:start w:val="19"/>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0633F1"/>
    <w:multiLevelType w:val="multilevel"/>
    <w:tmpl w:val="ABEE5A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2D0E80"/>
    <w:multiLevelType w:val="hybridMultilevel"/>
    <w:tmpl w:val="CB8E9C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C367C2A"/>
    <w:multiLevelType w:val="multilevel"/>
    <w:tmpl w:val="CF381C3A"/>
    <w:lvl w:ilvl="0">
      <w:start w:val="6"/>
      <w:numFmt w:val="decimal"/>
      <w:lvlText w:val="%1"/>
      <w:lvlJc w:val="left"/>
      <w:pPr>
        <w:ind w:left="360" w:hanging="360"/>
      </w:pPr>
      <w:rPr>
        <w:rFonts w:cs="Times New Roman" w:hint="default"/>
      </w:rPr>
    </w:lvl>
    <w:lvl w:ilvl="1">
      <w:start w:val="1"/>
      <w:numFmt w:val="decimal"/>
      <w:lvlText w:val="3.%2"/>
      <w:lvlJc w:val="left"/>
      <w:pPr>
        <w:ind w:left="720" w:hanging="360"/>
      </w:pPr>
      <w:rPr>
        <w:rFonts w:cs="Times New Roman" w:hint="default"/>
        <w:sz w:val="20"/>
        <w:szCs w:val="2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31"/>
  </w:num>
  <w:num w:numId="2">
    <w:abstractNumId w:val="14"/>
  </w:num>
  <w:num w:numId="3">
    <w:abstractNumId w:val="24"/>
  </w:num>
  <w:num w:numId="4">
    <w:abstractNumId w:val="8"/>
  </w:num>
  <w:num w:numId="5">
    <w:abstractNumId w:val="32"/>
  </w:num>
  <w:num w:numId="6">
    <w:abstractNumId w:val="22"/>
  </w:num>
  <w:num w:numId="7">
    <w:abstractNumId w:val="20"/>
  </w:num>
  <w:num w:numId="8">
    <w:abstractNumId w:val="18"/>
  </w:num>
  <w:num w:numId="9">
    <w:abstractNumId w:val="25"/>
  </w:num>
  <w:num w:numId="10">
    <w:abstractNumId w:val="19"/>
  </w:num>
  <w:num w:numId="11">
    <w:abstractNumId w:val="9"/>
  </w:num>
  <w:num w:numId="12">
    <w:abstractNumId w:val="0"/>
  </w:num>
  <w:num w:numId="13">
    <w:abstractNumId w:val="23"/>
  </w:num>
  <w:num w:numId="14">
    <w:abstractNumId w:val="3"/>
  </w:num>
  <w:num w:numId="15">
    <w:abstractNumId w:val="27"/>
  </w:num>
  <w:num w:numId="16">
    <w:abstractNumId w:val="2"/>
  </w:num>
  <w:num w:numId="17">
    <w:abstractNumId w:val="21"/>
  </w:num>
  <w:num w:numId="18">
    <w:abstractNumId w:val="17"/>
  </w:num>
  <w:num w:numId="19">
    <w:abstractNumId w:val="28"/>
  </w:num>
  <w:num w:numId="20">
    <w:abstractNumId w:val="12"/>
  </w:num>
  <w:num w:numId="21">
    <w:abstractNumId w:val="4"/>
  </w:num>
  <w:num w:numId="22">
    <w:abstractNumId w:val="5"/>
  </w:num>
  <w:num w:numId="23">
    <w:abstractNumId w:val="30"/>
  </w:num>
  <w:num w:numId="24">
    <w:abstractNumId w:val="16"/>
  </w:num>
  <w:num w:numId="25">
    <w:abstractNumId w:val="7"/>
  </w:num>
  <w:num w:numId="26">
    <w:abstractNumId w:val="1"/>
  </w:num>
  <w:num w:numId="27">
    <w:abstractNumId w:val="10"/>
  </w:num>
  <w:num w:numId="28">
    <w:abstractNumId w:val="26"/>
  </w:num>
  <w:num w:numId="29">
    <w:abstractNumId w:val="11"/>
  </w:num>
  <w:num w:numId="30">
    <w:abstractNumId w:val="6"/>
  </w:num>
  <w:num w:numId="31">
    <w:abstractNumId w:val="13"/>
  </w:num>
  <w:num w:numId="32">
    <w:abstractNumId w:val="15"/>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413"/>
    <w:rsid w:val="00002413"/>
    <w:rsid w:val="000F263A"/>
    <w:rsid w:val="0015429A"/>
    <w:rsid w:val="00254491"/>
    <w:rsid w:val="00297CD6"/>
    <w:rsid w:val="002C2BE8"/>
    <w:rsid w:val="00300A10"/>
    <w:rsid w:val="003166E5"/>
    <w:rsid w:val="003F35DC"/>
    <w:rsid w:val="003F7A1D"/>
    <w:rsid w:val="004E099D"/>
    <w:rsid w:val="0068282E"/>
    <w:rsid w:val="00696A0B"/>
    <w:rsid w:val="00761C15"/>
    <w:rsid w:val="00813593"/>
    <w:rsid w:val="00840BE7"/>
    <w:rsid w:val="008E320D"/>
    <w:rsid w:val="009471C4"/>
    <w:rsid w:val="00A07B7F"/>
    <w:rsid w:val="00A64EB5"/>
    <w:rsid w:val="00C76B63"/>
    <w:rsid w:val="00D85F0B"/>
    <w:rsid w:val="00DE6E1E"/>
    <w:rsid w:val="00E9751E"/>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14:docId w14:val="57295E2C"/>
  <w14:defaultImageDpi w14:val="0"/>
  <w15:docId w15:val="{5B065574-918A-463F-8016-A953A3E1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Arial"/>
      <w:sz w:val="22"/>
      <w:szCs w:val="22"/>
      <w:lang w:val="es-ES" w:eastAsia="es-ES"/>
    </w:rPr>
  </w:style>
  <w:style w:type="paragraph" w:styleId="Titre1">
    <w:name w:val="heading 1"/>
    <w:basedOn w:val="Normal"/>
    <w:next w:val="Normal"/>
    <w:link w:val="Titre1Car"/>
    <w:uiPriority w:val="9"/>
    <w:qFormat/>
    <w:pPr>
      <w:keepNext/>
      <w:keepLines/>
      <w:spacing w:before="480" w:after="0"/>
      <w:outlineLvl w:val="0"/>
    </w:pPr>
    <w:rPr>
      <w:rFonts w:ascii="Cambria" w:eastAsia="MS Gothic" w:hAnsi="Cambria" w:cs="Times New Roman"/>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eastAsia="MS Gothic" w:hAnsi="Cambria"/>
      <w:b/>
      <w:color w:val="365F91"/>
      <w:sz w:val="28"/>
      <w:lang w:val="es-ES" w:eastAsia="es-ES"/>
    </w:rPr>
  </w:style>
  <w:style w:type="paragraph" w:styleId="Paragraphedeliste">
    <w:name w:val="List Paragraph"/>
    <w:basedOn w:val="Normal"/>
    <w:uiPriority w:val="34"/>
    <w:qFormat/>
    <w:pPr>
      <w:spacing w:after="0" w:line="240" w:lineRule="auto"/>
      <w:ind w:left="720"/>
      <w:contextualSpacing/>
    </w:pPr>
    <w:rPr>
      <w:rFonts w:eastAsia="MS Mincho" w:cs="Times New Roman"/>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Pr>
      <w:rFonts w:ascii="Tahoma" w:hAnsi="Tahoma"/>
      <w:sz w:val="16"/>
      <w:lang w:val="es-ES" w:eastAsia="es-ES"/>
    </w:rPr>
  </w:style>
  <w:style w:type="paragraph" w:styleId="Notedebasdepage">
    <w:name w:val="footnote text"/>
    <w:basedOn w:val="Normal"/>
    <w:link w:val="NotedebasdepageCar"/>
    <w:uiPriority w:val="99"/>
    <w:unhideWhenUsed/>
    <w:pPr>
      <w:spacing w:after="0" w:line="240" w:lineRule="auto"/>
    </w:pPr>
    <w:rPr>
      <w:rFonts w:ascii="Times New Roman" w:hAnsi="Times New Roman" w:cs="Times New Roman"/>
      <w:sz w:val="20"/>
      <w:szCs w:val="20"/>
    </w:rPr>
  </w:style>
  <w:style w:type="character" w:customStyle="1" w:styleId="NotedebasdepageCar">
    <w:name w:val="Note de bas de page Car"/>
    <w:link w:val="Notedebasdepage"/>
    <w:uiPriority w:val="99"/>
    <w:locked/>
    <w:rPr>
      <w:rFonts w:ascii="Times New Roman" w:hAnsi="Times New Roman"/>
      <w:sz w:val="20"/>
      <w:lang w:val="es-ES" w:eastAsia="es-ES"/>
    </w:rPr>
  </w:style>
  <w:style w:type="character" w:styleId="Appelnotedebasdep">
    <w:name w:val="footnote reference"/>
    <w:uiPriority w:val="99"/>
    <w:semiHidden/>
    <w:unhideWhenUsed/>
    <w:rPr>
      <w:vertAlign w:val="superscript"/>
      <w:lang w:val="es-ES" w:eastAsia="es-ES"/>
    </w:rPr>
  </w:style>
  <w:style w:type="paragraph" w:customStyle="1" w:styleId="Chapitre">
    <w:name w:val="Chapitre"/>
    <w:basedOn w:val="Titre1"/>
    <w:pPr>
      <w:pBdr>
        <w:bottom w:val="single" w:sz="4" w:space="14" w:color="3366FF"/>
      </w:pBdr>
      <w:tabs>
        <w:tab w:val="left" w:pos="567"/>
      </w:tabs>
      <w:snapToGrid w:val="0"/>
      <w:spacing w:before="240" w:after="480" w:line="840" w:lineRule="exact"/>
    </w:pPr>
    <w:rPr>
      <w:rFonts w:ascii="Arial" w:eastAsia="Times New Roman" w:hAnsi="Arial" w:cs="Arial"/>
      <w:caps/>
      <w:noProof/>
      <w:color w:val="3366FF"/>
      <w:kern w:val="28"/>
      <w:sz w:val="70"/>
      <w:szCs w:val="70"/>
    </w:rPr>
  </w:style>
  <w:style w:type="paragraph" w:customStyle="1" w:styleId="HO1">
    <w:name w:val="HO1"/>
    <w:basedOn w:val="Normal"/>
    <w:link w:val="HO1Car"/>
    <w:pPr>
      <w:keepNext/>
      <w:keepLines/>
      <w:tabs>
        <w:tab w:val="left" w:pos="567"/>
      </w:tabs>
      <w:snapToGrid w:val="0"/>
      <w:spacing w:before="480" w:after="0" w:line="480" w:lineRule="exact"/>
      <w:outlineLvl w:val="0"/>
    </w:pPr>
    <w:rPr>
      <w:rFonts w:ascii="Arial" w:hAnsi="Arial"/>
      <w:b/>
      <w:bCs/>
      <w:noProof/>
      <w:color w:val="3366FF"/>
      <w:kern w:val="28"/>
      <w:sz w:val="32"/>
      <w:szCs w:val="32"/>
    </w:rPr>
  </w:style>
  <w:style w:type="character" w:customStyle="1" w:styleId="HO1Car">
    <w:name w:val="HO1 Car"/>
    <w:link w:val="HO1"/>
    <w:locked/>
    <w:rPr>
      <w:rFonts w:ascii="Arial" w:hAnsi="Arial"/>
      <w:b/>
      <w:noProof/>
      <w:color w:val="3366FF"/>
      <w:kern w:val="28"/>
      <w:sz w:val="32"/>
      <w:lang w:val="es-ES" w:eastAsia="es-ES"/>
    </w:rPr>
  </w:style>
  <w:style w:type="paragraph" w:styleId="En-tte">
    <w:name w:val="header"/>
    <w:basedOn w:val="Normal"/>
    <w:link w:val="En-tteCar"/>
    <w:uiPriority w:val="99"/>
    <w:unhideWhenUsed/>
    <w:pPr>
      <w:tabs>
        <w:tab w:val="center" w:pos="4536"/>
        <w:tab w:val="right" w:pos="9072"/>
      </w:tabs>
      <w:spacing w:after="0" w:line="240" w:lineRule="auto"/>
    </w:pPr>
    <w:rPr>
      <w:rFonts w:ascii="Arial" w:hAnsi="Arial"/>
      <w:sz w:val="16"/>
      <w:szCs w:val="16"/>
    </w:rPr>
  </w:style>
  <w:style w:type="character" w:customStyle="1" w:styleId="En-tteCar">
    <w:name w:val="En-tête Car"/>
    <w:link w:val="En-tte"/>
    <w:uiPriority w:val="99"/>
    <w:locked/>
    <w:rPr>
      <w:rFonts w:ascii="Arial" w:hAnsi="Arial"/>
      <w:sz w:val="16"/>
      <w:lang w:val="es-ES" w:eastAsia="es-ES"/>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link w:val="Pieddepage"/>
    <w:uiPriority w:val="99"/>
    <w:locked/>
    <w:rPr>
      <w:lang w:val="es-ES" w:eastAsia="es-ES"/>
    </w:rPr>
  </w:style>
  <w:style w:type="character" w:styleId="Marquedecommentaire">
    <w:name w:val="annotation reference"/>
    <w:uiPriority w:val="99"/>
    <w:semiHidden/>
    <w:unhideWhenUsed/>
    <w:rsid w:val="00813593"/>
    <w:rPr>
      <w:sz w:val="16"/>
      <w:szCs w:val="16"/>
    </w:rPr>
  </w:style>
  <w:style w:type="paragraph" w:styleId="Commentaire">
    <w:name w:val="annotation text"/>
    <w:basedOn w:val="Normal"/>
    <w:link w:val="CommentaireCar"/>
    <w:uiPriority w:val="99"/>
    <w:semiHidden/>
    <w:unhideWhenUsed/>
    <w:rsid w:val="00813593"/>
    <w:rPr>
      <w:sz w:val="20"/>
      <w:szCs w:val="20"/>
    </w:rPr>
  </w:style>
  <w:style w:type="character" w:customStyle="1" w:styleId="CommentaireCar">
    <w:name w:val="Commentaire Car"/>
    <w:link w:val="Commentaire"/>
    <w:uiPriority w:val="99"/>
    <w:semiHidden/>
    <w:rsid w:val="00813593"/>
    <w:rPr>
      <w:rFonts w:cs="Arial"/>
      <w:lang w:val="es-ES" w:eastAsia="es-ES"/>
    </w:rPr>
  </w:style>
  <w:style w:type="paragraph" w:styleId="Objetducommentaire">
    <w:name w:val="annotation subject"/>
    <w:basedOn w:val="Commentaire"/>
    <w:next w:val="Commentaire"/>
    <w:link w:val="ObjetducommentaireCar"/>
    <w:uiPriority w:val="99"/>
    <w:semiHidden/>
    <w:unhideWhenUsed/>
    <w:rsid w:val="00813593"/>
    <w:rPr>
      <w:b/>
      <w:bCs/>
    </w:rPr>
  </w:style>
  <w:style w:type="character" w:customStyle="1" w:styleId="ObjetducommentaireCar">
    <w:name w:val="Objet du commentaire Car"/>
    <w:link w:val="Objetducommentaire"/>
    <w:uiPriority w:val="99"/>
    <w:semiHidden/>
    <w:rsid w:val="00813593"/>
    <w:rPr>
      <w:rFonts w:cs="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1005</Words>
  <Characters>5488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Juliette</dc:creator>
  <cp:keywords/>
  <dc:description/>
  <cp:lastModifiedBy>Maria-Paz Fernandez Undurraga</cp:lastModifiedBy>
  <cp:revision>4</cp:revision>
  <cp:lastPrinted>2019-09-07T06:18:00Z</cp:lastPrinted>
  <dcterms:created xsi:type="dcterms:W3CDTF">2020-02-17T16:56:00Z</dcterms:created>
  <dcterms:modified xsi:type="dcterms:W3CDTF">2020-02-27T15:48:00Z</dcterms:modified>
</cp:coreProperties>
</file>