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044A" w14:textId="77777777" w:rsidR="00411C73" w:rsidRPr="00AA66FE" w:rsidRDefault="00411C73" w:rsidP="00F261C1">
      <w:pPr>
        <w:pStyle w:val="Chapitre"/>
        <w:spacing w:before="0" w:after="0" w:line="240" w:lineRule="auto"/>
        <w:rPr>
          <w:rFonts w:cs="Calibri"/>
          <w:b w:val="0"/>
          <w:color w:val="00B0F0"/>
          <w:sz w:val="44"/>
          <w:szCs w:val="44"/>
        </w:rPr>
      </w:pPr>
      <w:r>
        <w:t>UNIDAD 58</w:t>
      </w:r>
      <w:r>
        <w:rPr>
          <w:color w:val="00B0F0"/>
          <w:sz w:val="44"/>
        </w:rPr>
        <w:t xml:space="preserve"> </w:t>
      </w:r>
    </w:p>
    <w:p w14:paraId="5FC03E6F" w14:textId="77777777" w:rsidR="00411C73" w:rsidRDefault="00411C73" w:rsidP="00F261C1">
      <w:pPr>
        <w:pStyle w:val="HO1"/>
      </w:pPr>
      <w:r>
        <w:t>Folleto 2</w:t>
      </w:r>
    </w:p>
    <w:p w14:paraId="6D2800F6" w14:textId="77777777" w:rsidR="00411C73" w:rsidRPr="00406FB2" w:rsidRDefault="00411C73" w:rsidP="00F261C1">
      <w:pPr>
        <w:pStyle w:val="HO1"/>
        <w:spacing w:before="0" w:after="240"/>
        <w:rPr>
          <w:caps/>
        </w:rPr>
      </w:pPr>
      <w:r>
        <w:rPr>
          <w:caps/>
        </w:rPr>
        <w:t>CUESTIONARIO SOBRE LAS FUENTES DE LOS FACTORES DE EVALUACIÓN</w:t>
      </w: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332"/>
        <w:gridCol w:w="1724"/>
      </w:tblGrid>
      <w:tr w:rsidR="00411C73" w:rsidRPr="00AA66FE" w14:paraId="139C56DE" w14:textId="77777777" w:rsidTr="00F261C1">
        <w:trPr>
          <w:cantSplit/>
          <w:tblHeader/>
        </w:trPr>
        <w:tc>
          <w:tcPr>
            <w:tcW w:w="3892" w:type="pct"/>
            <w:shd w:val="clear" w:color="auto" w:fill="D9D9D9"/>
            <w:vAlign w:val="center"/>
          </w:tcPr>
          <w:p w14:paraId="32B9D900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Evaluaciones según lo siguiente: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1EC6A3C1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shd w:val="clear" w:color="auto" w:fill="D9D9D9"/>
            <w:vAlign w:val="center"/>
          </w:tcPr>
          <w:p w14:paraId="4584D2EB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Fuentes</w:t>
            </w:r>
          </w:p>
        </w:tc>
      </w:tr>
      <w:tr w:rsidR="00411C73" w:rsidRPr="00AA66FE" w14:paraId="1CFF9441" w14:textId="77777777" w:rsidTr="00F261C1">
        <w:trPr>
          <w:cantSplit/>
        </w:trPr>
        <w:tc>
          <w:tcPr>
            <w:tcW w:w="3892" w:type="pct"/>
            <w:vAlign w:val="center"/>
          </w:tcPr>
          <w:p w14:paraId="6FBD3FCA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 han designado o establecido uno o más órganos competentes para salvaguardar el PCI.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4A450A9D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55B507F8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3375E405" w14:textId="77777777" w:rsidTr="00F261C1">
        <w:trPr>
          <w:cantSplit/>
        </w:trPr>
        <w:tc>
          <w:tcPr>
            <w:tcW w:w="3892" w:type="pct"/>
            <w:vAlign w:val="center"/>
          </w:tcPr>
          <w:p w14:paraId="13E74F51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Iniciativas comunitarias o de las ONG proporcionan formación en materia de salvaguardia y gestión del PCI sobre una base inclusiva.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2BDA97C4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7BFCFCA9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411C73" w:rsidRPr="00AA66FE" w14:paraId="35D0ACDC" w14:textId="77777777" w:rsidTr="00F261C1">
        <w:trPr>
          <w:cantSplit/>
        </w:trPr>
        <w:tc>
          <w:tcPr>
            <w:tcW w:w="3892" w:type="pct"/>
            <w:vAlign w:val="center"/>
          </w:tcPr>
          <w:p w14:paraId="4CB95AC6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modalidades y los métodos de transmisión del PCI reconocidos por las comunidades, los grupos y los individuos se aprenden o se refuerzan y se incluyen en los programas de educación tanto formal como no formal.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7DDC384A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04687156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3D2FA316" w14:textId="77777777" w:rsidTr="00F261C1">
        <w:trPr>
          <w:cantSplit/>
        </w:trPr>
        <w:tc>
          <w:tcPr>
            <w:tcW w:w="3892" w:type="pct"/>
            <w:vAlign w:val="center"/>
          </w:tcPr>
          <w:p w14:paraId="21844BBD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EL PCI, en toda su diversidad, es incluido en el contenido de materias pertinentes como una contribución inherente y/o como una herramienta para explicar o demostrar otros temas.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6B5A6700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062E66EF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2CE42D38" w14:textId="77777777" w:rsidTr="00F261C1">
        <w:trPr>
          <w:cantSplit/>
        </w:trPr>
        <w:tc>
          <w:tcPr>
            <w:tcW w:w="3892" w:type="pct"/>
            <w:vAlign w:val="center"/>
          </w:tcPr>
          <w:p w14:paraId="679048AC" w14:textId="77777777" w:rsidR="00411C73" w:rsidRPr="000C71D8" w:rsidRDefault="00411C73" w:rsidP="00005F25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0C71D8">
              <w:rPr>
                <w:rFonts w:ascii="Arial" w:hAnsi="Arial"/>
                <w:sz w:val="20"/>
                <w:szCs w:val="20"/>
              </w:rPr>
              <w:t xml:space="preserve">Las instituciones de educación superior ofrecen programas académicos y licenciaturas </w:t>
            </w:r>
            <w:r w:rsidRPr="000C71D8">
              <w:rPr>
                <w:rFonts w:ascii="Arial" w:hAnsi="Arial"/>
                <w:sz w:val="20"/>
                <w:szCs w:val="20"/>
                <w:cs/>
              </w:rPr>
              <w:t>—</w:t>
            </w:r>
            <w:r w:rsidRPr="000C71D8">
              <w:rPr>
                <w:rFonts w:ascii="Arial" w:hAnsi="Arial"/>
                <w:sz w:val="20"/>
                <w:szCs w:val="20"/>
              </w:rPr>
              <w:t>en ámbitos como la música, el arte, la artesanía así como formación y educación técnica y profesional, etc.</w:t>
            </w:r>
            <w:r w:rsidRPr="000C71D8">
              <w:rPr>
                <w:rFonts w:ascii="Arial" w:hAnsi="Arial"/>
                <w:sz w:val="20"/>
                <w:szCs w:val="20"/>
                <w:cs/>
              </w:rPr>
              <w:t xml:space="preserve">— </w:t>
            </w:r>
            <w:r w:rsidRPr="000C71D8">
              <w:rPr>
                <w:rFonts w:ascii="Arial" w:hAnsi="Arial"/>
                <w:sz w:val="20"/>
                <w:szCs w:val="20"/>
              </w:rPr>
              <w:t>que refuerzan la práctica y transmisión del PCI.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2540EBD7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46A46C86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411C73" w:rsidRPr="00AA66FE" w14:paraId="0D74D191" w14:textId="77777777" w:rsidTr="00F261C1">
        <w:trPr>
          <w:cantSplit/>
        </w:trPr>
        <w:tc>
          <w:tcPr>
            <w:tcW w:w="3892" w:type="pct"/>
            <w:vAlign w:val="center"/>
          </w:tcPr>
          <w:p w14:paraId="48A77D55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Desde la ratificación de la Convención, se han establecido o actualizado uno o más inventarios destinados a salvaguardar el PCI y reflejar su diversidad.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5C80045D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36343F80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7DB70ACA" w14:textId="77777777" w:rsidTr="00F261C1">
        <w:trPr>
          <w:cantSplit/>
        </w:trPr>
        <w:tc>
          <w:tcPr>
            <w:tcW w:w="3892" w:type="pct"/>
            <w:vAlign w:val="center"/>
          </w:tcPr>
          <w:p w14:paraId="559866C4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Inventarios especializados o inventarios de distintos alcances reflejan la diversidad y contribuyen a salvaguardarla.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52AB44CB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0F7B068D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411C73" w:rsidRPr="00AA66FE" w14:paraId="051E1758" w14:textId="77777777" w:rsidTr="00F261C1">
        <w:trPr>
          <w:cantSplit/>
        </w:trPr>
        <w:tc>
          <w:tcPr>
            <w:tcW w:w="3892" w:type="pct"/>
            <w:vAlign w:val="center"/>
          </w:tcPr>
          <w:p w14:paraId="7225D0BB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comunidades, los grupos y las ONG relevantes participan de manera inclusiva en la elaboración de inventarios, que permite informar y fortalecer los esfuerzos en materia de salvaguardia.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2FC57EC2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469CB6D0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0B663462" w14:textId="77777777" w:rsidTr="00F261C1">
        <w:trPr>
          <w:cantSplit/>
        </w:trPr>
        <w:tc>
          <w:tcPr>
            <w:tcW w:w="3892" w:type="pct"/>
            <w:vAlign w:val="center"/>
          </w:tcPr>
          <w:p w14:paraId="6E722CE9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Apoyos financieros y de otra índole fomentan la investigación, los estudios científicos, técnicos y artísticos, la documentación y el registro, orientados a salvaguardar el PCI y son elaborados en conformidad con los principios éticos relevantes.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2D31CB5A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6A52F3F7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09406AC1" w14:textId="77777777" w:rsidTr="00F261C1">
        <w:trPr>
          <w:cantSplit/>
        </w:trPr>
        <w:tc>
          <w:tcPr>
            <w:tcW w:w="3892" w:type="pct"/>
            <w:vAlign w:val="center"/>
          </w:tcPr>
          <w:p w14:paraId="6AF44B6C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documentación y los resultados de las investigaciones están disponibles para las comunidades, los grupos y los individuos </w:t>
            </w:r>
            <w:r>
              <w:rPr>
                <w:rFonts w:ascii="Arial" w:hAnsi="Arial"/>
                <w:sz w:val="20"/>
                <w:cs/>
              </w:rPr>
              <w:t>—</w:t>
            </w:r>
            <w:r>
              <w:rPr>
                <w:rFonts w:ascii="Arial" w:hAnsi="Arial"/>
                <w:sz w:val="20"/>
              </w:rPr>
              <w:t>respetando las prácticas consuetudinarias por las que se rige el acceso a determinados aspectos del PCI</w:t>
            </w:r>
            <w:r>
              <w:rPr>
                <w:rFonts w:ascii="Arial" w:hAnsi="Arial"/>
                <w:sz w:val="20"/>
                <w:cs/>
              </w:rPr>
              <w:t>—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38FE5470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0FFA1D3D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41765B96" w14:textId="77777777" w:rsidTr="00F261C1">
        <w:trPr>
          <w:cantSplit/>
        </w:trPr>
        <w:tc>
          <w:tcPr>
            <w:tcW w:w="3892" w:type="pct"/>
            <w:vAlign w:val="center"/>
          </w:tcPr>
          <w:p w14:paraId="074C2D6E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 han creado o revisado políticas culturales y/o medidas legales y administrativas que integran el PCI y su salvaguardia, reflejan su diversidad y se ponen en práctica.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10779B19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5785C228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411C73" w:rsidRPr="00AA66FE" w14:paraId="3FB941A5" w14:textId="77777777" w:rsidTr="00F261C1">
        <w:trPr>
          <w:cantSplit/>
        </w:trPr>
        <w:tc>
          <w:tcPr>
            <w:tcW w:w="3892" w:type="pct"/>
            <w:vAlign w:val="center"/>
          </w:tcPr>
          <w:p w14:paraId="74A46846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políticas culturales y/o las medidas legales y administrativas que incluyen el PCI y su salvaguardia se elaboran con la participación activa de comunidades, grupos e individuos.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62413D03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7BCE9864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411C73" w:rsidRPr="00AA66FE" w14:paraId="4E36C3B5" w14:textId="77777777" w:rsidTr="00F261C1">
        <w:trPr>
          <w:cantSplit/>
          <w:trHeight w:val="675"/>
        </w:trPr>
        <w:tc>
          <w:tcPr>
            <w:tcW w:w="3892" w:type="pct"/>
            <w:vAlign w:val="center"/>
          </w:tcPr>
          <w:p w14:paraId="41182099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lastRenderedPageBreak/>
              <w:t>Los Principios Éticos para la Salvaguardia del Patrimonio Cultural Inmaterial son integrados y respetados en los planes, las políticas y los programas de desarrollo.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55A75643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0FA52986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411C73" w:rsidRPr="00AA66FE" w14:paraId="3EBFFE6C" w14:textId="77777777" w:rsidTr="00F261C1">
        <w:trPr>
          <w:cantSplit/>
        </w:trPr>
        <w:tc>
          <w:tcPr>
            <w:tcW w:w="3892" w:type="pct"/>
            <w:vAlign w:val="center"/>
          </w:tcPr>
          <w:p w14:paraId="25FEE247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formas de protección legal, como los derechos a la propiedad intelectual o de privacidad, que se proporcionen a los practicantes y depositarios del PCI y a sus comunidad</w:t>
            </w:r>
            <w:r w:rsidR="000C71D8">
              <w:rPr>
                <w:rFonts w:ascii="Arial" w:hAnsi="Arial"/>
                <w:sz w:val="20"/>
              </w:rPr>
              <w:t>es en el caso de que su PCI esté</w:t>
            </w:r>
            <w:r>
              <w:rPr>
                <w:rFonts w:ascii="Arial" w:hAnsi="Arial"/>
                <w:sz w:val="20"/>
              </w:rPr>
              <w:t xml:space="preserve"> siendo explotado por terceros con fines comerciales o de otra índole.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3E3B8A5F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0D382A6B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70A99BB9" w14:textId="77777777" w:rsidTr="00F261C1">
        <w:trPr>
          <w:cantSplit/>
        </w:trPr>
        <w:tc>
          <w:tcPr>
            <w:tcW w:w="3892" w:type="pct"/>
            <w:vAlign w:val="center"/>
          </w:tcPr>
          <w:p w14:paraId="66904DDF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comunidades, los grupos y los individuos que utilicen su PCI para su bienestar, incluido el contexto de los programas de desarrollo sostenible.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49085FA5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614A0B8A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411C73" w:rsidRPr="00AA66FE" w14:paraId="1DF92216" w14:textId="77777777" w:rsidTr="00F261C1">
        <w:trPr>
          <w:cantSplit/>
        </w:trPr>
        <w:tc>
          <w:tcPr>
            <w:tcW w:w="3892" w:type="pct"/>
            <w:vAlign w:val="center"/>
          </w:tcPr>
          <w:p w14:paraId="35C80C4E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 fomenta el respeto de sí mismo y el respeto mutuo en las comunidades, los grupos y los individuos a través de los planes y programas de salvaguardia del PCI en general o de elementos específicos del PCI, independientemente de si están o no inscritos.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568CEF2A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77C00E7F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41017561" w14:textId="77777777" w:rsidTr="00F261C1">
        <w:trPr>
          <w:cantSplit/>
        </w:trPr>
        <w:tc>
          <w:tcPr>
            <w:tcW w:w="3892" w:type="pct"/>
            <w:vAlign w:val="center"/>
          </w:tcPr>
          <w:p w14:paraId="799D7AE2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Los jóvenes participan activamente en las actividades de sensibilización, así como en la recolección y en la divulgación de información sobre el patrimonio cultural inmaterial de sus comunidades o grupos.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29802897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34A1DF54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1BC3D008" w14:textId="77777777" w:rsidTr="00F261C1">
        <w:trPr>
          <w:cantSplit/>
        </w:trPr>
        <w:tc>
          <w:tcPr>
            <w:tcW w:w="3892" w:type="pct"/>
            <w:vAlign w:val="center"/>
          </w:tcPr>
          <w:p w14:paraId="7000D83C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cobertura mediática del patrimonio cultural inmaterial y de su salvaguardia está en conformidad con los conceptos y la terminología de la Convención.  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6B74795E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6E6109DA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411C73" w:rsidRPr="00AA66FE" w14:paraId="44A57CC5" w14:textId="77777777" w:rsidTr="00F261C1">
        <w:trPr>
          <w:cantSplit/>
        </w:trPr>
        <w:tc>
          <w:tcPr>
            <w:tcW w:w="3892" w:type="pct"/>
            <w:vAlign w:val="center"/>
          </w:tcPr>
          <w:p w14:paraId="421082AC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Las comunidades, los grupos y los individuos participan, sobre una base inclusiva y de la manera más amplia posible, en la salvaguardia del PCI de manera general así como en la salvaguardia de elementos específicos del PCI, independientemente de si están o no inscritos.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0E71CA11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3E61AFE3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52DCE8D5" w14:textId="77777777" w:rsidTr="00F261C1">
        <w:trPr>
          <w:cantSplit/>
          <w:trHeight w:val="710"/>
        </w:trPr>
        <w:tc>
          <w:tcPr>
            <w:tcW w:w="3892" w:type="pct"/>
            <w:vAlign w:val="center"/>
          </w:tcPr>
          <w:p w14:paraId="1BB05B39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Número de ONG acreditadas que proporcionen servicios de consultoría, su distribución geográfica y su representación de distintos ámbitos.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57A86263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71D35125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1759ED4A" w14:textId="77777777" w:rsidTr="00F261C1">
        <w:trPr>
          <w:cantSplit/>
        </w:trPr>
        <w:tc>
          <w:tcPr>
            <w:tcW w:w="3892" w:type="pct"/>
            <w:vAlign w:val="center"/>
          </w:tcPr>
          <w:p w14:paraId="7FDD1EE6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vanish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La cooperación bilateral, multilateral, regional o internacional se lleva a cabo para aplicar medidas de salvaguardia del PCI en general. 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60F7507E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0AD7E431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65667AAA" w14:textId="77777777" w:rsidTr="00F261C1">
        <w:trPr>
          <w:cantSplit/>
        </w:trPr>
        <w:tc>
          <w:tcPr>
            <w:tcW w:w="3892" w:type="pct"/>
            <w:vAlign w:val="center"/>
          </w:tcPr>
          <w:p w14:paraId="6FF10047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La documentación sobre un elemento del PCI presente en su territorio que el Estado Parte comparta con otro Estado.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0BA4A02D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45A1A5E7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11C73" w:rsidRPr="00AA66FE" w14:paraId="767EF458" w14:textId="77777777" w:rsidTr="00F261C1">
        <w:trPr>
          <w:cantSplit/>
        </w:trPr>
        <w:tc>
          <w:tcPr>
            <w:tcW w:w="3892" w:type="pct"/>
            <w:vAlign w:val="center"/>
          </w:tcPr>
          <w:p w14:paraId="277CAD3E" w14:textId="77777777" w:rsidR="00411C73" w:rsidRPr="00A8072E" w:rsidRDefault="00411C73" w:rsidP="00F261C1">
            <w:pPr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Los Estados Partes participan en actividades relacionadas con el PCI de órganos regionales e internacionales distintos de la UNESCO.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750EE30F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14:paraId="5729B7D9" w14:textId="77777777" w:rsidR="00411C73" w:rsidRPr="00AA66FE" w:rsidRDefault="00411C73" w:rsidP="00F261C1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F70BF1D" w14:textId="77777777" w:rsidR="00411C73" w:rsidRDefault="00411C73" w:rsidP="00F261C1"/>
    <w:sectPr w:rsidR="00411C73" w:rsidSect="00F261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D30E8" w14:textId="77777777" w:rsidR="003F19F3" w:rsidRDefault="003F19F3" w:rsidP="00F261C1">
      <w:pPr>
        <w:spacing w:after="0" w:line="240" w:lineRule="auto"/>
      </w:pPr>
      <w:r>
        <w:separator/>
      </w:r>
    </w:p>
  </w:endnote>
  <w:endnote w:type="continuationSeparator" w:id="0">
    <w:p w14:paraId="0227E0E9" w14:textId="77777777" w:rsidR="003F19F3" w:rsidRDefault="003F19F3" w:rsidP="00F2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924D" w14:textId="07F40296" w:rsidR="00411C73" w:rsidRPr="008E320D" w:rsidRDefault="001F3D23" w:rsidP="00F261C1">
    <w:pPr>
      <w:pStyle w:val="Pieddepage"/>
      <w:tabs>
        <w:tab w:val="left" w:pos="2093"/>
      </w:tabs>
      <w:rPr>
        <w:rFonts w:ascii="Arial" w:hAnsi="Arial"/>
        <w:sz w:val="16"/>
        <w:szCs w:val="16"/>
      </w:rPr>
    </w:pPr>
    <w:r>
      <w:rPr>
        <w:noProof/>
        <w:lang w:val="es-AR" w:eastAsia="es-AR"/>
      </w:rPr>
      <w:pict w14:anchorId="34CA2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49" type="#_x0000_t75" style="position:absolute;margin-left:175.65pt;margin-top:4.65pt;width:42.7pt;height:14.9pt;z-index:251658240;visibility:visible" wrapcoords="-379 0 -379 20520 21600 20520 21600 0 -379 0">
          <v:imagedata r:id="rId1" o:title=""/>
          <w10:wrap type="through"/>
        </v:shape>
      </w:pict>
    </w:r>
    <w:r>
      <w:rPr>
        <w:noProof/>
        <w:lang w:val="fr-FR" w:eastAsia="fr-FR"/>
      </w:rPr>
      <w:pict w14:anchorId="2C0D7198">
        <v:shape id="_x0000_s2051" type="#_x0000_t75" style="position:absolute;margin-left:368.4pt;margin-top:-4.35pt;width:58.55pt;height:42.7pt;z-index:251659264">
          <v:imagedata r:id="rId2" o:title=""/>
        </v:shape>
      </w:pict>
    </w:r>
    <w:r w:rsidR="00835A53">
      <w:rPr>
        <w:rFonts w:ascii="Arial" w:hAnsi="Arial"/>
        <w:sz w:val="16"/>
      </w:rPr>
      <w:t>U05</w:t>
    </w:r>
    <w:r w:rsidR="00CC67A9">
      <w:rPr>
        <w:rFonts w:ascii="Arial" w:hAnsi="Arial"/>
        <w:sz w:val="16"/>
      </w:rPr>
      <w:t>8-v1.0-HO2</w:t>
    </w:r>
    <w:r w:rsidR="00411C73">
      <w:rPr>
        <w:rFonts w:ascii="Arial" w:hAnsi="Arial"/>
        <w:sz w:val="16"/>
      </w:rPr>
      <w:t>-ES</w:t>
    </w:r>
    <w:r w:rsidR="00411C73">
      <w:rPr>
        <w:rFonts w:ascii="Arial" w:hAnsi="Arial"/>
        <w:sz w:val="16"/>
      </w:rPr>
      <w:tab/>
    </w:r>
    <w:r w:rsidR="00411C73">
      <w:rPr>
        <w:rFonts w:ascii="Arial" w:hAnsi="Arial"/>
        <w:sz w:val="16"/>
      </w:rPr>
      <w:tab/>
    </w:r>
    <w:r w:rsidR="00411C73">
      <w:rPr>
        <w:rFonts w:ascii="Arial" w:hAnsi="Arial"/>
        <w:sz w:val="16"/>
      </w:rPr>
      <w:tab/>
    </w:r>
  </w:p>
  <w:p w14:paraId="756D6411" w14:textId="77777777" w:rsidR="00411C73" w:rsidRDefault="00411C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1DE3A" w14:textId="77777777" w:rsidR="003F19F3" w:rsidRDefault="003F19F3" w:rsidP="00F261C1">
      <w:pPr>
        <w:spacing w:after="0" w:line="240" w:lineRule="auto"/>
      </w:pPr>
      <w:r>
        <w:separator/>
      </w:r>
    </w:p>
  </w:footnote>
  <w:footnote w:type="continuationSeparator" w:id="0">
    <w:p w14:paraId="12BDF253" w14:textId="77777777" w:rsidR="003F19F3" w:rsidRDefault="003F19F3" w:rsidP="00F2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DD11" w14:textId="77777777" w:rsidR="00411C73" w:rsidRPr="003B76F5" w:rsidRDefault="00411C73" w:rsidP="00F261C1">
    <w:pPr>
      <w:pStyle w:val="En-tte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ab/>
      <w:t>Folleto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709"/>
    <w:multiLevelType w:val="multilevel"/>
    <w:tmpl w:val="DBAE2B38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68D6F3D"/>
    <w:multiLevelType w:val="multilevel"/>
    <w:tmpl w:val="850A45F8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E173312"/>
    <w:multiLevelType w:val="multilevel"/>
    <w:tmpl w:val="FA760232"/>
    <w:lvl w:ilvl="0">
      <w:start w:val="19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0F7F20F3"/>
    <w:multiLevelType w:val="multilevel"/>
    <w:tmpl w:val="69DC8654"/>
    <w:lvl w:ilvl="0">
      <w:start w:val="1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3D0554B"/>
    <w:multiLevelType w:val="multilevel"/>
    <w:tmpl w:val="C082EE2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5" w15:restartNumberingAfterBreak="0">
    <w:nsid w:val="1D5155C1"/>
    <w:multiLevelType w:val="multilevel"/>
    <w:tmpl w:val="356E2A8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6" w15:restartNumberingAfterBreak="0">
    <w:nsid w:val="1E6F3D42"/>
    <w:multiLevelType w:val="multilevel"/>
    <w:tmpl w:val="9232358E"/>
    <w:lvl w:ilvl="0">
      <w:start w:val="1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7" w15:restartNumberingAfterBreak="0">
    <w:nsid w:val="222A59F8"/>
    <w:multiLevelType w:val="hybridMultilevel"/>
    <w:tmpl w:val="8376E6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3CC3"/>
    <w:multiLevelType w:val="multilevel"/>
    <w:tmpl w:val="765075C4"/>
    <w:lvl w:ilvl="0">
      <w:start w:val="2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30F84BCB"/>
    <w:multiLevelType w:val="multilevel"/>
    <w:tmpl w:val="DBD86F44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34C7044B"/>
    <w:multiLevelType w:val="multilevel"/>
    <w:tmpl w:val="9C5E3B12"/>
    <w:lvl w:ilvl="0">
      <w:start w:val="2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91359B8"/>
    <w:multiLevelType w:val="multilevel"/>
    <w:tmpl w:val="7634060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2" w15:restartNumberingAfterBreak="0">
    <w:nsid w:val="3C833CD7"/>
    <w:multiLevelType w:val="multilevel"/>
    <w:tmpl w:val="835843F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3" w15:restartNumberingAfterBreak="0">
    <w:nsid w:val="3FA7287F"/>
    <w:multiLevelType w:val="multilevel"/>
    <w:tmpl w:val="9010293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4" w15:restartNumberingAfterBreak="0">
    <w:nsid w:val="40EB2969"/>
    <w:multiLevelType w:val="multilevel"/>
    <w:tmpl w:val="CCDA820A"/>
    <w:lvl w:ilvl="0">
      <w:start w:val="2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0FD6EEF"/>
    <w:multiLevelType w:val="multilevel"/>
    <w:tmpl w:val="1080733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6" w15:restartNumberingAfterBreak="0">
    <w:nsid w:val="44984C0B"/>
    <w:multiLevelType w:val="multilevel"/>
    <w:tmpl w:val="F37EAD20"/>
    <w:lvl w:ilvl="0">
      <w:start w:val="1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7" w15:restartNumberingAfterBreak="0">
    <w:nsid w:val="49545EAC"/>
    <w:multiLevelType w:val="multilevel"/>
    <w:tmpl w:val="E1DEAED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18" w15:restartNumberingAfterBreak="0">
    <w:nsid w:val="4B9B4C5A"/>
    <w:multiLevelType w:val="multilevel"/>
    <w:tmpl w:val="BA60A44C"/>
    <w:lvl w:ilvl="0">
      <w:start w:val="2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585211E8"/>
    <w:multiLevelType w:val="multilevel"/>
    <w:tmpl w:val="6B8C3E24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20" w15:restartNumberingAfterBreak="0">
    <w:nsid w:val="5BEB212C"/>
    <w:multiLevelType w:val="multilevel"/>
    <w:tmpl w:val="A094F0A6"/>
    <w:lvl w:ilvl="0">
      <w:start w:val="1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5C1F5D61"/>
    <w:multiLevelType w:val="multilevel"/>
    <w:tmpl w:val="ED7E78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092062"/>
    <w:multiLevelType w:val="multilevel"/>
    <w:tmpl w:val="FD704AB8"/>
    <w:lvl w:ilvl="0">
      <w:start w:val="1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3" w15:restartNumberingAfterBreak="0">
    <w:nsid w:val="65D30E88"/>
    <w:multiLevelType w:val="multilevel"/>
    <w:tmpl w:val="54F84076"/>
    <w:lvl w:ilvl="0">
      <w:start w:val="2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4" w15:restartNumberingAfterBreak="0">
    <w:nsid w:val="69B22285"/>
    <w:multiLevelType w:val="multilevel"/>
    <w:tmpl w:val="FF4EE7DA"/>
    <w:lvl w:ilvl="0">
      <w:start w:val="2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6FC94CCC"/>
    <w:multiLevelType w:val="multilevel"/>
    <w:tmpl w:val="5FE08C7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9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cs="Times New Roman" w:hint="default"/>
      </w:rPr>
    </w:lvl>
  </w:abstractNum>
  <w:abstractNum w:abstractNumId="26" w15:restartNumberingAfterBreak="0">
    <w:nsid w:val="7C367C2A"/>
    <w:multiLevelType w:val="multilevel"/>
    <w:tmpl w:val="CF381C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5"/>
  </w:num>
  <w:num w:numId="5">
    <w:abstractNumId w:val="25"/>
  </w:num>
  <w:num w:numId="6">
    <w:abstractNumId w:val="4"/>
  </w:num>
  <w:num w:numId="7">
    <w:abstractNumId w:val="17"/>
  </w:num>
  <w:num w:numId="8">
    <w:abstractNumId w:val="26"/>
  </w:num>
  <w:num w:numId="9">
    <w:abstractNumId w:val="15"/>
  </w:num>
  <w:num w:numId="10">
    <w:abstractNumId w:val="13"/>
  </w:num>
  <w:num w:numId="11">
    <w:abstractNumId w:val="11"/>
  </w:num>
  <w:num w:numId="12">
    <w:abstractNumId w:val="19"/>
  </w:num>
  <w:num w:numId="13">
    <w:abstractNumId w:val="6"/>
  </w:num>
  <w:num w:numId="14">
    <w:abstractNumId w:val="1"/>
  </w:num>
  <w:num w:numId="15">
    <w:abstractNumId w:val="16"/>
  </w:num>
  <w:num w:numId="16">
    <w:abstractNumId w:val="20"/>
  </w:num>
  <w:num w:numId="17">
    <w:abstractNumId w:val="0"/>
  </w:num>
  <w:num w:numId="18">
    <w:abstractNumId w:val="3"/>
  </w:num>
  <w:num w:numId="19">
    <w:abstractNumId w:val="22"/>
  </w:num>
  <w:num w:numId="20">
    <w:abstractNumId w:val="2"/>
  </w:num>
  <w:num w:numId="21">
    <w:abstractNumId w:val="14"/>
  </w:num>
  <w:num w:numId="22">
    <w:abstractNumId w:val="9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888"/>
    <w:rsid w:val="00005F25"/>
    <w:rsid w:val="000C71D8"/>
    <w:rsid w:val="001F3D23"/>
    <w:rsid w:val="00252B6B"/>
    <w:rsid w:val="003B76F5"/>
    <w:rsid w:val="003F19F3"/>
    <w:rsid w:val="00406FB2"/>
    <w:rsid w:val="00411C73"/>
    <w:rsid w:val="008340E2"/>
    <w:rsid w:val="00835A53"/>
    <w:rsid w:val="008E320D"/>
    <w:rsid w:val="009628EE"/>
    <w:rsid w:val="00A8072E"/>
    <w:rsid w:val="00AA66FE"/>
    <w:rsid w:val="00C6466E"/>
    <w:rsid w:val="00C64888"/>
    <w:rsid w:val="00CC67A9"/>
    <w:rsid w:val="00EA0387"/>
    <w:rsid w:val="00F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15776C0"/>
  <w14:defaultImageDpi w14:val="0"/>
  <w15:docId w15:val="{224303ED-C185-4212-859B-9CD3481D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Arial"/>
      <w:sz w:val="22"/>
      <w:szCs w:val="22"/>
      <w:lang w:val="es-ES" w:eastAsia="es-E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MS Gothic" w:hAnsi="Cambria"/>
      <w:b/>
      <w:color w:val="365F91"/>
      <w:sz w:val="28"/>
      <w:lang w:val="es-ES" w:eastAsia="es-ES"/>
    </w:rPr>
  </w:style>
  <w:style w:type="paragraph" w:styleId="Notedebasdepage">
    <w:name w:val="footnote text"/>
    <w:basedOn w:val="Normal"/>
    <w:link w:val="NotedebasdepageCar"/>
    <w:uiPriority w:val="99"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locked/>
    <w:rPr>
      <w:rFonts w:ascii="Times New Roman" w:hAnsi="Times New Roman"/>
      <w:sz w:val="20"/>
      <w:lang w:val="es-ES" w:eastAsia="es-ES"/>
    </w:rPr>
  </w:style>
  <w:style w:type="character" w:styleId="Appelnotedebasdep">
    <w:name w:val="footnote reference"/>
    <w:uiPriority w:val="99"/>
    <w:semiHidden/>
    <w:unhideWhenUsed/>
    <w:rPr>
      <w:vertAlign w:val="superscript"/>
      <w:lang w:val="es-ES" w:eastAsia="es-ES"/>
    </w:rPr>
  </w:style>
  <w:style w:type="character" w:styleId="Accentuation">
    <w:name w:val="Emphasis"/>
    <w:uiPriority w:val="20"/>
    <w:qFormat/>
    <w:rPr>
      <w:i/>
      <w:lang w:val="es-ES" w:eastAsia="es-ES"/>
    </w:rPr>
  </w:style>
  <w:style w:type="paragraph" w:customStyle="1" w:styleId="Chapitre">
    <w:name w:val="Chapitre"/>
    <w:basedOn w:val="Titre1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color w:val="3366FF"/>
      <w:kern w:val="28"/>
      <w:sz w:val="70"/>
      <w:szCs w:val="70"/>
    </w:rPr>
  </w:style>
  <w:style w:type="paragraph" w:customStyle="1" w:styleId="HO1">
    <w:name w:val="HO1"/>
    <w:basedOn w:val="Normal"/>
    <w:link w:val="HO1Car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hAnsi="Arial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link w:val="HO1"/>
    <w:locked/>
    <w:rPr>
      <w:rFonts w:ascii="Arial" w:hAnsi="Arial"/>
      <w:b/>
      <w:noProof/>
      <w:color w:val="3366FF"/>
      <w:kern w:val="28"/>
      <w:sz w:val="32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Pr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Pr>
      <w:lang w:val="es-ES" w:eastAsia="es-ES"/>
    </w:rPr>
  </w:style>
  <w:style w:type="character" w:styleId="Marquedecommentaire">
    <w:name w:val="annotation reference"/>
    <w:uiPriority w:val="99"/>
    <w:semiHidden/>
    <w:unhideWhenUsed/>
    <w:rsid w:val="008340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40E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340E2"/>
    <w:rPr>
      <w:rFonts w:cs="Arial"/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40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340E2"/>
    <w:rPr>
      <w:rFonts w:cs="Arial"/>
      <w:b/>
      <w:bCs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40E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Undurraga, Maria-Paz</dc:creator>
  <cp:keywords/>
  <dc:description/>
  <cp:lastModifiedBy>Maria-Paz Fernandez Undurraga</cp:lastModifiedBy>
  <cp:revision>4</cp:revision>
  <dcterms:created xsi:type="dcterms:W3CDTF">2020-02-07T13:53:00Z</dcterms:created>
  <dcterms:modified xsi:type="dcterms:W3CDTF">2020-02-27T15:50:00Z</dcterms:modified>
</cp:coreProperties>
</file>