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5C320" w14:textId="77777777" w:rsidR="004236BE" w:rsidRPr="00565E26" w:rsidRDefault="004236BE" w:rsidP="0016699B">
      <w:pPr>
        <w:pStyle w:val="Chapitre"/>
        <w:spacing w:before="0" w:after="0" w:line="240" w:lineRule="auto"/>
        <w:rPr>
          <w:lang w:val="es-AR"/>
        </w:rPr>
      </w:pPr>
      <w:r>
        <w:t>UNIDAD 58</w:t>
      </w:r>
    </w:p>
    <w:p w14:paraId="7CCB85FA" w14:textId="77777777" w:rsidR="004236BE" w:rsidRDefault="004236BE" w:rsidP="00A80DCA">
      <w:pPr>
        <w:pStyle w:val="HO1"/>
      </w:pPr>
      <w:r>
        <w:t>Folleto 4</w:t>
      </w:r>
    </w:p>
    <w:p w14:paraId="26DFC2A1" w14:textId="77777777" w:rsidR="004236BE" w:rsidRPr="00A80DCA" w:rsidRDefault="004236BE" w:rsidP="00A80DCA">
      <w:pPr>
        <w:pStyle w:val="HO1"/>
        <w:spacing w:before="0" w:after="240"/>
        <w:rPr>
          <w:caps/>
        </w:rPr>
      </w:pPr>
      <w:r>
        <w:rPr>
          <w:caps/>
        </w:rPr>
        <w:t>ponderaciones</w:t>
      </w:r>
    </w:p>
    <w:p w14:paraId="713A693C" w14:textId="77777777" w:rsidR="004236BE" w:rsidRPr="00A80DCA" w:rsidRDefault="004236BE" w:rsidP="0016699B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Indicador 1  Grado en el que los órganos e instituciones competentes y los mecanismos consultivos apoyan la práctica y la transmisión continuas del PCI.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29"/>
      </w:tblGrid>
      <w:tr w:rsidR="004236BE" w:rsidRPr="00A03758" w14:paraId="205682FA" w14:textId="77777777" w:rsidTr="00A03758">
        <w:trPr>
          <w:cantSplit/>
        </w:trPr>
        <w:tc>
          <w:tcPr>
            <w:tcW w:w="3989" w:type="pct"/>
            <w:tcBorders>
              <w:top w:val="single" w:sz="24" w:space="0" w:color="auto"/>
            </w:tcBorders>
          </w:tcPr>
          <w:p w14:paraId="68E41F53" w14:textId="77777777" w:rsidR="004236BE" w:rsidRPr="00A03758" w:rsidRDefault="004236BE" w:rsidP="00A03758">
            <w:pPr>
              <w:numPr>
                <w:ilvl w:val="1"/>
                <w:numId w:val="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 han designado o establecido uno o más órganos competentes para salvaguardar el PCI.</w:t>
            </w:r>
          </w:p>
        </w:tc>
        <w:tc>
          <w:tcPr>
            <w:tcW w:w="1011" w:type="pct"/>
            <w:tcBorders>
              <w:top w:val="single" w:sz="24" w:space="0" w:color="auto"/>
            </w:tcBorders>
            <w:vAlign w:val="center"/>
          </w:tcPr>
          <w:p w14:paraId="1292AF29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30                               </w:t>
            </w:r>
          </w:p>
        </w:tc>
      </w:tr>
      <w:tr w:rsidR="004236BE" w:rsidRPr="00A03758" w14:paraId="7DF33C53" w14:textId="77777777" w:rsidTr="00A03758">
        <w:trPr>
          <w:cantSplit/>
        </w:trPr>
        <w:tc>
          <w:tcPr>
            <w:tcW w:w="3989" w:type="pct"/>
          </w:tcPr>
          <w:p w14:paraId="31EB6472" w14:textId="77777777" w:rsidR="004236BE" w:rsidRPr="00A03758" w:rsidRDefault="004236BE" w:rsidP="00A03758">
            <w:pPr>
              <w:numPr>
                <w:ilvl w:val="1"/>
                <w:numId w:val="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Existen órganos competentes para la salvaguardia de elementos específicos del PCI, independientemente de si están o no inscritos.</w:t>
            </w:r>
          </w:p>
        </w:tc>
        <w:tc>
          <w:tcPr>
            <w:tcW w:w="1011" w:type="pct"/>
            <w:vAlign w:val="center"/>
          </w:tcPr>
          <w:p w14:paraId="2E794906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</w:tr>
      <w:tr w:rsidR="004236BE" w:rsidRPr="00A03758" w14:paraId="7A69E4FD" w14:textId="77777777" w:rsidTr="00A03758">
        <w:trPr>
          <w:cantSplit/>
        </w:trPr>
        <w:tc>
          <w:tcPr>
            <w:tcW w:w="3989" w:type="pct"/>
          </w:tcPr>
          <w:p w14:paraId="775E317D" w14:textId="77777777" w:rsidR="004236BE" w:rsidRPr="00A03758" w:rsidRDefault="004236BE" w:rsidP="00A03758">
            <w:pPr>
              <w:numPr>
                <w:ilvl w:val="1"/>
                <w:numId w:val="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Órganos consultivos y otros mecanismos de coordinación fomentan la participación amplia e inclusiva de las comunidades, los grupos y los individuos en la salvaguardia y la gestión del PCI.  </w:t>
            </w:r>
          </w:p>
        </w:tc>
        <w:tc>
          <w:tcPr>
            <w:tcW w:w="1011" w:type="pct"/>
            <w:vAlign w:val="center"/>
          </w:tcPr>
          <w:p w14:paraId="739D73A1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</w:tr>
      <w:tr w:rsidR="004236BE" w:rsidRPr="00A03758" w14:paraId="31B20C85" w14:textId="77777777" w:rsidTr="00A03758">
        <w:trPr>
          <w:cantSplit/>
        </w:trPr>
        <w:tc>
          <w:tcPr>
            <w:tcW w:w="3989" w:type="pct"/>
          </w:tcPr>
          <w:p w14:paraId="4B82C7B4" w14:textId="77777777" w:rsidR="004236BE" w:rsidRPr="00A03758" w:rsidRDefault="004236BE" w:rsidP="00A03758">
            <w:pPr>
              <w:numPr>
                <w:ilvl w:val="1"/>
                <w:numId w:val="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 fomenta la creación de instituciones, organizaciones o iniciativas para documentar el PCI y sus materiales se utilizan para apoyar la práctica y su transmisión continua.</w:t>
            </w:r>
          </w:p>
        </w:tc>
        <w:tc>
          <w:tcPr>
            <w:tcW w:w="1011" w:type="pct"/>
            <w:vAlign w:val="center"/>
          </w:tcPr>
          <w:p w14:paraId="73341FBA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</w:tr>
      <w:tr w:rsidR="004236BE" w:rsidRPr="00A03758" w14:paraId="74086106" w14:textId="77777777" w:rsidTr="00A03758">
        <w:trPr>
          <w:cantSplit/>
        </w:trPr>
        <w:tc>
          <w:tcPr>
            <w:tcW w:w="3989" w:type="pct"/>
            <w:tcBorders>
              <w:bottom w:val="single" w:sz="24" w:space="0" w:color="auto"/>
            </w:tcBorders>
          </w:tcPr>
          <w:p w14:paraId="16971E2A" w14:textId="77777777" w:rsidR="004236BE" w:rsidRPr="00A03758" w:rsidRDefault="004236BE" w:rsidP="00A03758">
            <w:pPr>
              <w:numPr>
                <w:ilvl w:val="1"/>
                <w:numId w:val="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Centros culturales, centros de competencia, instituciones de investigación, museos, archivos, bibliotecas, etc. contribuyen a la salvaguardia y la gestión del PCI.</w:t>
            </w:r>
          </w:p>
        </w:tc>
        <w:tc>
          <w:tcPr>
            <w:tcW w:w="1011" w:type="pct"/>
            <w:tcBorders>
              <w:bottom w:val="single" w:sz="24" w:space="0" w:color="auto"/>
            </w:tcBorders>
            <w:vAlign w:val="center"/>
          </w:tcPr>
          <w:p w14:paraId="3E6CEE8D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</w:tr>
    </w:tbl>
    <w:p w14:paraId="007F202A" w14:textId="77777777" w:rsidR="004236BE" w:rsidRPr="00A80DCA" w:rsidRDefault="004236BE" w:rsidP="0016699B">
      <w:pPr>
        <w:rPr>
          <w:rFonts w:ascii="Arial" w:hAnsi="Arial"/>
          <w:sz w:val="20"/>
          <w:szCs w:val="20"/>
        </w:rPr>
      </w:pPr>
    </w:p>
    <w:p w14:paraId="28019DD6" w14:textId="77777777" w:rsidR="004236BE" w:rsidRPr="00A80DCA" w:rsidRDefault="004236BE" w:rsidP="0016699B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Indicador 3: Grado en el que se ofrece formación dirigida o, impartida por comunidades, grupos, individuos así como aquellos que trabajen en el ámbito de la cultura y del patrimonio 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5"/>
        <w:gridCol w:w="1440"/>
      </w:tblGrid>
      <w:tr w:rsidR="004236BE" w:rsidRPr="00A03758" w14:paraId="15B45FE9" w14:textId="77777777" w:rsidTr="00A03758">
        <w:trPr>
          <w:cantSplit/>
          <w:trHeight w:val="638"/>
        </w:trPr>
        <w:tc>
          <w:tcPr>
            <w:tcW w:w="3989" w:type="pct"/>
            <w:vMerge w:val="restart"/>
            <w:tcBorders>
              <w:top w:val="single" w:sz="24" w:space="0" w:color="auto"/>
            </w:tcBorders>
          </w:tcPr>
          <w:p w14:paraId="6110E585" w14:textId="77777777" w:rsidR="004236BE" w:rsidRPr="00A03758" w:rsidRDefault="004236BE" w:rsidP="00A03758">
            <w:pPr>
              <w:numPr>
                <w:ilvl w:val="1"/>
                <w:numId w:val="2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programas de formación, incluidos aquellos que las mismas comunidades impartan, que permitan el fortalecimiento de capacidades sobre el PCI de las comunidades, los grupos y los individuos, sobre una base inclusiva.</w:t>
            </w:r>
          </w:p>
        </w:tc>
        <w:tc>
          <w:tcPr>
            <w:tcW w:w="1011" w:type="pct"/>
            <w:vMerge w:val="restart"/>
            <w:tcBorders>
              <w:top w:val="single" w:sz="24" w:space="0" w:color="auto"/>
            </w:tcBorders>
            <w:vAlign w:val="center"/>
          </w:tcPr>
          <w:p w14:paraId="60420F4C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65</w:t>
            </w:r>
          </w:p>
          <w:p w14:paraId="6151AF06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de los cuales </w:t>
            </w:r>
            <w:r w:rsidR="00221EAD">
              <w:rPr>
                <w:rFonts w:ascii="Arial" w:hAnsi="Arial"/>
                <w:sz w:val="20"/>
              </w:rPr>
              <w:t xml:space="preserve">10 </w:t>
            </w:r>
            <w:r>
              <w:rPr>
                <w:rFonts w:ascii="Arial" w:hAnsi="Arial"/>
                <w:sz w:val="20"/>
              </w:rPr>
              <w:t xml:space="preserve">corresponden a la </w:t>
            </w:r>
            <w:proofErr w:type="spellStart"/>
            <w:r>
              <w:rPr>
                <w:rFonts w:ascii="Arial" w:hAnsi="Arial"/>
                <w:sz w:val="20"/>
              </w:rPr>
              <w:t>subpregunta</w:t>
            </w:r>
            <w:proofErr w:type="spellEnd"/>
            <w:r>
              <w:rPr>
                <w:rFonts w:ascii="Arial" w:hAnsi="Arial"/>
                <w:sz w:val="20"/>
              </w:rPr>
              <w:t xml:space="preserve"> sobre inclusión.</w:t>
            </w:r>
          </w:p>
        </w:tc>
      </w:tr>
      <w:tr w:rsidR="004236BE" w:rsidRPr="00A03758" w14:paraId="03F3A594" w14:textId="77777777" w:rsidTr="00A03758">
        <w:trPr>
          <w:cantSplit/>
          <w:trHeight w:val="637"/>
        </w:trPr>
        <w:tc>
          <w:tcPr>
            <w:tcW w:w="3989" w:type="pct"/>
            <w:vMerge/>
          </w:tcPr>
          <w:p w14:paraId="43D0223F" w14:textId="77777777" w:rsidR="004236BE" w:rsidRPr="00A03758" w:rsidRDefault="004236BE" w:rsidP="00A03758">
            <w:pPr>
              <w:numPr>
                <w:ilvl w:val="1"/>
                <w:numId w:val="2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22BE91FF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22DEE3F2" w14:textId="77777777" w:rsidTr="00A03758">
        <w:trPr>
          <w:cantSplit/>
          <w:trHeight w:val="675"/>
        </w:trPr>
        <w:tc>
          <w:tcPr>
            <w:tcW w:w="3989" w:type="pct"/>
            <w:vMerge w:val="restart"/>
          </w:tcPr>
          <w:p w14:paraId="3523CC40" w14:textId="77777777" w:rsidR="00066A68" w:rsidRDefault="004236BE" w:rsidP="00A03758">
            <w:pPr>
              <w:numPr>
                <w:ilvl w:val="1"/>
                <w:numId w:val="2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programas de formación que permitan el fortalecimiento de capacidades sobre el PCI destinado a aquellas personas que trabajen en el ámbito de la cultura y del patrimonio, sobre una base inclusiva.</w:t>
            </w:r>
          </w:p>
          <w:p w14:paraId="395F708B" w14:textId="77777777" w:rsidR="00066A68" w:rsidRPr="00066A68" w:rsidRDefault="00066A68" w:rsidP="00066A68">
            <w:pPr>
              <w:rPr>
                <w:rFonts w:ascii="Arial" w:hAnsi="Arial"/>
                <w:sz w:val="20"/>
                <w:szCs w:val="20"/>
              </w:rPr>
            </w:pPr>
          </w:p>
          <w:p w14:paraId="1D6D4E4E" w14:textId="77777777" w:rsidR="00066A68" w:rsidRPr="00066A68" w:rsidRDefault="00066A68" w:rsidP="00066A68">
            <w:pPr>
              <w:rPr>
                <w:rFonts w:ascii="Arial" w:hAnsi="Arial"/>
                <w:sz w:val="20"/>
                <w:szCs w:val="20"/>
              </w:rPr>
            </w:pPr>
          </w:p>
          <w:p w14:paraId="0561B698" w14:textId="77777777" w:rsidR="004236BE" w:rsidRPr="00066A68" w:rsidRDefault="004236BE" w:rsidP="00066A6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10A697CC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  <w:p w14:paraId="621A37E3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de los cuales </w:t>
            </w:r>
            <w:r w:rsidR="00221EAD">
              <w:rPr>
                <w:rFonts w:ascii="Arial" w:hAnsi="Arial"/>
                <w:sz w:val="20"/>
              </w:rPr>
              <w:t xml:space="preserve">10 </w:t>
            </w:r>
            <w:r>
              <w:rPr>
                <w:rFonts w:ascii="Arial" w:hAnsi="Arial"/>
                <w:sz w:val="20"/>
              </w:rPr>
              <w:t xml:space="preserve">corresponden a la </w:t>
            </w:r>
            <w:proofErr w:type="spellStart"/>
            <w:r>
              <w:rPr>
                <w:rFonts w:ascii="Arial" w:hAnsi="Arial"/>
                <w:sz w:val="20"/>
              </w:rPr>
              <w:t>subpregunta</w:t>
            </w:r>
            <w:proofErr w:type="spellEnd"/>
            <w:r>
              <w:rPr>
                <w:rFonts w:ascii="Arial" w:hAnsi="Arial"/>
                <w:sz w:val="20"/>
              </w:rPr>
              <w:t xml:space="preserve"> sobre inclusión.</w:t>
            </w:r>
          </w:p>
        </w:tc>
      </w:tr>
      <w:tr w:rsidR="004236BE" w:rsidRPr="00A03758" w14:paraId="35EAE6EB" w14:textId="77777777" w:rsidTr="00A03758">
        <w:trPr>
          <w:cantSplit/>
          <w:trHeight w:val="675"/>
        </w:trPr>
        <w:tc>
          <w:tcPr>
            <w:tcW w:w="3989" w:type="pct"/>
            <w:vMerge/>
            <w:tcBorders>
              <w:bottom w:val="single" w:sz="24" w:space="0" w:color="auto"/>
            </w:tcBorders>
          </w:tcPr>
          <w:p w14:paraId="5BDB84A4" w14:textId="77777777" w:rsidR="004236BE" w:rsidRPr="00A03758" w:rsidRDefault="004236BE" w:rsidP="00A03758">
            <w:pPr>
              <w:numPr>
                <w:ilvl w:val="1"/>
                <w:numId w:val="2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bottom w:val="single" w:sz="24" w:space="0" w:color="auto"/>
            </w:tcBorders>
            <w:vAlign w:val="center"/>
          </w:tcPr>
          <w:p w14:paraId="0F7C7D98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</w:tbl>
    <w:p w14:paraId="0FA98FC7" w14:textId="77777777" w:rsidR="004236BE" w:rsidRPr="00A80DCA" w:rsidRDefault="004236BE" w:rsidP="0058176C">
      <w:pPr>
        <w:spacing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Indicador 5: Grado en el que el PCI y su salvaguardia están integrados en la educación primaria y secundaria, por ejemplo en el contenido de las materias pertinentes, y la forma en que se utilizan para fortalecer la educación y el aprendizaje del PCI y permiten respetar el PCI propio y ajeno.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29"/>
      </w:tblGrid>
      <w:tr w:rsidR="004236BE" w:rsidRPr="00A03758" w14:paraId="42F8FDF6" w14:textId="77777777" w:rsidTr="00A03758">
        <w:trPr>
          <w:cantSplit/>
        </w:trPr>
        <w:tc>
          <w:tcPr>
            <w:tcW w:w="3989" w:type="pct"/>
            <w:tcBorders>
              <w:top w:val="single" w:sz="24" w:space="0" w:color="auto"/>
            </w:tcBorders>
          </w:tcPr>
          <w:p w14:paraId="76FD86ED" w14:textId="77777777" w:rsidR="004236BE" w:rsidRPr="00A03758" w:rsidRDefault="004236BE" w:rsidP="00A03758">
            <w:pPr>
              <w:numPr>
                <w:ilvl w:val="1"/>
                <w:numId w:val="3"/>
              </w:numPr>
              <w:spacing w:before="60" w:after="60" w:line="240" w:lineRule="auto"/>
              <w:ind w:left="595" w:hanging="59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 PCI, en toda su diversidad, es incluido en el contenido de materias pertinentes como una contribución inherente y/o como una herramienta para explicar o demostrar otros temas.</w:t>
            </w:r>
          </w:p>
        </w:tc>
        <w:tc>
          <w:tcPr>
            <w:tcW w:w="1011" w:type="pct"/>
            <w:tcBorders>
              <w:top w:val="single" w:sz="24" w:space="0" w:color="auto"/>
            </w:tcBorders>
            <w:vAlign w:val="center"/>
          </w:tcPr>
          <w:p w14:paraId="772E36CB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</w:tr>
      <w:tr w:rsidR="004236BE" w:rsidRPr="00A03758" w14:paraId="2AAD8ECC" w14:textId="77777777" w:rsidTr="00A03758">
        <w:trPr>
          <w:cantSplit/>
        </w:trPr>
        <w:tc>
          <w:tcPr>
            <w:tcW w:w="3989" w:type="pct"/>
          </w:tcPr>
          <w:p w14:paraId="653395B7" w14:textId="77777777" w:rsidR="004236BE" w:rsidRPr="00A03758" w:rsidRDefault="004236BE" w:rsidP="000836DB">
            <w:pPr>
              <w:numPr>
                <w:ilvl w:val="1"/>
                <w:numId w:val="3"/>
              </w:numPr>
              <w:spacing w:before="60" w:after="60" w:line="240" w:lineRule="auto"/>
              <w:ind w:left="595" w:hanging="59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estudiantes de las escuelas aprende</w:t>
            </w:r>
            <w:r w:rsidR="000836DB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a respetar y reflejarse en el PCI de su propia comunidad o grupo o en el PCI de otros a través de programas educativos y académicos.</w:t>
            </w:r>
          </w:p>
        </w:tc>
        <w:tc>
          <w:tcPr>
            <w:tcW w:w="1011" w:type="pct"/>
            <w:vAlign w:val="center"/>
          </w:tcPr>
          <w:p w14:paraId="07037509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</w:tr>
      <w:tr w:rsidR="004236BE" w:rsidRPr="00A03758" w14:paraId="38E79B2C" w14:textId="77777777" w:rsidTr="00A03758">
        <w:trPr>
          <w:cantSplit/>
        </w:trPr>
        <w:tc>
          <w:tcPr>
            <w:tcW w:w="3989" w:type="pct"/>
          </w:tcPr>
          <w:p w14:paraId="5F4BE83F" w14:textId="77777777" w:rsidR="004236BE" w:rsidRPr="00A03758" w:rsidRDefault="004236BE" w:rsidP="00A03758">
            <w:pPr>
              <w:numPr>
                <w:ilvl w:val="1"/>
                <w:numId w:val="3"/>
              </w:numPr>
              <w:spacing w:before="60" w:after="60" w:line="240" w:lineRule="auto"/>
              <w:ind w:left="595" w:hanging="59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diversidad de los estudiantes de PCI queda reflejada a través de su lengua materna o su educación multilingüe o a través de la inclusión de </w:t>
            </w:r>
            <w:r>
              <w:rPr>
                <w:rFonts w:ascii="Arial" w:hAnsi="Arial"/>
                <w:sz w:val="20"/>
                <w:cs/>
              </w:rPr>
              <w:t>“</w:t>
            </w:r>
            <w:r>
              <w:rPr>
                <w:rFonts w:ascii="Arial" w:hAnsi="Arial"/>
                <w:sz w:val="20"/>
              </w:rPr>
              <w:t>contenidos locales</w:t>
            </w:r>
            <w:r>
              <w:rPr>
                <w:rFonts w:ascii="Arial" w:hAnsi="Arial"/>
                <w:sz w:val="20"/>
                <w:cs/>
              </w:rPr>
              <w:t xml:space="preserve">” </w:t>
            </w:r>
            <w:r>
              <w:rPr>
                <w:rFonts w:ascii="Arial" w:hAnsi="Arial"/>
                <w:sz w:val="20"/>
              </w:rPr>
              <w:t>dentro de los programas académicos.</w:t>
            </w:r>
          </w:p>
        </w:tc>
        <w:tc>
          <w:tcPr>
            <w:tcW w:w="1011" w:type="pct"/>
            <w:vAlign w:val="center"/>
          </w:tcPr>
          <w:p w14:paraId="7E19A54E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</w:tr>
      <w:tr w:rsidR="004236BE" w:rsidRPr="00A03758" w14:paraId="49DB65D7" w14:textId="77777777" w:rsidTr="00A03758">
        <w:trPr>
          <w:cantSplit/>
          <w:trHeight w:val="608"/>
        </w:trPr>
        <w:tc>
          <w:tcPr>
            <w:tcW w:w="3989" w:type="pct"/>
          </w:tcPr>
          <w:p w14:paraId="2838A7F3" w14:textId="77777777" w:rsidR="004236BE" w:rsidRPr="00A03758" w:rsidRDefault="004236BE" w:rsidP="00A03758">
            <w:pPr>
              <w:numPr>
                <w:ilvl w:val="1"/>
                <w:numId w:val="3"/>
              </w:numPr>
              <w:spacing w:before="60" w:after="60" w:line="240" w:lineRule="auto"/>
              <w:ind w:left="595" w:hanging="59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programas de educación enseñan acerca de la protección de los espacios culturales y naturales así como de los espacios de memoria cuya existencia es necesaria para expresar el PCI.</w:t>
            </w:r>
          </w:p>
        </w:tc>
        <w:tc>
          <w:tcPr>
            <w:tcW w:w="1011" w:type="pct"/>
            <w:vAlign w:val="center"/>
          </w:tcPr>
          <w:p w14:paraId="208FDB43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</w:tr>
    </w:tbl>
    <w:p w14:paraId="00DED468" w14:textId="77777777" w:rsidR="004236BE" w:rsidRPr="00A80DCA" w:rsidRDefault="004236BE" w:rsidP="0058176C">
      <w:pPr>
        <w:spacing w:line="240" w:lineRule="auto"/>
        <w:rPr>
          <w:rFonts w:ascii="Arial" w:hAnsi="Arial"/>
          <w:b/>
          <w:bCs/>
          <w:sz w:val="20"/>
          <w:szCs w:val="20"/>
        </w:rPr>
      </w:pPr>
    </w:p>
    <w:p w14:paraId="7F875173" w14:textId="77777777" w:rsidR="004236BE" w:rsidRPr="00A80DCA" w:rsidRDefault="004236BE" w:rsidP="0058176C">
      <w:pPr>
        <w:spacing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Indicador 8: Grado en el que el proceso de inventariado es inclusivo, respeta la diversidad del PCI y de sus practicantes y fomenta la salvaguardia por parte de las comunidades, los grupos y los individuos interesados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29"/>
      </w:tblGrid>
      <w:tr w:rsidR="004236BE" w:rsidRPr="00A03758" w14:paraId="07FF8555" w14:textId="77777777" w:rsidTr="00A03758">
        <w:trPr>
          <w:cantSplit/>
          <w:trHeight w:val="578"/>
        </w:trPr>
        <w:tc>
          <w:tcPr>
            <w:tcW w:w="3989" w:type="pct"/>
            <w:vMerge w:val="restart"/>
            <w:tcBorders>
              <w:top w:val="single" w:sz="24" w:space="0" w:color="auto"/>
            </w:tcBorders>
          </w:tcPr>
          <w:p w14:paraId="054CA769" w14:textId="77777777" w:rsidR="004236BE" w:rsidRPr="00A03758" w:rsidRDefault="004236BE" w:rsidP="00A03758">
            <w:pPr>
              <w:numPr>
                <w:ilvl w:val="1"/>
                <w:numId w:val="4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comunidades, los grupos y las ONG relevantes participan de manera inclusiva en la elaboración de inventarios, que permite informar y fortalecer los esfuerzos en materia de salvaguardia.</w:t>
            </w:r>
          </w:p>
        </w:tc>
        <w:tc>
          <w:tcPr>
            <w:tcW w:w="1011" w:type="pct"/>
            <w:vMerge w:val="restart"/>
            <w:tcBorders>
              <w:top w:val="single" w:sz="24" w:space="0" w:color="auto"/>
            </w:tcBorders>
            <w:vAlign w:val="center"/>
          </w:tcPr>
          <w:p w14:paraId="68BF251C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65</w:t>
            </w:r>
          </w:p>
        </w:tc>
      </w:tr>
      <w:tr w:rsidR="004236BE" w:rsidRPr="00A03758" w14:paraId="3364CB2B" w14:textId="77777777" w:rsidTr="00A03758">
        <w:trPr>
          <w:cantSplit/>
          <w:trHeight w:val="577"/>
        </w:trPr>
        <w:tc>
          <w:tcPr>
            <w:tcW w:w="3989" w:type="pct"/>
            <w:vMerge/>
          </w:tcPr>
          <w:p w14:paraId="70AABF67" w14:textId="77777777" w:rsidR="004236BE" w:rsidRPr="00A03758" w:rsidRDefault="004236BE" w:rsidP="00A03758">
            <w:pPr>
              <w:numPr>
                <w:ilvl w:val="1"/>
                <w:numId w:val="4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617DD517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3DE6FEAF" w14:textId="77777777" w:rsidTr="00A03758">
        <w:trPr>
          <w:cantSplit/>
          <w:trHeight w:val="1088"/>
        </w:trPr>
        <w:tc>
          <w:tcPr>
            <w:tcW w:w="3989" w:type="pct"/>
            <w:vMerge w:val="restart"/>
          </w:tcPr>
          <w:p w14:paraId="3CD2F51B" w14:textId="77777777" w:rsidR="004236BE" w:rsidRPr="00A03758" w:rsidRDefault="004236BE" w:rsidP="00A03758">
            <w:pPr>
              <w:numPr>
                <w:ilvl w:val="1"/>
                <w:numId w:val="4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 proceso de elaboración de inventarios respeta la diversidad del PCI y de sus practicantes, incluidas las prácticas y expresiones de todos los sectores de la sociedad, de todos los géneros y de todas las regiones.</w:t>
            </w:r>
          </w:p>
        </w:tc>
        <w:tc>
          <w:tcPr>
            <w:tcW w:w="1011" w:type="pct"/>
            <w:vMerge w:val="restart"/>
            <w:vAlign w:val="center"/>
          </w:tcPr>
          <w:p w14:paraId="0411E767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</w:tr>
      <w:tr w:rsidR="004236BE" w:rsidRPr="00A03758" w14:paraId="20C6CFEA" w14:textId="77777777" w:rsidTr="00A03758">
        <w:trPr>
          <w:cantSplit/>
          <w:trHeight w:val="1087"/>
        </w:trPr>
        <w:tc>
          <w:tcPr>
            <w:tcW w:w="3989" w:type="pct"/>
            <w:vMerge/>
            <w:tcBorders>
              <w:bottom w:val="single" w:sz="24" w:space="0" w:color="auto"/>
            </w:tcBorders>
          </w:tcPr>
          <w:p w14:paraId="61C5561D" w14:textId="77777777" w:rsidR="004236BE" w:rsidRPr="00A03758" w:rsidRDefault="004236BE" w:rsidP="00A03758">
            <w:pPr>
              <w:numPr>
                <w:ilvl w:val="1"/>
                <w:numId w:val="4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bottom w:val="single" w:sz="24" w:space="0" w:color="auto"/>
            </w:tcBorders>
            <w:vAlign w:val="center"/>
          </w:tcPr>
          <w:p w14:paraId="6A858EDE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</w:tbl>
    <w:p w14:paraId="062301C1" w14:textId="77777777" w:rsidR="004236BE" w:rsidRPr="00A80DCA" w:rsidRDefault="004236BE" w:rsidP="0016699B">
      <w:pPr>
        <w:rPr>
          <w:rFonts w:ascii="Arial" w:hAnsi="Arial"/>
          <w:sz w:val="20"/>
          <w:szCs w:val="20"/>
        </w:rPr>
      </w:pPr>
    </w:p>
    <w:p w14:paraId="0806F001" w14:textId="77777777" w:rsidR="004236BE" w:rsidRPr="00A80DCA" w:rsidRDefault="004236BE" w:rsidP="00A80DCA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Indicador 10: Grado en el que los resultados de las investigaciones y la documentación son accesibles y se utilizan para reforzar la elaboración de políticas y mejorar la salvaguardia.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29"/>
      </w:tblGrid>
      <w:tr w:rsidR="004236BE" w:rsidRPr="00A03758" w14:paraId="0E06807D" w14:textId="77777777" w:rsidTr="00A03758">
        <w:trPr>
          <w:cantSplit/>
          <w:trHeight w:val="465"/>
        </w:trPr>
        <w:tc>
          <w:tcPr>
            <w:tcW w:w="3989" w:type="pct"/>
            <w:vMerge w:val="restart"/>
            <w:tcBorders>
              <w:top w:val="single" w:sz="24" w:space="0" w:color="auto"/>
            </w:tcBorders>
          </w:tcPr>
          <w:p w14:paraId="0D321442" w14:textId="77777777" w:rsidR="004236BE" w:rsidRPr="00A03758" w:rsidRDefault="004236BE" w:rsidP="00A03758">
            <w:pPr>
              <w:numPr>
                <w:ilvl w:val="1"/>
                <w:numId w:val="5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documentación y los resultados de las investigaciones están disponibles para las comunidades, los grupos y los individuos </w:t>
            </w:r>
            <w:r>
              <w:rPr>
                <w:rFonts w:ascii="Arial" w:hAnsi="Arial"/>
                <w:sz w:val="20"/>
                <w:cs/>
              </w:rPr>
              <w:t>—</w:t>
            </w:r>
            <w:r>
              <w:rPr>
                <w:rFonts w:ascii="Arial" w:hAnsi="Arial"/>
                <w:sz w:val="20"/>
              </w:rPr>
              <w:t>respetando las prácticas consuetudinarias por las que se rige el acceso a determinados aspectos del PCI</w:t>
            </w:r>
            <w:r>
              <w:rPr>
                <w:rFonts w:ascii="Arial" w:hAnsi="Arial"/>
                <w:sz w:val="20"/>
                <w:cs/>
              </w:rPr>
              <w:t>—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011" w:type="pct"/>
            <w:vMerge w:val="restart"/>
            <w:tcBorders>
              <w:top w:val="single" w:sz="24" w:space="0" w:color="auto"/>
            </w:tcBorders>
            <w:vAlign w:val="center"/>
          </w:tcPr>
          <w:p w14:paraId="553FDCCD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</w:tr>
      <w:tr w:rsidR="004236BE" w:rsidRPr="00A03758" w14:paraId="6A91490A" w14:textId="77777777" w:rsidTr="00A03758">
        <w:trPr>
          <w:cantSplit/>
          <w:trHeight w:val="465"/>
        </w:trPr>
        <w:tc>
          <w:tcPr>
            <w:tcW w:w="3989" w:type="pct"/>
            <w:vMerge/>
          </w:tcPr>
          <w:p w14:paraId="2A7BF0FC" w14:textId="77777777" w:rsidR="004236BE" w:rsidRPr="00A03758" w:rsidRDefault="004236BE" w:rsidP="00A03758">
            <w:pPr>
              <w:numPr>
                <w:ilvl w:val="1"/>
                <w:numId w:val="5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6FD8C883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10468C6E" w14:textId="77777777" w:rsidTr="00A03758">
        <w:trPr>
          <w:cantSplit/>
          <w:trHeight w:val="465"/>
        </w:trPr>
        <w:tc>
          <w:tcPr>
            <w:tcW w:w="3989" w:type="pct"/>
            <w:vMerge/>
          </w:tcPr>
          <w:p w14:paraId="62AC03C9" w14:textId="77777777" w:rsidR="004236BE" w:rsidRPr="00A03758" w:rsidRDefault="004236BE" w:rsidP="00A03758">
            <w:pPr>
              <w:numPr>
                <w:ilvl w:val="1"/>
                <w:numId w:val="5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7C1A1939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224C5879" w14:textId="77777777" w:rsidTr="00A03758">
        <w:trPr>
          <w:cantSplit/>
        </w:trPr>
        <w:tc>
          <w:tcPr>
            <w:tcW w:w="3989" w:type="pct"/>
          </w:tcPr>
          <w:p w14:paraId="7D862103" w14:textId="77777777" w:rsidR="004236BE" w:rsidRPr="00A03758" w:rsidRDefault="004236BE" w:rsidP="00A03758">
            <w:pPr>
              <w:numPr>
                <w:ilvl w:val="1"/>
                <w:numId w:val="5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>Los resultados de las investigaciones, la documentación y los estudios científicos, técnicos y artísticos sobre el PCI se utilizan con el fin de reforzar la elaboración de políticas en todos los sectores.</w:t>
            </w:r>
          </w:p>
        </w:tc>
        <w:tc>
          <w:tcPr>
            <w:tcW w:w="1011" w:type="pct"/>
            <w:vAlign w:val="center"/>
          </w:tcPr>
          <w:p w14:paraId="1DAD741E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</w:tr>
      <w:tr w:rsidR="004236BE" w:rsidRPr="00A03758" w14:paraId="329EB127" w14:textId="77777777" w:rsidTr="00A03758">
        <w:trPr>
          <w:cantSplit/>
        </w:trPr>
        <w:tc>
          <w:tcPr>
            <w:tcW w:w="3989" w:type="pct"/>
            <w:tcBorders>
              <w:bottom w:val="single" w:sz="24" w:space="0" w:color="auto"/>
            </w:tcBorders>
          </w:tcPr>
          <w:p w14:paraId="65EAEEEC" w14:textId="77777777" w:rsidR="004236BE" w:rsidRPr="00A03758" w:rsidRDefault="004236BE" w:rsidP="00A03758">
            <w:pPr>
              <w:numPr>
                <w:ilvl w:val="1"/>
                <w:numId w:val="5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resultados de las investigaciones, la documentación y los estudios científicos, técnicos y artísticos sobre el PCI se utilizan para mejorar la salvaguardia.</w:t>
            </w:r>
          </w:p>
        </w:tc>
        <w:tc>
          <w:tcPr>
            <w:tcW w:w="1011" w:type="pct"/>
            <w:tcBorders>
              <w:bottom w:val="single" w:sz="24" w:space="0" w:color="auto"/>
            </w:tcBorders>
            <w:vAlign w:val="center"/>
          </w:tcPr>
          <w:p w14:paraId="00DCD331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</w:tr>
    </w:tbl>
    <w:p w14:paraId="0CFF0169" w14:textId="77777777" w:rsidR="004236BE" w:rsidRPr="00A80DCA" w:rsidRDefault="004236BE" w:rsidP="00F40BDD">
      <w:pPr>
        <w:spacing w:line="240" w:lineRule="auto"/>
        <w:rPr>
          <w:rFonts w:ascii="Arial" w:hAnsi="Arial"/>
          <w:b/>
          <w:bCs/>
          <w:sz w:val="20"/>
          <w:szCs w:val="20"/>
        </w:rPr>
      </w:pPr>
    </w:p>
    <w:p w14:paraId="2DE5C8C3" w14:textId="77777777" w:rsidR="004236BE" w:rsidRPr="00A80DCA" w:rsidRDefault="004236BE" w:rsidP="00BC257A">
      <w:pPr>
        <w:spacing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Indicador 14: Grado en el que las </w:t>
      </w:r>
      <w:proofErr w:type="gramStart"/>
      <w:r>
        <w:rPr>
          <w:rFonts w:ascii="Arial" w:hAnsi="Arial"/>
          <w:b/>
          <w:sz w:val="20"/>
        </w:rPr>
        <w:t>políticas</w:t>
      </w:r>
      <w:proofErr w:type="gramEnd"/>
      <w:r>
        <w:rPr>
          <w:rFonts w:ascii="Arial" w:hAnsi="Arial"/>
          <w:b/>
          <w:sz w:val="20"/>
        </w:rPr>
        <w:t xml:space="preserve"> así como las medidas legales y administrativas respetan los derechos, las prácticas y las expresiones consuetudinarias, en especial en relación a la práctica y transmisión del PCI.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29"/>
      </w:tblGrid>
      <w:tr w:rsidR="004236BE" w:rsidRPr="00A03758" w14:paraId="74B95039" w14:textId="77777777" w:rsidTr="00A03758">
        <w:trPr>
          <w:cantSplit/>
          <w:trHeight w:val="638"/>
        </w:trPr>
        <w:tc>
          <w:tcPr>
            <w:tcW w:w="3989" w:type="pct"/>
            <w:vMerge w:val="restart"/>
            <w:tcBorders>
              <w:top w:val="single" w:sz="24" w:space="0" w:color="auto"/>
            </w:tcBorders>
          </w:tcPr>
          <w:p w14:paraId="6353B818" w14:textId="77777777" w:rsidR="004236BE" w:rsidRPr="00A03758" w:rsidRDefault="004236BE" w:rsidP="00A03758">
            <w:pPr>
              <w:numPr>
                <w:ilvl w:val="1"/>
                <w:numId w:val="7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formas de protección legal, como los derechos a la propiedad intelectual o de privacidad, que se proporcionen a los practicantes y depositarios del PCI y a sus comunidades en el caso de que su PCI está siendo explotado por terceros con fines comerciales o de otra índole.</w:t>
            </w:r>
          </w:p>
        </w:tc>
        <w:tc>
          <w:tcPr>
            <w:tcW w:w="1011" w:type="pct"/>
            <w:vMerge w:val="restart"/>
            <w:tcBorders>
              <w:top w:val="single" w:sz="24" w:space="0" w:color="auto"/>
            </w:tcBorders>
            <w:vAlign w:val="center"/>
          </w:tcPr>
          <w:p w14:paraId="1DCA4B59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</w:tr>
      <w:tr w:rsidR="004236BE" w:rsidRPr="00A03758" w14:paraId="5BD04396" w14:textId="77777777" w:rsidTr="00A03758">
        <w:trPr>
          <w:cantSplit/>
          <w:trHeight w:val="637"/>
        </w:trPr>
        <w:tc>
          <w:tcPr>
            <w:tcW w:w="3989" w:type="pct"/>
            <w:vMerge/>
          </w:tcPr>
          <w:p w14:paraId="04479212" w14:textId="77777777" w:rsidR="004236BE" w:rsidRPr="00A03758" w:rsidRDefault="004236BE" w:rsidP="00A03758">
            <w:pPr>
              <w:numPr>
                <w:ilvl w:val="1"/>
                <w:numId w:val="7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48BB7DA7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04457B20" w14:textId="77777777" w:rsidTr="00A03758">
        <w:trPr>
          <w:cantSplit/>
          <w:trHeight w:val="750"/>
        </w:trPr>
        <w:tc>
          <w:tcPr>
            <w:tcW w:w="3989" w:type="pct"/>
            <w:vMerge w:val="restart"/>
          </w:tcPr>
          <w:p w14:paraId="5FBDBC1D" w14:textId="77777777" w:rsidR="004236BE" w:rsidRPr="00A03758" w:rsidRDefault="004236BE" w:rsidP="00A03758">
            <w:pPr>
              <w:numPr>
                <w:ilvl w:val="1"/>
                <w:numId w:val="7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Políticas y/o medidas legales y administrativas en las que se reconozca la importancia de los derechos consuetudinarios de las comunidades y los grupos en relación a sus ecosistemas terrestres, marítimos o forestales necesarios para la práctica y la transmisión del PCI.</w:t>
            </w:r>
          </w:p>
        </w:tc>
        <w:tc>
          <w:tcPr>
            <w:tcW w:w="1011" w:type="pct"/>
            <w:vMerge w:val="restart"/>
            <w:vAlign w:val="center"/>
          </w:tcPr>
          <w:p w14:paraId="0CE69096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</w:tr>
      <w:tr w:rsidR="004236BE" w:rsidRPr="00A03758" w14:paraId="2C0689D1" w14:textId="77777777" w:rsidTr="00A03758">
        <w:trPr>
          <w:cantSplit/>
          <w:trHeight w:val="750"/>
        </w:trPr>
        <w:tc>
          <w:tcPr>
            <w:tcW w:w="3989" w:type="pct"/>
            <w:vMerge/>
          </w:tcPr>
          <w:p w14:paraId="789129AD" w14:textId="77777777" w:rsidR="004236BE" w:rsidRPr="00A03758" w:rsidRDefault="004236BE" w:rsidP="00A03758">
            <w:pPr>
              <w:numPr>
                <w:ilvl w:val="1"/>
                <w:numId w:val="7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73F8D4BF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4B4C09B0" w14:textId="77777777" w:rsidTr="00A03758">
        <w:trPr>
          <w:cantSplit/>
        </w:trPr>
        <w:tc>
          <w:tcPr>
            <w:tcW w:w="3989" w:type="pct"/>
            <w:tcBorders>
              <w:bottom w:val="single" w:sz="24" w:space="0" w:color="auto"/>
            </w:tcBorders>
          </w:tcPr>
          <w:p w14:paraId="11E1D618" w14:textId="77777777" w:rsidR="004236BE" w:rsidRPr="00A03758" w:rsidRDefault="004236BE" w:rsidP="00A03758">
            <w:pPr>
              <w:numPr>
                <w:ilvl w:val="1"/>
                <w:numId w:val="7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Políticas y/o medidas legales y administrativas que reconozcan las expresiones, las prácticas y las representaciones del patrimonio cultural inmaterial que contribuyan a la prevención de conflicto y a la resolución pacífica de conflictos.</w:t>
            </w:r>
          </w:p>
        </w:tc>
        <w:tc>
          <w:tcPr>
            <w:tcW w:w="1011" w:type="pct"/>
            <w:tcBorders>
              <w:bottom w:val="single" w:sz="24" w:space="0" w:color="auto"/>
            </w:tcBorders>
            <w:vAlign w:val="center"/>
          </w:tcPr>
          <w:p w14:paraId="1FDF0EEB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</w:tr>
    </w:tbl>
    <w:p w14:paraId="3F1C873E" w14:textId="77777777" w:rsidR="004236BE" w:rsidRPr="00A80DCA" w:rsidRDefault="004236BE" w:rsidP="0016699B">
      <w:pPr>
        <w:rPr>
          <w:rFonts w:ascii="Arial" w:hAnsi="Arial"/>
          <w:sz w:val="20"/>
          <w:szCs w:val="20"/>
        </w:rPr>
      </w:pPr>
    </w:p>
    <w:p w14:paraId="447D3B5A" w14:textId="77777777" w:rsidR="004236BE" w:rsidRPr="00A80DCA" w:rsidRDefault="004236BE" w:rsidP="00A80DCA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Indicador 15: Grado en el que se reconoce la importancia del PCI y de su salvaguardia en la sociedad tanto por parte de las comunidades, los grupos y los individuos interesados como de la sociedad en general.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29"/>
      </w:tblGrid>
      <w:tr w:rsidR="004236BE" w:rsidRPr="00A03758" w14:paraId="6EF8F0DB" w14:textId="77777777" w:rsidTr="00A03758">
        <w:trPr>
          <w:cantSplit/>
          <w:trHeight w:val="518"/>
        </w:trPr>
        <w:tc>
          <w:tcPr>
            <w:tcW w:w="3989" w:type="pct"/>
            <w:vMerge w:val="restart"/>
            <w:tcBorders>
              <w:top w:val="single" w:sz="24" w:space="0" w:color="auto"/>
            </w:tcBorders>
          </w:tcPr>
          <w:p w14:paraId="135ABFC5" w14:textId="77777777" w:rsidR="004236BE" w:rsidRPr="00A03758" w:rsidRDefault="004236BE" w:rsidP="00A03758">
            <w:pPr>
              <w:numPr>
                <w:ilvl w:val="1"/>
                <w:numId w:val="8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comunidades, los grupos y los individuos que utilicen su PCI para su bienestar, incluido el contexto de los programas de desarrollo sostenible.</w:t>
            </w:r>
          </w:p>
        </w:tc>
        <w:tc>
          <w:tcPr>
            <w:tcW w:w="1011" w:type="pct"/>
            <w:vMerge w:val="restart"/>
            <w:tcBorders>
              <w:top w:val="single" w:sz="24" w:space="0" w:color="auto"/>
            </w:tcBorders>
            <w:vAlign w:val="center"/>
          </w:tcPr>
          <w:p w14:paraId="1B7B9467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</w:tr>
      <w:tr w:rsidR="004236BE" w:rsidRPr="00A03758" w14:paraId="36D430EA" w14:textId="77777777" w:rsidTr="00A03758">
        <w:trPr>
          <w:cantSplit/>
          <w:trHeight w:val="517"/>
        </w:trPr>
        <w:tc>
          <w:tcPr>
            <w:tcW w:w="3989" w:type="pct"/>
            <w:vMerge/>
          </w:tcPr>
          <w:p w14:paraId="5F3CFFA9" w14:textId="77777777" w:rsidR="004236BE" w:rsidRPr="00A03758" w:rsidRDefault="004236BE" w:rsidP="00A03758">
            <w:pPr>
              <w:numPr>
                <w:ilvl w:val="1"/>
                <w:numId w:val="8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4228EB35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271D5086" w14:textId="77777777" w:rsidTr="00A03758">
        <w:trPr>
          <w:cantSplit/>
        </w:trPr>
        <w:tc>
          <w:tcPr>
            <w:tcW w:w="3989" w:type="pct"/>
          </w:tcPr>
          <w:p w14:paraId="056540A0" w14:textId="77777777" w:rsidR="004236BE" w:rsidRPr="00A03758" w:rsidRDefault="004236BE" w:rsidP="00A03758">
            <w:pPr>
              <w:numPr>
                <w:ilvl w:val="1"/>
                <w:numId w:val="8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comunidades, los grupos y los individuos que utilicen su PCI para el diálogo con el fin de promover el respeto mutuo, la resolución de conflictos y la construcción de la paz.</w:t>
            </w:r>
          </w:p>
        </w:tc>
        <w:tc>
          <w:tcPr>
            <w:tcW w:w="1011" w:type="pct"/>
            <w:vAlign w:val="center"/>
          </w:tcPr>
          <w:p w14:paraId="186CF5C5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</w:tr>
      <w:tr w:rsidR="004236BE" w:rsidRPr="00A03758" w14:paraId="2796F2A6" w14:textId="77777777" w:rsidTr="00A03758">
        <w:trPr>
          <w:cantSplit/>
          <w:trHeight w:val="750"/>
        </w:trPr>
        <w:tc>
          <w:tcPr>
            <w:tcW w:w="3989" w:type="pct"/>
            <w:vMerge w:val="restart"/>
          </w:tcPr>
          <w:p w14:paraId="2AA6E2DF" w14:textId="77777777" w:rsidR="004236BE" w:rsidRPr="00A03758" w:rsidRDefault="004236BE" w:rsidP="00565E26">
            <w:pPr>
              <w:numPr>
                <w:ilvl w:val="1"/>
                <w:numId w:val="8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intervenciones de desarrollo que reconozcan la importancia del PCI en la sociedad como una fuente de identidad, de continuidad, de conocimiento y de habilidades, y que refuercen su función con el fin de fomentar el desarrollo sostenible.</w:t>
            </w:r>
          </w:p>
        </w:tc>
        <w:tc>
          <w:tcPr>
            <w:tcW w:w="1011" w:type="pct"/>
            <w:vMerge w:val="restart"/>
            <w:vAlign w:val="center"/>
          </w:tcPr>
          <w:p w14:paraId="5F5A55B5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4236BE" w:rsidRPr="00A03758" w14:paraId="64DED1A8" w14:textId="77777777" w:rsidTr="00A03758">
        <w:trPr>
          <w:cantSplit/>
          <w:trHeight w:val="750"/>
        </w:trPr>
        <w:tc>
          <w:tcPr>
            <w:tcW w:w="3989" w:type="pct"/>
            <w:vMerge/>
            <w:tcBorders>
              <w:bottom w:val="single" w:sz="24" w:space="0" w:color="auto"/>
            </w:tcBorders>
          </w:tcPr>
          <w:p w14:paraId="64E78160" w14:textId="77777777" w:rsidR="004236BE" w:rsidRPr="00A03758" w:rsidRDefault="004236BE" w:rsidP="00A03758">
            <w:pPr>
              <w:numPr>
                <w:ilvl w:val="1"/>
                <w:numId w:val="8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bottom w:val="single" w:sz="24" w:space="0" w:color="auto"/>
            </w:tcBorders>
            <w:vAlign w:val="center"/>
          </w:tcPr>
          <w:p w14:paraId="205B2D1F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531DFA3D" w14:textId="77777777" w:rsidR="004236BE" w:rsidRPr="00A80DCA" w:rsidRDefault="004236BE" w:rsidP="0016699B">
      <w:pPr>
        <w:rPr>
          <w:rFonts w:ascii="Arial" w:hAnsi="Arial"/>
          <w:sz w:val="20"/>
          <w:szCs w:val="20"/>
        </w:rPr>
      </w:pPr>
    </w:p>
    <w:p w14:paraId="4015D8B1" w14:textId="77777777" w:rsidR="004236BE" w:rsidRPr="00A80DCA" w:rsidRDefault="004236BE" w:rsidP="004D4A93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Indicador 18: Grado en el que se incluyen los medios de comunicación para sensibilizar acerca de la importancia del PCI y de su salvaguardia así como para promover la comprensión y el respeto mutuo.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29"/>
      </w:tblGrid>
      <w:tr w:rsidR="004236BE" w:rsidRPr="00A03758" w14:paraId="0FAEA320" w14:textId="77777777" w:rsidTr="00A03758">
        <w:trPr>
          <w:cantSplit/>
        </w:trPr>
        <w:tc>
          <w:tcPr>
            <w:tcW w:w="3989" w:type="pct"/>
            <w:tcBorders>
              <w:top w:val="single" w:sz="24" w:space="0" w:color="auto"/>
            </w:tcBorders>
          </w:tcPr>
          <w:p w14:paraId="2126D2AC" w14:textId="77777777" w:rsidR="004236BE" w:rsidRPr="00A03758" w:rsidRDefault="004236BE" w:rsidP="00A03758">
            <w:pPr>
              <w:numPr>
                <w:ilvl w:val="1"/>
                <w:numId w:val="9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 cobertura mediática sensibiliza acerca de la importancia del PCI y de su salvaguardia y promueve la comprensión y el respeto mutuo entre las comunidades, los grupos y los individuos.</w:t>
            </w:r>
          </w:p>
        </w:tc>
        <w:tc>
          <w:tcPr>
            <w:tcW w:w="1011" w:type="pct"/>
            <w:tcBorders>
              <w:top w:val="single" w:sz="24" w:space="0" w:color="auto"/>
            </w:tcBorders>
            <w:vAlign w:val="center"/>
          </w:tcPr>
          <w:p w14:paraId="696CD830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</w:tr>
      <w:tr w:rsidR="004236BE" w:rsidRPr="00A03758" w14:paraId="7C5B6A29" w14:textId="77777777" w:rsidTr="00A03758">
        <w:trPr>
          <w:cantSplit/>
          <w:trHeight w:val="638"/>
        </w:trPr>
        <w:tc>
          <w:tcPr>
            <w:tcW w:w="3989" w:type="pct"/>
            <w:vMerge w:val="restart"/>
          </w:tcPr>
          <w:p w14:paraId="39B4B581" w14:textId="77777777" w:rsidR="004236BE" w:rsidRPr="00A03758" w:rsidRDefault="004236BE" w:rsidP="00A03758">
            <w:pPr>
              <w:numPr>
                <w:ilvl w:val="1"/>
                <w:numId w:val="9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Actividades o programas de cooperación sobre el PCI entre varios actores del PCI y los medios de comunicación que se lleven a cabo, incluyendo actividades de fortalecimiento de capacidades.</w:t>
            </w:r>
          </w:p>
        </w:tc>
        <w:tc>
          <w:tcPr>
            <w:tcW w:w="1011" w:type="pct"/>
            <w:vMerge w:val="restart"/>
            <w:vAlign w:val="center"/>
          </w:tcPr>
          <w:p w14:paraId="64A3D626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</w:tr>
      <w:tr w:rsidR="004236BE" w:rsidRPr="00A03758" w14:paraId="1BDD8BD3" w14:textId="77777777" w:rsidTr="00A03758">
        <w:trPr>
          <w:cantSplit/>
          <w:trHeight w:val="637"/>
        </w:trPr>
        <w:tc>
          <w:tcPr>
            <w:tcW w:w="3989" w:type="pct"/>
            <w:vMerge/>
          </w:tcPr>
          <w:p w14:paraId="5A04987C" w14:textId="77777777" w:rsidR="004236BE" w:rsidRPr="00A03758" w:rsidRDefault="004236BE" w:rsidP="00A03758">
            <w:pPr>
              <w:numPr>
                <w:ilvl w:val="1"/>
                <w:numId w:val="9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7D5AB4F8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4106E02D" w14:textId="77777777" w:rsidTr="00A03758">
        <w:trPr>
          <w:cantSplit/>
        </w:trPr>
        <w:tc>
          <w:tcPr>
            <w:tcW w:w="3989" w:type="pct"/>
          </w:tcPr>
          <w:p w14:paraId="1D49EFB4" w14:textId="77777777" w:rsidR="004236BE" w:rsidRPr="00A03758" w:rsidRDefault="004236BE" w:rsidP="00A03758">
            <w:pPr>
              <w:numPr>
                <w:ilvl w:val="1"/>
                <w:numId w:val="9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 programación de los medios de comunicación sobre el PCI es inclusiva y utiliza la lengua de las comunidades y los grupos interesados y/o se dirige a distintos públicos objetivos.</w:t>
            </w:r>
          </w:p>
        </w:tc>
        <w:tc>
          <w:tcPr>
            <w:tcW w:w="1011" w:type="pct"/>
            <w:vAlign w:val="center"/>
          </w:tcPr>
          <w:p w14:paraId="387D7BE5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</w:tr>
      <w:tr w:rsidR="004236BE" w:rsidRPr="00A03758" w14:paraId="18AF6E63" w14:textId="77777777" w:rsidTr="00A03758">
        <w:trPr>
          <w:cantSplit/>
        </w:trPr>
        <w:tc>
          <w:tcPr>
            <w:tcW w:w="3989" w:type="pct"/>
            <w:tcBorders>
              <w:bottom w:val="single" w:sz="24" w:space="0" w:color="auto"/>
            </w:tcBorders>
          </w:tcPr>
          <w:p w14:paraId="3FD2EBF9" w14:textId="77777777" w:rsidR="004236BE" w:rsidRPr="00A03758" w:rsidRDefault="004236BE" w:rsidP="00A03758">
            <w:pPr>
              <w:numPr>
                <w:ilvl w:val="1"/>
                <w:numId w:val="9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cobertura mediática del patrimonio cultural inmaterial y de su salvaguardia está en conformidad con los conceptos y la terminología de la Convención. </w:t>
            </w:r>
          </w:p>
        </w:tc>
        <w:tc>
          <w:tcPr>
            <w:tcW w:w="1011" w:type="pct"/>
            <w:tcBorders>
              <w:bottom w:val="single" w:sz="24" w:space="0" w:color="auto"/>
            </w:tcBorders>
            <w:vAlign w:val="center"/>
          </w:tcPr>
          <w:p w14:paraId="19B39031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</w:tr>
    </w:tbl>
    <w:p w14:paraId="1D2A837D" w14:textId="77777777" w:rsidR="004236BE" w:rsidRPr="00A80DCA" w:rsidRDefault="004236BE">
      <w:pPr>
        <w:rPr>
          <w:rFonts w:ascii="Arial" w:hAnsi="Arial"/>
          <w:b/>
          <w:bCs/>
          <w:sz w:val="20"/>
          <w:szCs w:val="20"/>
        </w:rPr>
      </w:pPr>
    </w:p>
    <w:p w14:paraId="03031CBE" w14:textId="77777777" w:rsidR="004236BE" w:rsidRPr="00A80DCA" w:rsidRDefault="004236BE" w:rsidP="00BC257A">
      <w:pPr>
        <w:spacing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Indicador 20: Grado en el que los programas de sensibilización sobre el PCI respetan los principios éticos relevantes.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29"/>
      </w:tblGrid>
      <w:tr w:rsidR="004236BE" w:rsidRPr="00A03758" w14:paraId="2DDA55E2" w14:textId="77777777" w:rsidTr="00A03758">
        <w:trPr>
          <w:cantSplit/>
          <w:trHeight w:val="405"/>
        </w:trPr>
        <w:tc>
          <w:tcPr>
            <w:tcW w:w="3989" w:type="pct"/>
            <w:vMerge w:val="restart"/>
            <w:tcBorders>
              <w:top w:val="single" w:sz="24" w:space="0" w:color="auto"/>
            </w:tcBorders>
          </w:tcPr>
          <w:p w14:paraId="29725FB2" w14:textId="77777777" w:rsidR="004236BE" w:rsidRPr="00A03758" w:rsidRDefault="004236BE" w:rsidP="00A03758">
            <w:pPr>
              <w:numPr>
                <w:ilvl w:val="1"/>
                <w:numId w:val="10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 respetan los Principios Éticos para la Salvaguardia del Patrimonio Cultural Inmaterial en las actividades de sensibilización.</w:t>
            </w:r>
          </w:p>
        </w:tc>
        <w:tc>
          <w:tcPr>
            <w:tcW w:w="1011" w:type="pct"/>
            <w:vMerge w:val="restart"/>
            <w:tcBorders>
              <w:top w:val="single" w:sz="24" w:space="0" w:color="auto"/>
            </w:tcBorders>
            <w:vAlign w:val="center"/>
          </w:tcPr>
          <w:p w14:paraId="23CDEBC3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65</w:t>
            </w:r>
          </w:p>
        </w:tc>
      </w:tr>
      <w:tr w:rsidR="004236BE" w:rsidRPr="00A03758" w14:paraId="771328C5" w14:textId="77777777" w:rsidTr="00A03758">
        <w:trPr>
          <w:cantSplit/>
          <w:trHeight w:val="411"/>
        </w:trPr>
        <w:tc>
          <w:tcPr>
            <w:tcW w:w="3989" w:type="pct"/>
            <w:vMerge/>
          </w:tcPr>
          <w:p w14:paraId="2C1D81DD" w14:textId="77777777" w:rsidR="004236BE" w:rsidRPr="00A03758" w:rsidRDefault="004236BE" w:rsidP="00A03758">
            <w:pPr>
              <w:numPr>
                <w:ilvl w:val="1"/>
                <w:numId w:val="10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030BCF0F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7E4E6119" w14:textId="77777777" w:rsidTr="00A03758">
        <w:trPr>
          <w:cantSplit/>
          <w:trHeight w:val="428"/>
        </w:trPr>
        <w:tc>
          <w:tcPr>
            <w:tcW w:w="3989" w:type="pct"/>
            <w:vMerge w:val="restart"/>
          </w:tcPr>
          <w:p w14:paraId="351001DC" w14:textId="77777777" w:rsidR="004236BE" w:rsidRPr="00A03758" w:rsidRDefault="004236BE" w:rsidP="00A03758">
            <w:pPr>
              <w:numPr>
                <w:ilvl w:val="1"/>
                <w:numId w:val="10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actividades de sensibilización respetan los principios éticos, en particular aquellos plasmados en los códigos o normas profesionales.</w:t>
            </w:r>
          </w:p>
        </w:tc>
        <w:tc>
          <w:tcPr>
            <w:tcW w:w="1011" w:type="pct"/>
            <w:vMerge w:val="restart"/>
            <w:vAlign w:val="center"/>
          </w:tcPr>
          <w:p w14:paraId="42241BE1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</w:tr>
      <w:tr w:rsidR="004236BE" w:rsidRPr="00A03758" w14:paraId="2A3DCFC8" w14:textId="77777777" w:rsidTr="00A03758">
        <w:trPr>
          <w:cantSplit/>
          <w:trHeight w:val="427"/>
        </w:trPr>
        <w:tc>
          <w:tcPr>
            <w:tcW w:w="3989" w:type="pct"/>
            <w:vMerge/>
            <w:tcBorders>
              <w:bottom w:val="single" w:sz="24" w:space="0" w:color="auto"/>
            </w:tcBorders>
          </w:tcPr>
          <w:p w14:paraId="1FEFFE89" w14:textId="77777777" w:rsidR="004236BE" w:rsidRPr="00A03758" w:rsidRDefault="004236BE" w:rsidP="00A03758">
            <w:pPr>
              <w:numPr>
                <w:ilvl w:val="1"/>
                <w:numId w:val="10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tcBorders>
              <w:bottom w:val="single" w:sz="24" w:space="0" w:color="auto"/>
            </w:tcBorders>
            <w:vAlign w:val="center"/>
          </w:tcPr>
          <w:p w14:paraId="55048A63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</w:tbl>
    <w:p w14:paraId="20590100" w14:textId="77777777" w:rsidR="004236BE" w:rsidRPr="00A80DCA" w:rsidRDefault="004236BE" w:rsidP="0016699B">
      <w:pPr>
        <w:rPr>
          <w:rFonts w:ascii="Arial" w:hAnsi="Arial"/>
          <w:sz w:val="20"/>
          <w:szCs w:val="20"/>
        </w:rPr>
      </w:pPr>
    </w:p>
    <w:p w14:paraId="11883292" w14:textId="77777777" w:rsidR="004236BE" w:rsidRPr="00A80DCA" w:rsidRDefault="004236BE" w:rsidP="00BC257A">
      <w:pPr>
        <w:spacing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Indicador 24: Porcentaje de Estados Partes comprometidos de manera activa con otros Estados Partes en la cooperación para la salvaguardia.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29"/>
      </w:tblGrid>
      <w:tr w:rsidR="004236BE" w:rsidRPr="00A03758" w14:paraId="23E56A3E" w14:textId="77777777" w:rsidTr="00A03758">
        <w:trPr>
          <w:cantSplit/>
        </w:trPr>
        <w:tc>
          <w:tcPr>
            <w:tcW w:w="3989" w:type="pct"/>
            <w:tcBorders>
              <w:top w:val="single" w:sz="24" w:space="0" w:color="auto"/>
            </w:tcBorders>
          </w:tcPr>
          <w:p w14:paraId="3108CF26" w14:textId="77777777" w:rsidR="004236BE" w:rsidRPr="00A03758" w:rsidRDefault="004236BE" w:rsidP="00A03758">
            <w:pPr>
              <w:numPr>
                <w:ilvl w:val="1"/>
                <w:numId w:val="1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cooperación bilateral, multilateral, regional o internacional se lleva a cabo para aplicar medidas de salvaguardia del PCI en general. </w:t>
            </w:r>
          </w:p>
        </w:tc>
        <w:tc>
          <w:tcPr>
            <w:tcW w:w="1011" w:type="pct"/>
            <w:tcBorders>
              <w:top w:val="single" w:sz="24" w:space="0" w:color="auto"/>
            </w:tcBorders>
            <w:vAlign w:val="center"/>
          </w:tcPr>
          <w:p w14:paraId="39FFC2EA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</w:tr>
      <w:tr w:rsidR="004236BE" w:rsidRPr="00A03758" w14:paraId="78C34A6F" w14:textId="77777777" w:rsidTr="00A03758">
        <w:trPr>
          <w:cantSplit/>
          <w:trHeight w:val="750"/>
        </w:trPr>
        <w:tc>
          <w:tcPr>
            <w:tcW w:w="3989" w:type="pct"/>
            <w:vMerge w:val="restart"/>
          </w:tcPr>
          <w:p w14:paraId="3329A132" w14:textId="77777777" w:rsidR="004236BE" w:rsidRPr="00A03758" w:rsidRDefault="004236BE" w:rsidP="00A03758">
            <w:pPr>
              <w:numPr>
                <w:ilvl w:val="1"/>
                <w:numId w:val="1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 cooperación bilateral, multilateral, regional o internacional se lleva a cabo para aplicar medidas de salvaguardia de elementos específicos del PCI, en especial aquellos que estén en peligro, se encuentren en territorios de más de un Estado y que sean elementos transfronterizos.</w:t>
            </w:r>
          </w:p>
        </w:tc>
        <w:tc>
          <w:tcPr>
            <w:tcW w:w="1011" w:type="pct"/>
            <w:vMerge w:val="restart"/>
            <w:vAlign w:val="center"/>
          </w:tcPr>
          <w:p w14:paraId="5F19B861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</w:tr>
      <w:tr w:rsidR="004236BE" w:rsidRPr="00A03758" w14:paraId="7DC01C80" w14:textId="77777777" w:rsidTr="00A03758">
        <w:trPr>
          <w:cantSplit/>
          <w:trHeight w:val="750"/>
        </w:trPr>
        <w:tc>
          <w:tcPr>
            <w:tcW w:w="3989" w:type="pct"/>
            <w:vMerge/>
          </w:tcPr>
          <w:p w14:paraId="770B856C" w14:textId="77777777" w:rsidR="004236BE" w:rsidRPr="00A03758" w:rsidRDefault="004236BE" w:rsidP="00A03758">
            <w:pPr>
              <w:numPr>
                <w:ilvl w:val="1"/>
                <w:numId w:val="1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100A7F3E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</w:p>
        </w:tc>
      </w:tr>
      <w:tr w:rsidR="004236BE" w:rsidRPr="00A03758" w14:paraId="51D8D42D" w14:textId="77777777" w:rsidTr="00A03758">
        <w:trPr>
          <w:cantSplit/>
        </w:trPr>
        <w:tc>
          <w:tcPr>
            <w:tcW w:w="3989" w:type="pct"/>
          </w:tcPr>
          <w:p w14:paraId="4E12566E" w14:textId="77777777" w:rsidR="004236BE" w:rsidRPr="00A03758" w:rsidRDefault="004236BE" w:rsidP="00A03758">
            <w:pPr>
              <w:numPr>
                <w:ilvl w:val="1"/>
                <w:numId w:val="1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 información y las experiencias sobre el PCI y su salvaguardia, incluidas las buenas prácticas para la salvaguardia que los Estados Partes intercambien.</w:t>
            </w:r>
          </w:p>
        </w:tc>
        <w:tc>
          <w:tcPr>
            <w:tcW w:w="1011" w:type="pct"/>
            <w:vAlign w:val="center"/>
          </w:tcPr>
          <w:p w14:paraId="308AA496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</w:tr>
      <w:tr w:rsidR="004236BE" w:rsidRPr="00A03758" w14:paraId="67CAE6B7" w14:textId="77777777" w:rsidTr="00A03758">
        <w:trPr>
          <w:cantSplit/>
        </w:trPr>
        <w:tc>
          <w:tcPr>
            <w:tcW w:w="3989" w:type="pct"/>
            <w:tcBorders>
              <w:bottom w:val="single" w:sz="24" w:space="0" w:color="auto"/>
            </w:tcBorders>
          </w:tcPr>
          <w:p w14:paraId="06509958" w14:textId="77777777" w:rsidR="004236BE" w:rsidRPr="00A03758" w:rsidRDefault="004236BE" w:rsidP="00A03758">
            <w:pPr>
              <w:numPr>
                <w:ilvl w:val="1"/>
                <w:numId w:val="11"/>
              </w:numPr>
              <w:spacing w:before="60" w:after="60" w:line="240" w:lineRule="auto"/>
              <w:ind w:left="567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 documentación sobre un elemento del PCI presente en su territorio que el Estado Parte comparta con otro Estado.</w:t>
            </w:r>
          </w:p>
        </w:tc>
        <w:tc>
          <w:tcPr>
            <w:tcW w:w="1011" w:type="pct"/>
            <w:tcBorders>
              <w:bottom w:val="single" w:sz="24" w:space="0" w:color="auto"/>
            </w:tcBorders>
            <w:vAlign w:val="center"/>
          </w:tcPr>
          <w:p w14:paraId="5D177406" w14:textId="77777777" w:rsidR="004236BE" w:rsidRPr="00A03758" w:rsidRDefault="004236BE" w:rsidP="00A03758">
            <w:pPr>
              <w:spacing w:before="60" w:after="60" w:line="240" w:lineRule="auto"/>
              <w:jc w:val="both"/>
              <w:rPr>
                <w:rFonts w:ascii="Arial" w:eastAsia="SimSu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</w:tr>
    </w:tbl>
    <w:p w14:paraId="6E01E0D4" w14:textId="77777777" w:rsidR="004236BE" w:rsidRPr="00A80DCA" w:rsidRDefault="004236BE" w:rsidP="00BC257A">
      <w:pPr>
        <w:rPr>
          <w:rFonts w:ascii="Arial" w:hAnsi="Arial"/>
          <w:sz w:val="20"/>
          <w:szCs w:val="20"/>
        </w:rPr>
      </w:pPr>
    </w:p>
    <w:sectPr w:rsidR="004236BE" w:rsidRPr="00A80DCA" w:rsidSect="00242B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6891" w14:textId="77777777" w:rsidR="00B1434D" w:rsidRDefault="00B1434D" w:rsidP="00A80DCA">
      <w:pPr>
        <w:spacing w:after="0" w:line="240" w:lineRule="auto"/>
      </w:pPr>
      <w:r>
        <w:separator/>
      </w:r>
    </w:p>
  </w:endnote>
  <w:endnote w:type="continuationSeparator" w:id="0">
    <w:p w14:paraId="0B6FC684" w14:textId="77777777" w:rsidR="00B1434D" w:rsidRDefault="00B1434D" w:rsidP="00A8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9C84" w14:textId="36CF0AC7" w:rsidR="004236BE" w:rsidRDefault="00B2708E" w:rsidP="00A80DCA">
    <w:pPr>
      <w:pStyle w:val="Pieddepage"/>
      <w:tabs>
        <w:tab w:val="left" w:pos="2093"/>
      </w:tabs>
    </w:pPr>
    <w:r>
      <w:rPr>
        <w:noProof/>
        <w:lang w:val="fr-FR" w:eastAsia="fr-FR"/>
      </w:rPr>
      <w:pict w14:anchorId="2C0D7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8.4pt;margin-top:-4.35pt;width:58.55pt;height:42.7pt;z-index:251659264">
          <v:imagedata r:id="rId1" o:title=""/>
        </v:shape>
      </w:pict>
    </w:r>
    <w:r>
      <w:rPr>
        <w:noProof/>
        <w:lang w:val="es-AR" w:eastAsia="es-AR"/>
      </w:rPr>
      <w:pict w14:anchorId="3287842E">
        <v:shape id="Picture 6" o:spid="_x0000_s2049" type="#_x0000_t75" style="position:absolute;margin-left:187.25pt;margin-top:1.8pt;width:42.7pt;height:14.9pt;z-index:251658240;visibility:visible" wrapcoords="-379 0 -379 20520 21600 20520 21600 0 -379 0">
          <v:imagedata r:id="rId2" o:title=""/>
          <w10:wrap type="through"/>
        </v:shape>
      </w:pict>
    </w:r>
    <w:r w:rsidR="00066A68">
      <w:rPr>
        <w:rFonts w:ascii="Arial" w:hAnsi="Arial"/>
        <w:sz w:val="16"/>
      </w:rPr>
      <w:t>U058-v1.0-HO4</w:t>
    </w:r>
    <w:r w:rsidR="004236BE">
      <w:rPr>
        <w:rFonts w:ascii="Arial" w:hAnsi="Arial"/>
        <w:sz w:val="16"/>
      </w:rPr>
      <w:t>-ES</w:t>
    </w:r>
  </w:p>
  <w:p w14:paraId="787922C8" w14:textId="77777777" w:rsidR="004236BE" w:rsidRDefault="004236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A0DB6" w14:textId="77777777" w:rsidR="00B1434D" w:rsidRDefault="00B1434D" w:rsidP="00A80DCA">
      <w:pPr>
        <w:spacing w:after="0" w:line="240" w:lineRule="auto"/>
      </w:pPr>
      <w:r>
        <w:separator/>
      </w:r>
    </w:p>
  </w:footnote>
  <w:footnote w:type="continuationSeparator" w:id="0">
    <w:p w14:paraId="3B0B52A3" w14:textId="77777777" w:rsidR="00B1434D" w:rsidRDefault="00B1434D" w:rsidP="00A8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0D22" w14:textId="77777777" w:rsidR="004236BE" w:rsidRPr="003B76F5" w:rsidRDefault="004236BE" w:rsidP="00A80DCA">
    <w:pPr>
      <w:pStyle w:val="En-tte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ab/>
      <w:t>Folleto</w:t>
    </w:r>
  </w:p>
  <w:p w14:paraId="042A7E8A" w14:textId="77777777" w:rsidR="004236BE" w:rsidRDefault="004236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2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4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6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7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9B"/>
    <w:rsid w:val="00066A68"/>
    <w:rsid w:val="000836DB"/>
    <w:rsid w:val="0016699B"/>
    <w:rsid w:val="001C1DD7"/>
    <w:rsid w:val="00221EAD"/>
    <w:rsid w:val="00242B97"/>
    <w:rsid w:val="003740FD"/>
    <w:rsid w:val="003B76F5"/>
    <w:rsid w:val="003F5654"/>
    <w:rsid w:val="004168F3"/>
    <w:rsid w:val="004236BE"/>
    <w:rsid w:val="004D4A93"/>
    <w:rsid w:val="00565E26"/>
    <w:rsid w:val="0058176C"/>
    <w:rsid w:val="005E199E"/>
    <w:rsid w:val="006D6B7A"/>
    <w:rsid w:val="008F452B"/>
    <w:rsid w:val="00A03758"/>
    <w:rsid w:val="00A80DCA"/>
    <w:rsid w:val="00B1434D"/>
    <w:rsid w:val="00B2708E"/>
    <w:rsid w:val="00B7797B"/>
    <w:rsid w:val="00BC257A"/>
    <w:rsid w:val="00DF4D2E"/>
    <w:rsid w:val="00F4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4D0B86A"/>
  <w14:defaultImageDpi w14:val="0"/>
  <w15:docId w15:val="{29E06A12-9F26-4204-A2BE-5A9B188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MS Gothic" w:hAnsi="Cambria"/>
      <w:b/>
      <w:color w:val="365F91"/>
      <w:sz w:val="28"/>
      <w:lang w:val="es-ES" w:eastAsia="es-ES"/>
    </w:rPr>
  </w:style>
  <w:style w:type="paragraph" w:customStyle="1" w:styleId="Chapitre">
    <w:name w:val="Chapitre"/>
    <w:basedOn w:val="Titre1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color w:val="3366FF"/>
      <w:kern w:val="28"/>
      <w:sz w:val="70"/>
      <w:szCs w:val="70"/>
    </w:rPr>
  </w:style>
  <w:style w:type="table" w:styleId="Grilledutableau">
    <w:name w:val="Table Grid"/>
    <w:basedOn w:val="TableauNormal"/>
    <w:uiPriority w:val="59"/>
    <w:rPr>
      <w:rFonts w:eastAsia="SimSun" w:cs="Times New Roman"/>
      <w:lang w:val="fr-FR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Pr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Pr>
      <w:lang w:val="es-ES" w:eastAsia="es-ES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character" w:styleId="Marquedecommentaire">
    <w:name w:val="annotation reference"/>
    <w:uiPriority w:val="99"/>
    <w:semiHidden/>
    <w:unhideWhenUsed/>
    <w:rsid w:val="000836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36D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836DB"/>
    <w:rPr>
      <w:rFonts w:cs="Arial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36D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836DB"/>
    <w:rPr>
      <w:rFonts w:cs="Arial"/>
      <w:b/>
      <w:bCs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36D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Undurraga, Maria-Paz</dc:creator>
  <cp:keywords/>
  <dc:description/>
  <cp:lastModifiedBy>Maria-Paz Fernandez Undurraga</cp:lastModifiedBy>
  <cp:revision>4</cp:revision>
  <dcterms:created xsi:type="dcterms:W3CDTF">2020-02-07T14:58:00Z</dcterms:created>
  <dcterms:modified xsi:type="dcterms:W3CDTF">2020-02-27T15:51:00Z</dcterms:modified>
</cp:coreProperties>
</file>