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99DB0" w14:textId="77777777" w:rsidR="00CA6D23" w:rsidRPr="003E449E" w:rsidRDefault="00CA6D23" w:rsidP="00A30A16">
      <w:pPr>
        <w:pStyle w:val="Chapitre"/>
        <w:rPr>
          <w:bCs w:val="0"/>
          <w:caps w:val="0"/>
        </w:rPr>
      </w:pPr>
      <w:r>
        <w:t>UNIDAD 58</w:t>
      </w:r>
    </w:p>
    <w:p w14:paraId="68332EB2" w14:textId="77777777" w:rsidR="00CA6D23" w:rsidRDefault="00CA6D23" w:rsidP="00A30A16">
      <w:pPr>
        <w:pStyle w:val="COMTitleDecision"/>
        <w:spacing w:before="0" w:after="0" w:line="276" w:lineRule="auto"/>
        <w:jc w:val="left"/>
        <w:rPr>
          <w:caps/>
          <w:snapToGrid w:val="0"/>
          <w:color w:val="3366FF"/>
          <w:kern w:val="28"/>
          <w:sz w:val="48"/>
          <w:szCs w:val="48"/>
        </w:rPr>
      </w:pPr>
      <w:r>
        <w:rPr>
          <w:caps/>
          <w:color w:val="3366FF"/>
          <w:kern w:val="28"/>
          <w:sz w:val="48"/>
        </w:rPr>
        <w:t>Seguimiento basado en los resultados y el marco global de resultados</w:t>
      </w:r>
    </w:p>
    <w:p w14:paraId="0E9340A1" w14:textId="77777777" w:rsidR="00CA6D23" w:rsidRPr="004C7697" w:rsidRDefault="00CA6D23" w:rsidP="00A30A16">
      <w:pPr>
        <w:rPr>
          <w:rFonts w:ascii="Arial" w:hAnsi="Arial"/>
          <w:bCs/>
          <w:iCs/>
          <w:sz w:val="20"/>
          <w:szCs w:val="20"/>
        </w:rPr>
      </w:pPr>
      <w:r>
        <w:rPr>
          <w:rFonts w:ascii="Arial" w:hAnsi="Arial"/>
          <w:sz w:val="20"/>
        </w:rPr>
        <w:t>Publicado en 2019 por la Organización de las Naciones Unidas para la Educación, la Ciencia y la Cultura, 7, place de Fontenoy, 75352 París 07 SP, Francia</w:t>
      </w:r>
    </w:p>
    <w:p w14:paraId="42230B6C" w14:textId="77777777" w:rsidR="00CA6D23" w:rsidRPr="00A30A16" w:rsidRDefault="00CA6D23" w:rsidP="00A30A16">
      <w:pPr>
        <w:rPr>
          <w:rFonts w:ascii="Arial" w:hAnsi="Arial"/>
          <w:sz w:val="20"/>
          <w:szCs w:val="20"/>
        </w:rPr>
      </w:pPr>
      <w:r>
        <w:rPr>
          <w:rFonts w:ascii="Arial" w:hAnsi="Arial"/>
          <w:sz w:val="20"/>
        </w:rPr>
        <w:t>© UNESCO 2019</w:t>
      </w:r>
    </w:p>
    <w:p w14:paraId="557A0B25" w14:textId="77777777" w:rsidR="00CA6D23" w:rsidRPr="00A30A16" w:rsidRDefault="00545DF2" w:rsidP="00A30A16">
      <w:pPr>
        <w:rPr>
          <w:rFonts w:ascii="Arial" w:hAnsi="Arial"/>
          <w:sz w:val="20"/>
          <w:szCs w:val="20"/>
        </w:rPr>
      </w:pPr>
      <w:r>
        <w:rPr>
          <w:rFonts w:ascii="Arial" w:hAnsi="Arial"/>
          <w:sz w:val="20"/>
        </w:rPr>
        <w:pict w14:anchorId="7DE89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9.4pt;height:21.6pt;visibility:visible">
            <v:imagedata r:id="rId7" o:title=""/>
          </v:shape>
        </w:pict>
      </w:r>
    </w:p>
    <w:p w14:paraId="460A6D46" w14:textId="0ECFAA3C" w:rsidR="00CA6D23" w:rsidRPr="00A30A16" w:rsidRDefault="00CA6D23" w:rsidP="00A30A16">
      <w:pPr>
        <w:rPr>
          <w:rFonts w:ascii="Arial" w:hAnsi="Arial"/>
          <w:sz w:val="20"/>
          <w:szCs w:val="20"/>
        </w:rPr>
      </w:pPr>
      <w:r>
        <w:rPr>
          <w:rFonts w:ascii="Arial" w:hAnsi="Arial"/>
          <w:sz w:val="20"/>
        </w:rPr>
        <w:t>Esta publicación se encuentra disponible en acceso abierto bajo licencia de Attribution-ShareAlike 3.0 IGO (CC-BY-SA 3.0 IGO) (</w:t>
      </w:r>
      <w:hyperlink r:id="rId8" w:history="1">
        <w:r>
          <w:rPr>
            <w:rStyle w:val="Lienhypertexte"/>
            <w:rFonts w:ascii="Arial" w:hAnsi="Arial"/>
            <w:sz w:val="20"/>
          </w:rPr>
          <w:t>http://creativecommons.org/licenses/by-sa/3.0/igo/</w:t>
        </w:r>
      </w:hyperlink>
      <w:r>
        <w:rPr>
          <w:rFonts w:ascii="Arial" w:hAnsi="Arial"/>
          <w:sz w:val="20"/>
        </w:rPr>
        <w:t>). Al utilizar el contenido de la presente publicación, el usuario acepta las condiciones de uso del Repositorio de Acceso Abierto de la UNESCO (</w:t>
      </w:r>
      <w:hyperlink r:id="rId9" w:history="1">
        <w:r>
          <w:rPr>
            <w:rStyle w:val="Lienhypertexte"/>
            <w:rFonts w:ascii="Arial" w:hAnsi="Arial"/>
            <w:sz w:val="20"/>
          </w:rPr>
          <w:t>http://www.unesco.org/open-access/terms-use-ccbysa-sp</w:t>
        </w:r>
      </w:hyperlink>
      <w:r>
        <w:rPr>
          <w:rFonts w:ascii="Arial" w:hAnsi="Arial"/>
          <w:sz w:val="20"/>
        </w:rPr>
        <w:t>).</w:t>
      </w:r>
    </w:p>
    <w:p w14:paraId="190EE050" w14:textId="77777777" w:rsidR="00CA6D23" w:rsidRPr="00A30A16" w:rsidRDefault="00CA6D23" w:rsidP="00A30A16">
      <w:pPr>
        <w:rPr>
          <w:rFonts w:ascii="Arial" w:hAnsi="Arial"/>
          <w:sz w:val="20"/>
          <w:szCs w:val="20"/>
        </w:rPr>
      </w:pPr>
      <w:r>
        <w:rPr>
          <w:rFonts w:ascii="Arial" w:hAnsi="Arial"/>
          <w:sz w:val="20"/>
        </w:rPr>
        <w:t>Las imágenes de esta publicación no están sujetas a la licencia CC-BY-SA, por lo que no podrán ser utilizadas, reproducidas o comercializadas sin previa autorización de los titulares (o propietarios) de los derechos de autor.</w:t>
      </w:r>
    </w:p>
    <w:p w14:paraId="6AC01448" w14:textId="77777777" w:rsidR="00CA6D23" w:rsidRPr="00A30A16" w:rsidRDefault="00CA6D23" w:rsidP="00A30A16">
      <w:pPr>
        <w:rPr>
          <w:rFonts w:ascii="Arial" w:hAnsi="Arial"/>
          <w:sz w:val="20"/>
          <w:szCs w:val="20"/>
        </w:rPr>
      </w:pPr>
      <w:r>
        <w:rPr>
          <w:rFonts w:ascii="Arial" w:hAnsi="Arial"/>
          <w:sz w:val="20"/>
        </w:rP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14:paraId="65D70956" w14:textId="77777777" w:rsidR="00CA6D23" w:rsidRPr="00A30A16" w:rsidRDefault="00CA6D23" w:rsidP="00A30A16">
      <w:pPr>
        <w:rPr>
          <w:rFonts w:ascii="Arial" w:hAnsi="Arial"/>
          <w:sz w:val="20"/>
          <w:szCs w:val="20"/>
        </w:rPr>
      </w:pPr>
      <w:r>
        <w:rPr>
          <w:rFonts w:ascii="Arial" w:hAnsi="Arial"/>
          <w:sz w:val="20"/>
        </w:rPr>
        <w:t>Las ideas y opiniones expresadas en esta obra son las de los autores y no reflejan necesariamente el punto de vista de la UNESCO ni comprometen en modo alguno a la Organización.</w:t>
      </w:r>
    </w:p>
    <w:p w14:paraId="377F086F" w14:textId="2F420B2F" w:rsidR="00CA6D23" w:rsidRPr="00A30A16" w:rsidRDefault="00CA6D23" w:rsidP="006C7EFA">
      <w:pPr>
        <w:rPr>
          <w:rFonts w:ascii="Arial" w:eastAsia="SimSun" w:hAnsi="Arial"/>
          <w:b/>
          <w:caps/>
          <w:snapToGrid w:val="0"/>
          <w:color w:val="3366FF"/>
          <w:kern w:val="28"/>
          <w:sz w:val="32"/>
          <w:szCs w:val="24"/>
        </w:rPr>
      </w:pPr>
      <w:r>
        <w:br w:type="page"/>
      </w:r>
      <w:r>
        <w:rPr>
          <w:rFonts w:ascii="Arial" w:hAnsi="Arial"/>
          <w:b/>
          <w:caps/>
          <w:color w:val="3366FF"/>
          <w:kern w:val="28"/>
          <w:sz w:val="32"/>
        </w:rPr>
        <w:lastRenderedPageBreak/>
        <w:t>Texto para el Participante</w:t>
      </w:r>
    </w:p>
    <w:p w14:paraId="1F7365D0" w14:textId="77777777" w:rsidR="00CA6D23" w:rsidRPr="00A30A16" w:rsidRDefault="00CA6D23" w:rsidP="0045161B">
      <w:pPr>
        <w:pStyle w:val="Heading2"/>
      </w:pPr>
      <w:r>
        <w:t xml:space="preserve">antecedentes de la elaboración del marco global de resultados </w:t>
      </w:r>
    </w:p>
    <w:p w14:paraId="2915AE16" w14:textId="77777777" w:rsidR="00CA6D23" w:rsidRPr="009E2BB5" w:rsidRDefault="00CA6D23" w:rsidP="009E2BB5">
      <w:pPr>
        <w:pStyle w:val="Para"/>
      </w:pPr>
      <w:r>
        <w:t>Como se mencionó en la Unidad B, como parte de su evaluación de la labor normativa del Sector de Cultura de la UNESCO, el Servicio de Supervisión Interna de la UNESCO (IOS) informó en 2013 que la ausencia de objetivos, indicadores y parámetros para dar seguimiento a la aplicación de la Convención dificultaba la tarea de extraer conclusiones sobre el progreso y los logros de las Partes y los problemas que estas encontraban.</w:t>
      </w:r>
      <w:r>
        <w:rPr>
          <w:rStyle w:val="Appelnotedebasdep"/>
        </w:rPr>
        <w:footnoteReference w:id="1"/>
      </w:r>
      <w:r>
        <w:t xml:space="preserve"> El IOS recomendó que se elaborara un marco global de resultados para la Convención, el cual debía contener objetivos, plazos, indicadores cuantitativos y cualitativos, y parámetros. El IOS asimismo propuso una teoría del cambio (véase más adelante) para la Convención que sirviera de base para el marco de resultados.</w:t>
      </w:r>
    </w:p>
    <w:p w14:paraId="3FC44D72" w14:textId="77777777" w:rsidR="00CA6D23" w:rsidRPr="009E2BB5" w:rsidRDefault="00CA6D23" w:rsidP="009E2BB5">
      <w:pPr>
        <w:pStyle w:val="Para"/>
      </w:pPr>
      <w:r>
        <w:t xml:space="preserve">En su octava reunión celebrada en 2013, el Comité convino en que era necesario contar con un marco global de resultados para los Estados Partes (y el Comité) para evaluar de manera constante en qué medida se estaban cumpliendo las principales finalidades de la Convención a través de la aplicación de esta. Por consiguiente, decidió </w:t>
      </w:r>
      <w:r>
        <w:rPr>
          <w:cs/>
        </w:rPr>
        <w:t>“</w:t>
      </w:r>
      <w:r>
        <w:t xml:space="preserve">elaborar un marco global de resultados para la Convención que incluyera objetivos, </w:t>
      </w:r>
      <w:r w:rsidR="002106EC">
        <w:t>plazos</w:t>
      </w:r>
      <w:r>
        <w:t>, indicadores y parámetros</w:t>
      </w:r>
      <w:r>
        <w:rPr>
          <w:cs/>
        </w:rPr>
        <w:t>”</w:t>
      </w:r>
      <w:r>
        <w:t xml:space="preserve">, insistiendo además </w:t>
      </w:r>
      <w:r w:rsidR="002106EC">
        <w:t xml:space="preserve">en </w:t>
      </w:r>
      <w:r>
        <w:t>que el proceso debe ser impulsado por los Estados Partes (</w:t>
      </w:r>
      <w:hyperlink r:id="rId10" w:history="1">
        <w:r>
          <w:rPr>
            <w:rStyle w:val="Lienhypertexte"/>
            <w:color w:val="000000"/>
            <w:u w:val="none"/>
          </w:rPr>
          <w:t>Decisión 8.COM 5.c.1</w:t>
        </w:r>
      </w:hyperlink>
      <w:r>
        <w:t>).</w:t>
      </w:r>
    </w:p>
    <w:p w14:paraId="68DBE4E1" w14:textId="77777777" w:rsidR="00CA6D23" w:rsidRPr="009E2BB5" w:rsidRDefault="00CA6D23" w:rsidP="009E2BB5">
      <w:pPr>
        <w:pStyle w:val="Para"/>
      </w:pPr>
      <w:r>
        <w:t xml:space="preserve">En la novena reunión del Comité celebrada en 2014, se analizaron el proceso y </w:t>
      </w:r>
      <w:r w:rsidR="002106EC">
        <w:t>los plazos</w:t>
      </w:r>
      <w:r>
        <w:t xml:space="preserve"> para la elaboración de un marco global de resultados para la Convención. El Comité además instó a comenzar a estudiar una serie de recomendaciones preliminares para las nuevas Directrices Operativas. Este subrayó la necesidad de un </w:t>
      </w:r>
      <w:r>
        <w:rPr>
          <w:cs/>
        </w:rPr>
        <w:t>“</w:t>
      </w:r>
      <w:r>
        <w:t>proceso inclusivo de consulta y debate para la elaboración de dicho marco</w:t>
      </w:r>
      <w:r>
        <w:rPr>
          <w:cs/>
        </w:rPr>
        <w:t xml:space="preserve">” </w:t>
      </w:r>
      <w:r>
        <w:t>(</w:t>
      </w:r>
      <w:hyperlink r:id="rId11" w:history="1">
        <w:r>
          <w:rPr>
            <w:rStyle w:val="Lienhypertexte"/>
            <w:color w:val="000000"/>
            <w:u w:val="none"/>
          </w:rPr>
          <w:t>Decisión 9.COM 13.e</w:t>
        </w:r>
      </w:hyperlink>
      <w:r>
        <w:t>).</w:t>
      </w:r>
    </w:p>
    <w:p w14:paraId="56E87D1B" w14:textId="77777777" w:rsidR="00CA6D23" w:rsidRPr="009E2BB5" w:rsidRDefault="00CA6D23" w:rsidP="009E2BB5">
      <w:pPr>
        <w:pStyle w:val="Para"/>
      </w:pPr>
      <w:r>
        <w:t xml:space="preserve">En 2016, la </w:t>
      </w:r>
      <w:r>
        <w:rPr>
          <w:rStyle w:val="hps"/>
        </w:rPr>
        <w:t xml:space="preserve">Comisión Nacional de la República Popular China para la UNESCO prestó apoyo para celebrar una reunión de expertos para la elaboración de un marco preliminar que sería presentado en un grupo de trabajo intergubernamental ulterior. Ello también permitió compartir las perspectivas y las experiencias de un grupo diversa y geográficamente representativo, con el objeto de garantizar que en el marco se plasmara </w:t>
      </w:r>
      <w:r w:rsidR="002106EC">
        <w:rPr>
          <w:rStyle w:val="hps"/>
        </w:rPr>
        <w:t xml:space="preserve">desde el inicio </w:t>
      </w:r>
      <w:r>
        <w:rPr>
          <w:rStyle w:val="hps"/>
        </w:rPr>
        <w:t xml:space="preserve">un </w:t>
      </w:r>
      <w:r>
        <w:rPr>
          <w:rStyle w:val="hps"/>
          <w:cs/>
        </w:rPr>
        <w:t>“</w:t>
      </w:r>
      <w:r>
        <w:rPr>
          <w:rStyle w:val="hps"/>
        </w:rPr>
        <w:t>proceso de consulta y debate inclusivo</w:t>
      </w:r>
      <w:r>
        <w:rPr>
          <w:rStyle w:val="hps"/>
          <w:cs/>
        </w:rPr>
        <w:t>”</w:t>
      </w:r>
      <w:r>
        <w:rPr>
          <w:rStyle w:val="hps"/>
        </w:rPr>
        <w:t>. El Comité aceptó dicha propuesta en su décima reunión celebrada en 2016 (</w:t>
      </w:r>
      <w:hyperlink r:id="rId12" w:history="1">
        <w:r>
          <w:rPr>
            <w:rStyle w:val="Lienhypertexte"/>
            <w:color w:val="000000"/>
            <w:u w:val="none"/>
          </w:rPr>
          <w:t>Decisión 10.COM 9</w:t>
        </w:r>
      </w:hyperlink>
      <w:r>
        <w:t xml:space="preserve">). </w:t>
      </w:r>
      <w:r>
        <w:rPr>
          <w:rStyle w:val="hps"/>
        </w:rPr>
        <w:t xml:space="preserve">En esta reunión (celebrada en Beijing en septiembre de 2016) </w:t>
      </w:r>
      <w:r>
        <w:t>se congregaron 23 expertos de distintos Estados Miembros y Miembros Asociados de la UNESCO que trabajan en instituciones gubernamentales y no gubernamentales, de las comunidades o de grupos de practicantes, así como siete miembros de la Secretaría de la UNESCO. El debate contó con la facilitación conjunta de un experto en diseño de marcos de resultados y un experto familiarizado con la Convención y la aplicación de esta. Los resultados de dicha reunión de expertos fue</w:t>
      </w:r>
      <w:r w:rsidR="002106EC">
        <w:t>ron</w:t>
      </w:r>
      <w:r>
        <w:t xml:space="preserve"> informad</w:t>
      </w:r>
      <w:r w:rsidR="002106EC">
        <w:t>os</w:t>
      </w:r>
      <w:r>
        <w:t xml:space="preserve"> en la undécima reunión del Comité en 2016. Sobre la base de las conclusiones de la reunión y los debates mantenidos durante la undécima reunión del Comité (2016), se elaboró una versión preliminar del marco global de resultados.</w:t>
      </w:r>
    </w:p>
    <w:p w14:paraId="301447D5" w14:textId="77777777" w:rsidR="00CA6D23" w:rsidRPr="009E2BB5" w:rsidRDefault="00CA6D23" w:rsidP="009E2BB5">
      <w:pPr>
        <w:pStyle w:val="Para"/>
      </w:pPr>
      <w:r>
        <w:t xml:space="preserve">El documento preliminar del marco global de resultados se presentó luego en la reunión de los representantes de los Estados Partes que se celebró bajo la modalidad de grupo de trabajo intergubernamental de composición abierta en junio de 2017 en Chengdu (China). El grupo de trabajo de composición abierta además analizó de qué manera el proceso de adopción de un marco global de resultados podría servir como oportunidad excepcional para revisar el mecanismo de presentación de informes periódicos (documento </w:t>
      </w:r>
      <w:hyperlink r:id="rId13" w:history="1">
        <w:r>
          <w:rPr>
            <w:rStyle w:val="Lienhypertexte"/>
            <w:color w:val="000000"/>
            <w:u w:val="none"/>
          </w:rPr>
          <w:t>ITH/17/12.COM WG/5</w:t>
        </w:r>
      </w:hyperlink>
      <w:r>
        <w:t xml:space="preserve">). Se entendió que se hacía necesaria una reforma de esta naturaleza para aumentar la utilidad de la presentación de informes </w:t>
      </w:r>
      <w:r>
        <w:lastRenderedPageBreak/>
        <w:t>periódicos tanto para los Estados Partes como para el funcionamiento general de la Convención, ya sea en los ámbitos nacionales o en el ámbito internacional (documento </w:t>
      </w:r>
      <w:hyperlink r:id="rId14" w:history="1">
        <w:r>
          <w:rPr>
            <w:rStyle w:val="Lienhypertexte"/>
            <w:color w:val="000000"/>
            <w:u w:val="none"/>
          </w:rPr>
          <w:t>ITH/17/12.COM WG/7</w:t>
        </w:r>
      </w:hyperlink>
      <w:r>
        <w:t>). Dicha propuesta fue adoptada en la duodécima reunión del Comité celebrada en diciembre de 2017 y aprobada por la Asamblea General de los Estados Partes en París en junio de 2018.</w:t>
      </w:r>
    </w:p>
    <w:p w14:paraId="3DE78CD7" w14:textId="393DE31C" w:rsidR="00B873A9" w:rsidRPr="009E2BB5" w:rsidRDefault="00CA6D23" w:rsidP="00B873A9">
      <w:pPr>
        <w:pStyle w:val="Para"/>
      </w:pPr>
      <w:r>
        <w:t xml:space="preserve">El formulario más común del marco de resultados empleado en la UNESCO es un marco lógico (conocido también como </w:t>
      </w:r>
      <w:r>
        <w:rPr>
          <w:cs/>
        </w:rPr>
        <w:t>“</w:t>
      </w:r>
      <w:r w:rsidRPr="00F16A29">
        <w:rPr>
          <w:i/>
        </w:rPr>
        <w:t>log-frame</w:t>
      </w:r>
      <w:r>
        <w:rPr>
          <w:cs/>
        </w:rPr>
        <w:t xml:space="preserve">” </w:t>
      </w:r>
      <w:r>
        <w:t xml:space="preserve">o </w:t>
      </w:r>
      <w:r>
        <w:rPr>
          <w:cs/>
        </w:rPr>
        <w:t>“</w:t>
      </w:r>
      <w:r>
        <w:t>matrices del marco lógico</w:t>
      </w:r>
      <w:r>
        <w:rPr>
          <w:cs/>
        </w:rPr>
        <w:t>”</w:t>
      </w:r>
      <w:r>
        <w:t>). Los marcos lógicos adoptan diversas formas, pero habitualmente consisten en enunciados concisos para los insumos, las actividades, los productos, los efectos, los resultados y los impactos (véase el glosario de la gestión basada en resultados incluido en las notas para el participantes) y su vigencia es por un período determinado. Si se desea</w:t>
      </w:r>
      <w:r w:rsidR="00F16A29">
        <w:t>ra</w:t>
      </w:r>
      <w:r>
        <w:t xml:space="preserve"> presentarlo de una manera visual, </w:t>
      </w:r>
      <w:r w:rsidR="00F16A29">
        <w:t>podría tener el siguiente aspecto</w:t>
      </w:r>
      <w:r>
        <w:t>:</w:t>
      </w:r>
    </w:p>
    <w:p w14:paraId="4CA93729" w14:textId="274C1A98" w:rsidR="00CA6D23" w:rsidRDefault="00545DF2" w:rsidP="009E2BB5">
      <w:pPr>
        <w:pStyle w:val="Para"/>
      </w:pPr>
      <w:r>
        <w:rPr>
          <w:noProof/>
        </w:rPr>
        <w:pict w14:anchorId="364A9BD6">
          <v:shape id="Diagram 1" o:spid="_x0000_i1026" type="#_x0000_t75" style="width:450.6pt;height:15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">
            <v:imagedata r:id="rId15" o:title=""/>
            <o:lock v:ext="edit" aspectratio="f"/>
          </v:shape>
        </w:pict>
      </w:r>
    </w:p>
    <w:p w14:paraId="12B5F265" w14:textId="77777777" w:rsidR="00CA6D23" w:rsidRPr="00224D09" w:rsidRDefault="00CA6D23" w:rsidP="009E2BB5">
      <w:pPr>
        <w:pStyle w:val="Para"/>
      </w:pPr>
      <w:r>
        <w:t xml:space="preserve">Este modelo expresa un marco de relaciones causales a través del cual se emplean los </w:t>
      </w:r>
      <w:r>
        <w:rPr>
          <w:b/>
        </w:rPr>
        <w:t>insumos</w:t>
      </w:r>
      <w:r>
        <w:t xml:space="preserve"> (recursos financieros, humanos, materiales, tecnológicos y de información) para acometer las </w:t>
      </w:r>
      <w:r>
        <w:rPr>
          <w:b/>
        </w:rPr>
        <w:t>intervenciones</w:t>
      </w:r>
      <w:r>
        <w:t xml:space="preserve"> (acciones emprendidas o trabajo realizado) que generan </w:t>
      </w:r>
      <w:r>
        <w:rPr>
          <w:b/>
        </w:rPr>
        <w:t>productos</w:t>
      </w:r>
      <w:r>
        <w:t xml:space="preserve">, los que contribuyen a los </w:t>
      </w:r>
      <w:r>
        <w:rPr>
          <w:b/>
        </w:rPr>
        <w:t>resultados</w:t>
      </w:r>
      <w:r>
        <w:t xml:space="preserve"> o los </w:t>
      </w:r>
      <w:r>
        <w:rPr>
          <w:b/>
        </w:rPr>
        <w:t>impactos</w:t>
      </w:r>
      <w:r>
        <w:t xml:space="preserve"> (cambios esperados</w:t>
      </w:r>
      <w:r w:rsidR="004C04B4">
        <w:t xml:space="preserve"> en una situación o condición).</w:t>
      </w:r>
      <w:r>
        <w:rPr>
          <w:rStyle w:val="Appelnotedebasdep"/>
          <w:rFonts w:ascii="Calibri" w:hAnsi="Calibri"/>
        </w:rPr>
        <w:footnoteReference w:id="2"/>
      </w:r>
    </w:p>
    <w:p w14:paraId="6920BFA4" w14:textId="77777777" w:rsidR="00CA6D23" w:rsidRDefault="00CA6D23" w:rsidP="009E2BB5">
      <w:pPr>
        <w:pStyle w:val="Para"/>
      </w:pPr>
      <w:r>
        <w:t xml:space="preserve">Sin embargo, el marco lógico es una herramienta limitada y es especialmente idónea para una teoría de la causalidad </w:t>
      </w:r>
      <w:r>
        <w:rPr>
          <w:i/>
        </w:rPr>
        <w:t>relativamente lineal</w:t>
      </w:r>
      <w:r>
        <w:t xml:space="preserve">. Por lo tanto, como resultado de la complejidad de lo que ha de evaluarse con respecto a la Convención de 2003 (p. ej., múltiples actores, medidas que operan en distintos ámbitos, etc.) no </w:t>
      </w:r>
      <w:r w:rsidR="004C04B4">
        <w:t>es</w:t>
      </w:r>
      <w:r>
        <w:t xml:space="preserve"> muy </w:t>
      </w:r>
      <w:r w:rsidR="004C04B4">
        <w:t>adecuado</w:t>
      </w:r>
      <w:r>
        <w:t xml:space="preserve"> para el seguimiento y la evaluación de la Convención. Fue necesario buscar una herramienta capaz de abarcar la gama más amplia de actores involucrados en la aplicación de la Convención y de dar cuenta de las aspiraciones y perspectivas de estos. </w:t>
      </w:r>
    </w:p>
    <w:p w14:paraId="2864E433" w14:textId="77777777" w:rsidR="00CA6D23" w:rsidRDefault="004C04B4" w:rsidP="009E2BB5">
      <w:pPr>
        <w:pStyle w:val="Para"/>
      </w:pPr>
      <w:r>
        <w:t>Por dicha razón</w:t>
      </w:r>
      <w:r w:rsidR="00CA6D23">
        <w:t xml:space="preserve"> se determinó que el </w:t>
      </w:r>
      <w:r w:rsidR="00CA6D23">
        <w:rPr>
          <w:i/>
        </w:rPr>
        <w:t>modelo de</w:t>
      </w:r>
      <w:r>
        <w:rPr>
          <w:i/>
        </w:rPr>
        <w:t xml:space="preserve"> la</w:t>
      </w:r>
      <w:r w:rsidR="00CA6D23">
        <w:rPr>
          <w:i/>
        </w:rPr>
        <w:t xml:space="preserve"> teoría del cambio</w:t>
      </w:r>
      <w:r w:rsidR="00CA6D23">
        <w:t xml:space="preserve"> era una </w:t>
      </w:r>
      <w:r w:rsidR="00CA6D23">
        <w:rPr>
          <w:cs/>
        </w:rPr>
        <w:t>“</w:t>
      </w:r>
      <w:r w:rsidR="00CA6D23">
        <w:t>herramienta de pensamiento</w:t>
      </w:r>
      <w:r w:rsidR="00CA6D23">
        <w:rPr>
          <w:cs/>
        </w:rPr>
        <w:t xml:space="preserve">” </w:t>
      </w:r>
      <w:r w:rsidR="00CA6D23">
        <w:t xml:space="preserve">capaz de ayudar a facilitar el debate creativo y </w:t>
      </w:r>
      <w:r>
        <w:t>generar</w:t>
      </w:r>
      <w:r w:rsidR="00CA6D23">
        <w:t xml:space="preserve"> consenso para la elaboración de un enfoque basado en los resultados </w:t>
      </w:r>
      <w:r>
        <w:t>a los efectos de</w:t>
      </w:r>
      <w:r w:rsidR="00CA6D23">
        <w:t xml:space="preserve"> dar seguimiento a la aplicación de la Convención. Ello permitió identificar y poner a prueba las ideas y las hipótesis que distintos actores y partes interesadas </w:t>
      </w:r>
      <w:r>
        <w:t>―</w:t>
      </w:r>
      <w:r w:rsidR="00CA6D23">
        <w:t>comunidades y actores locales, otras partes interesadas, autoridades nacionales, procesos intergubernamentales y la UNESCO</w:t>
      </w:r>
      <w:r>
        <w:t>―</w:t>
      </w:r>
      <w:r w:rsidR="00CA6D23">
        <w:t xml:space="preserve"> tienen </w:t>
      </w:r>
      <w:r>
        <w:t>acerca de</w:t>
      </w:r>
      <w:r w:rsidR="00CA6D23">
        <w:t xml:space="preserve"> cómo se produce el cambio.</w:t>
      </w:r>
      <w:r w:rsidR="00CA6D23">
        <w:rPr>
          <w:vertAlign w:val="superscript"/>
        </w:rPr>
        <w:footnoteReference w:id="3"/>
      </w:r>
      <w:r w:rsidR="00CA6D23">
        <w:t xml:space="preserve"> De esta manera, las medidas adoptadas que conducen a las diversas etapas del cambio se pueden formular como una serie de enunciados de causalidad que permiten explicitar estos supuestos. Estas pueden entonces ponerse a prueba o en cuestión de ser necesario. Cuando se representan en un gráfico, las teorías del cambio sirven para poner de relieve las funciones de los distintos acores, las respectivas responsabilidades y acciones de estos, y cómo dichas acciones </w:t>
      </w:r>
      <w:r w:rsidR="00CA6D23">
        <w:lastRenderedPageBreak/>
        <w:t>permiten o contribuyen a acciones, resultados e impactos subsecuentes o paralelos. Este proceso puede ayudar a elaborar los indicadores apropiados para el proceso de seguimiento y evaluación y es, evidentemente, muy necesario en el marco de la Convención, la cual concede gran importancia a la participación de múltiples partes interesadas.</w:t>
      </w:r>
    </w:p>
    <w:p w14:paraId="41934867" w14:textId="77777777" w:rsidR="00CA6D23" w:rsidRPr="009E2BB5" w:rsidRDefault="00CA6D23" w:rsidP="009E2BB5">
      <w:pPr>
        <w:pStyle w:val="Para"/>
      </w:pPr>
      <w:r>
        <w:t>En la ya mencionada reunión de expertos celebrada en Beijing en 2016</w:t>
      </w:r>
      <w:r w:rsidR="004C04B4">
        <w:t>,</w:t>
      </w:r>
      <w:r>
        <w:t xml:space="preserve"> se preparó una versión preliminar para la elaboración del marco global de resultados de la Convención denominada </w:t>
      </w:r>
      <w:r>
        <w:rPr>
          <w:cs/>
        </w:rPr>
        <w:t>“</w:t>
      </w:r>
      <w:r>
        <w:t>Mapa de Resultados</w:t>
      </w:r>
      <w:r>
        <w:rPr>
          <w:cs/>
        </w:rPr>
        <w:t>”</w:t>
      </w:r>
      <w:r>
        <w:t xml:space="preserve">. Este sirvió como una herramienta de pensamiento extremadamente valiosa (basada en una teoría del cambio) para desembocar en el Marco Global de Resultados definitivo que se adoptó en 2018. Nótese que la elaboración de los elementos del mapa de resultados consistió en un trabajo desde los niveles inferiores hacia los más altos, mientras que el marco global de resultados opera en la dirección inversa. Es importante señalar que este mapa de resultados aportó las fuentes para las actividades, los productos y los efectos a largo plazo en lo concerniente a las partes relevantes de la Convención. </w:t>
      </w:r>
    </w:p>
    <w:p w14:paraId="4A4D6305" w14:textId="77777777" w:rsidR="00CA6D23" w:rsidRPr="009E2BB5" w:rsidRDefault="001E5D82" w:rsidP="002E4603">
      <w:pPr>
        <w:spacing w:before="120" w:after="120"/>
        <w:rPr>
          <w:rFonts w:ascii="Arial" w:hAnsi="Arial"/>
          <w:b/>
          <w:sz w:val="20"/>
          <w:szCs w:val="20"/>
        </w:rPr>
      </w:pPr>
      <w:r>
        <w:rPr>
          <w:rFonts w:ascii="Arial" w:hAnsi="Arial"/>
          <w:b/>
          <w:sz w:val="20"/>
        </w:rPr>
        <w:t>M</w:t>
      </w:r>
      <w:r w:rsidR="00CA6D23">
        <w:rPr>
          <w:rFonts w:ascii="Arial" w:hAnsi="Arial"/>
          <w:b/>
          <w:sz w:val="20"/>
        </w:rPr>
        <w:t>apa de resultados elaborado en la reunión de expertos celebrada en Beijing (2016)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6"/>
        <w:gridCol w:w="1650"/>
        <w:gridCol w:w="236"/>
        <w:gridCol w:w="1963"/>
        <w:gridCol w:w="236"/>
        <w:gridCol w:w="1500"/>
        <w:gridCol w:w="283"/>
        <w:gridCol w:w="1559"/>
      </w:tblGrid>
      <w:tr w:rsidR="00CA6D23" w:rsidRPr="00CC6752" w14:paraId="7FFF7B78" w14:textId="77777777" w:rsidTr="00A30A16">
        <w:tc>
          <w:tcPr>
            <w:tcW w:w="1384" w:type="dxa"/>
          </w:tcPr>
          <w:p w14:paraId="15DC9B39" w14:textId="77777777" w:rsidR="00CA6D23" w:rsidRPr="009E2BB5" w:rsidRDefault="00CA6D23" w:rsidP="00E167D0">
            <w:pPr>
              <w:pStyle w:val="COMParaDecision"/>
              <w:numPr>
                <w:ilvl w:val="0"/>
                <w:numId w:val="0"/>
              </w:numPr>
              <w:spacing w:before="120"/>
              <w:jc w:val="left"/>
              <w:rPr>
                <w:b/>
                <w:sz w:val="20"/>
                <w:szCs w:val="20"/>
              </w:rPr>
            </w:pPr>
            <w:r>
              <w:rPr>
                <w:b/>
                <w:sz w:val="20"/>
              </w:rPr>
              <w:t>Insumos</w:t>
            </w:r>
          </w:p>
        </w:tc>
        <w:tc>
          <w:tcPr>
            <w:tcW w:w="256" w:type="dxa"/>
            <w:tcBorders>
              <w:top w:val="nil"/>
              <w:bottom w:val="nil"/>
            </w:tcBorders>
          </w:tcPr>
          <w:p w14:paraId="4B3B9C78" w14:textId="77777777" w:rsidR="00CA6D23" w:rsidRPr="009E2BB5" w:rsidRDefault="00CA6D23" w:rsidP="00E167D0">
            <w:pPr>
              <w:pStyle w:val="COMParaDecision"/>
              <w:numPr>
                <w:ilvl w:val="0"/>
                <w:numId w:val="0"/>
              </w:numPr>
              <w:spacing w:before="120"/>
              <w:jc w:val="left"/>
              <w:rPr>
                <w:sz w:val="20"/>
                <w:szCs w:val="20"/>
              </w:rPr>
            </w:pPr>
          </w:p>
        </w:tc>
        <w:tc>
          <w:tcPr>
            <w:tcW w:w="7427" w:type="dxa"/>
            <w:gridSpan w:val="7"/>
          </w:tcPr>
          <w:p w14:paraId="48EE7B5D" w14:textId="77777777" w:rsidR="00CA6D23" w:rsidRPr="009E2BB5" w:rsidRDefault="00CA6D23" w:rsidP="00E167D0">
            <w:pPr>
              <w:pStyle w:val="COMParaDecision"/>
              <w:numPr>
                <w:ilvl w:val="0"/>
                <w:numId w:val="0"/>
              </w:numPr>
              <w:spacing w:before="120"/>
              <w:jc w:val="left"/>
              <w:rPr>
                <w:sz w:val="20"/>
                <w:szCs w:val="20"/>
              </w:rPr>
            </w:pPr>
            <w:r>
              <w:rPr>
                <w:sz w:val="20"/>
              </w:rPr>
              <w:t>Recursos necesarios para la salvaguardia del patrimonio cultural inmaterial identificados y convenidos por las partes interesadas pertinentes</w:t>
            </w:r>
          </w:p>
        </w:tc>
      </w:tr>
      <w:tr w:rsidR="00CA6D23" w:rsidRPr="00CC6752" w14:paraId="5567CF51" w14:textId="77777777" w:rsidTr="00A30A16">
        <w:trPr>
          <w:trHeight w:val="20"/>
        </w:trPr>
        <w:tc>
          <w:tcPr>
            <w:tcW w:w="1384" w:type="dxa"/>
            <w:tcBorders>
              <w:left w:val="nil"/>
              <w:right w:val="nil"/>
            </w:tcBorders>
          </w:tcPr>
          <w:p w14:paraId="07309EE3"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6F4C1A57" w14:textId="77777777" w:rsidR="00CA6D23" w:rsidRPr="009E2BB5" w:rsidRDefault="00CA6D23" w:rsidP="00E167D0">
            <w:pPr>
              <w:pStyle w:val="COMParaDecision"/>
              <w:numPr>
                <w:ilvl w:val="0"/>
                <w:numId w:val="0"/>
              </w:numPr>
              <w:spacing w:after="0" w:line="60" w:lineRule="exact"/>
              <w:jc w:val="left"/>
              <w:rPr>
                <w:sz w:val="20"/>
                <w:szCs w:val="20"/>
              </w:rPr>
            </w:pPr>
          </w:p>
        </w:tc>
        <w:tc>
          <w:tcPr>
            <w:tcW w:w="3849" w:type="dxa"/>
            <w:gridSpan w:val="3"/>
            <w:tcBorders>
              <w:left w:val="nil"/>
              <w:right w:val="nil"/>
            </w:tcBorders>
          </w:tcPr>
          <w:p w14:paraId="559B7E6E" w14:textId="77777777" w:rsidR="00CA6D23" w:rsidRPr="009E2BB5" w:rsidRDefault="00CA6D23" w:rsidP="00E167D0">
            <w:pPr>
              <w:pStyle w:val="COMParaDecision"/>
              <w:numPr>
                <w:ilvl w:val="0"/>
                <w:numId w:val="0"/>
              </w:numPr>
              <w:spacing w:after="0" w:line="60" w:lineRule="exact"/>
              <w:jc w:val="left"/>
              <w:rPr>
                <w:sz w:val="20"/>
                <w:szCs w:val="20"/>
              </w:rPr>
            </w:pPr>
          </w:p>
        </w:tc>
        <w:tc>
          <w:tcPr>
            <w:tcW w:w="3578" w:type="dxa"/>
            <w:gridSpan w:val="4"/>
            <w:tcBorders>
              <w:left w:val="nil"/>
              <w:right w:val="nil"/>
            </w:tcBorders>
          </w:tcPr>
          <w:p w14:paraId="494E217F" w14:textId="77777777" w:rsidR="00CA6D23" w:rsidRPr="009E2BB5" w:rsidRDefault="00CA6D23" w:rsidP="00E167D0">
            <w:pPr>
              <w:pStyle w:val="COMParaDecision"/>
              <w:numPr>
                <w:ilvl w:val="0"/>
                <w:numId w:val="0"/>
              </w:numPr>
              <w:spacing w:after="0" w:line="60" w:lineRule="exact"/>
              <w:jc w:val="left"/>
              <w:rPr>
                <w:sz w:val="20"/>
                <w:szCs w:val="20"/>
              </w:rPr>
            </w:pPr>
          </w:p>
        </w:tc>
      </w:tr>
      <w:tr w:rsidR="00CA6D23" w:rsidRPr="00CC6752" w14:paraId="2F5EAD75" w14:textId="77777777" w:rsidTr="00A30A16">
        <w:tc>
          <w:tcPr>
            <w:tcW w:w="1384" w:type="dxa"/>
          </w:tcPr>
          <w:p w14:paraId="0A892986" w14:textId="77777777" w:rsidR="00CA6D23" w:rsidRPr="009E2BB5" w:rsidRDefault="00CA6D23" w:rsidP="00E167D0">
            <w:pPr>
              <w:pStyle w:val="COMParaDecision"/>
              <w:numPr>
                <w:ilvl w:val="0"/>
                <w:numId w:val="0"/>
              </w:numPr>
              <w:spacing w:before="120"/>
              <w:jc w:val="left"/>
              <w:rPr>
                <w:b/>
                <w:sz w:val="20"/>
                <w:szCs w:val="20"/>
              </w:rPr>
            </w:pPr>
            <w:r>
              <w:rPr>
                <w:b/>
                <w:sz w:val="20"/>
              </w:rPr>
              <w:t>Actividades</w:t>
            </w:r>
            <w:r>
              <w:br/>
            </w:r>
            <w:r>
              <w:rPr>
                <w:sz w:val="20"/>
              </w:rPr>
              <w:t>(</w:t>
            </w:r>
            <w:r>
              <w:rPr>
                <w:i/>
                <w:sz w:val="20"/>
              </w:rPr>
              <w:t>cf</w:t>
            </w:r>
            <w:r>
              <w:rPr>
                <w:sz w:val="20"/>
              </w:rPr>
              <w:t>. Artículo 2.3)</w:t>
            </w:r>
          </w:p>
        </w:tc>
        <w:tc>
          <w:tcPr>
            <w:tcW w:w="256" w:type="dxa"/>
            <w:tcBorders>
              <w:top w:val="nil"/>
              <w:bottom w:val="nil"/>
            </w:tcBorders>
          </w:tcPr>
          <w:p w14:paraId="4B0ABE04" w14:textId="77777777" w:rsidR="00CA6D23" w:rsidRPr="009E2BB5" w:rsidRDefault="00CA6D23" w:rsidP="00E167D0">
            <w:pPr>
              <w:pStyle w:val="COMParaDecision"/>
              <w:numPr>
                <w:ilvl w:val="0"/>
                <w:numId w:val="0"/>
              </w:numPr>
              <w:spacing w:before="120"/>
              <w:jc w:val="left"/>
              <w:rPr>
                <w:sz w:val="20"/>
                <w:szCs w:val="20"/>
              </w:rPr>
            </w:pPr>
          </w:p>
        </w:tc>
        <w:tc>
          <w:tcPr>
            <w:tcW w:w="7427" w:type="dxa"/>
            <w:gridSpan w:val="7"/>
          </w:tcPr>
          <w:p w14:paraId="76286C1A" w14:textId="77777777" w:rsidR="00CA6D23" w:rsidRPr="009E2BB5" w:rsidRDefault="00CA6D23" w:rsidP="00E167D0">
            <w:pPr>
              <w:pStyle w:val="COMParaDecision"/>
              <w:numPr>
                <w:ilvl w:val="0"/>
                <w:numId w:val="0"/>
              </w:numPr>
              <w:spacing w:before="120"/>
              <w:jc w:val="left"/>
              <w:rPr>
                <w:sz w:val="20"/>
                <w:szCs w:val="20"/>
              </w:rPr>
            </w:pPr>
            <w:r>
              <w:rPr>
                <w:sz w:val="20"/>
              </w:rPr>
              <w:t>Acciones para la salvaguardia del patrimonio cultural inmaterial identificadas y convenidas por las partes interesadas pertinentes, entre ellas, por ejemplo, las siguientes:</w:t>
            </w:r>
          </w:p>
          <w:p w14:paraId="07C81AAF"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identificación</w:t>
            </w:r>
          </w:p>
          <w:p w14:paraId="22B45B28"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documentación</w:t>
            </w:r>
          </w:p>
          <w:p w14:paraId="7C19CE1E"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investigación</w:t>
            </w:r>
          </w:p>
          <w:p w14:paraId="050544C5"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preservación</w:t>
            </w:r>
          </w:p>
          <w:p w14:paraId="362BF463"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protección</w:t>
            </w:r>
          </w:p>
          <w:p w14:paraId="4F4B43FE"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promoción</w:t>
            </w:r>
          </w:p>
          <w:p w14:paraId="157C52CC"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fomento</w:t>
            </w:r>
          </w:p>
          <w:p w14:paraId="5D8128AF"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transmisión, en particular, a través de la educación formal y no formal</w:t>
            </w:r>
          </w:p>
          <w:p w14:paraId="3F02B3D7"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revitalización</w:t>
            </w:r>
          </w:p>
          <w:p w14:paraId="65BA1904" w14:textId="77777777" w:rsidR="00CA6D23" w:rsidRPr="009E2BB5" w:rsidRDefault="00CA6D23" w:rsidP="00E167D0">
            <w:pPr>
              <w:pStyle w:val="COMParaDecision"/>
              <w:numPr>
                <w:ilvl w:val="0"/>
                <w:numId w:val="5"/>
              </w:numPr>
              <w:ind w:left="714" w:hanging="357"/>
              <w:jc w:val="left"/>
              <w:rPr>
                <w:sz w:val="20"/>
                <w:szCs w:val="20"/>
              </w:rPr>
            </w:pPr>
            <w:r>
              <w:rPr>
                <w:sz w:val="20"/>
              </w:rPr>
              <w:t>[</w:t>
            </w:r>
            <w:r>
              <w:rPr>
                <w:sz w:val="20"/>
                <w:cs/>
              </w:rPr>
              <w:t>…</w:t>
            </w:r>
            <w:r>
              <w:rPr>
                <w:sz w:val="20"/>
              </w:rPr>
              <w:t>]</w:t>
            </w:r>
          </w:p>
        </w:tc>
      </w:tr>
      <w:tr w:rsidR="00CA6D23" w:rsidRPr="00CC6752" w14:paraId="1812D809" w14:textId="77777777" w:rsidTr="00A30A16">
        <w:trPr>
          <w:trHeight w:val="80"/>
        </w:trPr>
        <w:tc>
          <w:tcPr>
            <w:tcW w:w="1384" w:type="dxa"/>
            <w:tcBorders>
              <w:left w:val="nil"/>
              <w:right w:val="nil"/>
            </w:tcBorders>
          </w:tcPr>
          <w:p w14:paraId="5E3136C5"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210F1888" w14:textId="77777777" w:rsidR="00CA6D23" w:rsidRPr="009E2BB5" w:rsidRDefault="00CA6D23" w:rsidP="00E167D0">
            <w:pPr>
              <w:pStyle w:val="COMParaDecision"/>
              <w:numPr>
                <w:ilvl w:val="0"/>
                <w:numId w:val="0"/>
              </w:numPr>
              <w:spacing w:after="0" w:line="60" w:lineRule="exact"/>
              <w:jc w:val="left"/>
              <w:rPr>
                <w:sz w:val="20"/>
                <w:szCs w:val="20"/>
              </w:rPr>
            </w:pPr>
          </w:p>
        </w:tc>
        <w:tc>
          <w:tcPr>
            <w:tcW w:w="3849" w:type="dxa"/>
            <w:gridSpan w:val="3"/>
            <w:tcBorders>
              <w:left w:val="nil"/>
              <w:right w:val="nil"/>
            </w:tcBorders>
          </w:tcPr>
          <w:p w14:paraId="5B2CE1A3" w14:textId="77777777" w:rsidR="00CA6D23" w:rsidRPr="009E2BB5" w:rsidRDefault="00CA6D23" w:rsidP="00E167D0">
            <w:pPr>
              <w:pStyle w:val="COMParaDecision"/>
              <w:numPr>
                <w:ilvl w:val="0"/>
                <w:numId w:val="0"/>
              </w:numPr>
              <w:spacing w:after="0" w:line="60" w:lineRule="exact"/>
              <w:jc w:val="left"/>
              <w:rPr>
                <w:sz w:val="20"/>
                <w:szCs w:val="20"/>
              </w:rPr>
            </w:pPr>
          </w:p>
        </w:tc>
        <w:tc>
          <w:tcPr>
            <w:tcW w:w="3578" w:type="dxa"/>
            <w:gridSpan w:val="4"/>
            <w:tcBorders>
              <w:left w:val="nil"/>
              <w:right w:val="nil"/>
            </w:tcBorders>
          </w:tcPr>
          <w:p w14:paraId="63D907F3" w14:textId="77777777" w:rsidR="00CA6D23" w:rsidRPr="009E2BB5" w:rsidRDefault="00CA6D23" w:rsidP="00E167D0">
            <w:pPr>
              <w:pStyle w:val="COMParaDecision"/>
              <w:numPr>
                <w:ilvl w:val="0"/>
                <w:numId w:val="0"/>
              </w:numPr>
              <w:spacing w:after="0" w:line="60" w:lineRule="exact"/>
              <w:jc w:val="left"/>
              <w:rPr>
                <w:sz w:val="20"/>
                <w:szCs w:val="20"/>
              </w:rPr>
            </w:pPr>
          </w:p>
        </w:tc>
      </w:tr>
      <w:tr w:rsidR="00CA6D23" w:rsidRPr="00CC6752" w14:paraId="6F32E669" w14:textId="77777777" w:rsidTr="00A30A16">
        <w:tc>
          <w:tcPr>
            <w:tcW w:w="1384" w:type="dxa"/>
          </w:tcPr>
          <w:p w14:paraId="25F6942F" w14:textId="77777777" w:rsidR="00CA6D23" w:rsidRPr="009E2BB5" w:rsidRDefault="00CA6D23" w:rsidP="00E167D0">
            <w:pPr>
              <w:pStyle w:val="COMParaDecision"/>
              <w:numPr>
                <w:ilvl w:val="0"/>
                <w:numId w:val="0"/>
              </w:numPr>
              <w:spacing w:before="120"/>
              <w:jc w:val="left"/>
              <w:rPr>
                <w:b/>
                <w:sz w:val="20"/>
                <w:szCs w:val="20"/>
              </w:rPr>
            </w:pPr>
            <w:r>
              <w:rPr>
                <w:b/>
                <w:sz w:val="20"/>
              </w:rPr>
              <w:t>Productos</w:t>
            </w:r>
            <w:r>
              <w:br/>
            </w:r>
            <w:r>
              <w:rPr>
                <w:sz w:val="20"/>
              </w:rPr>
              <w:t>(</w:t>
            </w:r>
            <w:r>
              <w:rPr>
                <w:i/>
                <w:sz w:val="20"/>
              </w:rPr>
              <w:t>cf</w:t>
            </w:r>
            <w:r>
              <w:rPr>
                <w:sz w:val="20"/>
              </w:rPr>
              <w:t>. Artículos 11 a 18; 23)</w:t>
            </w:r>
          </w:p>
        </w:tc>
        <w:tc>
          <w:tcPr>
            <w:tcW w:w="256" w:type="dxa"/>
            <w:tcBorders>
              <w:top w:val="nil"/>
              <w:bottom w:val="nil"/>
            </w:tcBorders>
          </w:tcPr>
          <w:p w14:paraId="7F9F8A6A" w14:textId="77777777" w:rsidR="00CA6D23" w:rsidRPr="009E2BB5" w:rsidRDefault="00CA6D23" w:rsidP="00E167D0">
            <w:pPr>
              <w:pStyle w:val="COMParaDecision"/>
              <w:numPr>
                <w:ilvl w:val="0"/>
                <w:numId w:val="0"/>
              </w:numPr>
              <w:spacing w:before="120"/>
              <w:jc w:val="left"/>
              <w:rPr>
                <w:sz w:val="20"/>
                <w:szCs w:val="20"/>
              </w:rPr>
            </w:pPr>
          </w:p>
        </w:tc>
        <w:tc>
          <w:tcPr>
            <w:tcW w:w="7427" w:type="dxa"/>
            <w:gridSpan w:val="7"/>
          </w:tcPr>
          <w:p w14:paraId="268DFF51" w14:textId="77777777" w:rsidR="00CA6D23" w:rsidRPr="009E2BB5" w:rsidRDefault="00CA6D23" w:rsidP="00E167D0">
            <w:pPr>
              <w:pStyle w:val="COMParaDecision"/>
              <w:numPr>
                <w:ilvl w:val="0"/>
                <w:numId w:val="0"/>
              </w:numPr>
              <w:spacing w:before="120"/>
              <w:jc w:val="left"/>
              <w:rPr>
                <w:sz w:val="20"/>
                <w:szCs w:val="20"/>
              </w:rPr>
            </w:pPr>
            <w:r>
              <w:rPr>
                <w:sz w:val="20"/>
              </w:rPr>
              <w:t>Acciones implementadas por las partes interesadas pertinentes, identificadas y convenidas, como las siguientes:</w:t>
            </w:r>
          </w:p>
          <w:p w14:paraId="3088952D"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inventarios</w:t>
            </w:r>
          </w:p>
          <w:p w14:paraId="02CFB585"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políticas</w:t>
            </w:r>
          </w:p>
          <w:p w14:paraId="75735E72"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marcos institucionales</w:t>
            </w:r>
          </w:p>
          <w:p w14:paraId="65FB1EEB"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estudios científicos, técnicos y artísticos</w:t>
            </w:r>
          </w:p>
          <w:p w14:paraId="6DDE16AD"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programas de educación, capacitación, sensibilización e información</w:t>
            </w:r>
          </w:p>
          <w:p w14:paraId="7C18EDF8"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 xml:space="preserve">programas de fortalecimiento de capacidades </w:t>
            </w:r>
          </w:p>
          <w:p w14:paraId="636E3E80" w14:textId="77777777" w:rsidR="00CA6D23" w:rsidRPr="009E2BB5" w:rsidRDefault="00CA6D23" w:rsidP="00E167D0">
            <w:pPr>
              <w:pStyle w:val="COMParaDecision"/>
              <w:numPr>
                <w:ilvl w:val="0"/>
                <w:numId w:val="5"/>
              </w:numPr>
              <w:spacing w:after="0"/>
              <w:ind w:left="714" w:hanging="357"/>
              <w:jc w:val="left"/>
              <w:rPr>
                <w:sz w:val="20"/>
                <w:szCs w:val="20"/>
              </w:rPr>
            </w:pPr>
            <w:r>
              <w:rPr>
                <w:sz w:val="20"/>
              </w:rPr>
              <w:t>participación en los mecanismos internacionales de la Convención</w:t>
            </w:r>
          </w:p>
          <w:p w14:paraId="176094A3" w14:textId="77777777" w:rsidR="00CA6D23" w:rsidRPr="009E2BB5" w:rsidRDefault="00CA6D23" w:rsidP="00E167D0">
            <w:pPr>
              <w:pStyle w:val="COMParaDecision"/>
              <w:numPr>
                <w:ilvl w:val="0"/>
                <w:numId w:val="5"/>
              </w:numPr>
              <w:ind w:left="714" w:hanging="357"/>
              <w:jc w:val="left"/>
              <w:rPr>
                <w:sz w:val="20"/>
                <w:szCs w:val="20"/>
              </w:rPr>
            </w:pPr>
            <w:r>
              <w:rPr>
                <w:sz w:val="20"/>
              </w:rPr>
              <w:t>[</w:t>
            </w:r>
            <w:r>
              <w:rPr>
                <w:sz w:val="20"/>
                <w:cs/>
              </w:rPr>
              <w:t>…</w:t>
            </w:r>
            <w:r>
              <w:rPr>
                <w:sz w:val="20"/>
              </w:rPr>
              <w:t>]</w:t>
            </w:r>
          </w:p>
        </w:tc>
      </w:tr>
      <w:tr w:rsidR="00CA6D23" w:rsidRPr="00CC6752" w14:paraId="1535FBEC" w14:textId="77777777" w:rsidTr="00A30A16">
        <w:trPr>
          <w:trHeight w:val="80"/>
        </w:trPr>
        <w:tc>
          <w:tcPr>
            <w:tcW w:w="1384" w:type="dxa"/>
            <w:tcBorders>
              <w:left w:val="nil"/>
              <w:right w:val="nil"/>
            </w:tcBorders>
          </w:tcPr>
          <w:p w14:paraId="0EBE4900"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35034C68" w14:textId="77777777" w:rsidR="00CA6D23" w:rsidRPr="009E2BB5" w:rsidRDefault="00CA6D23" w:rsidP="00E167D0">
            <w:pPr>
              <w:pStyle w:val="COMParaDecision"/>
              <w:numPr>
                <w:ilvl w:val="0"/>
                <w:numId w:val="0"/>
              </w:numPr>
              <w:spacing w:after="0" w:line="60" w:lineRule="exact"/>
              <w:jc w:val="left"/>
              <w:rPr>
                <w:sz w:val="20"/>
                <w:szCs w:val="20"/>
              </w:rPr>
            </w:pPr>
          </w:p>
        </w:tc>
        <w:tc>
          <w:tcPr>
            <w:tcW w:w="3849" w:type="dxa"/>
            <w:gridSpan w:val="3"/>
            <w:tcBorders>
              <w:left w:val="nil"/>
              <w:right w:val="nil"/>
            </w:tcBorders>
          </w:tcPr>
          <w:p w14:paraId="5A970F97" w14:textId="77777777" w:rsidR="00CA6D23" w:rsidRPr="009E2BB5" w:rsidRDefault="00CA6D23" w:rsidP="00E167D0">
            <w:pPr>
              <w:pStyle w:val="COMParaDecision"/>
              <w:numPr>
                <w:ilvl w:val="0"/>
                <w:numId w:val="0"/>
              </w:numPr>
              <w:spacing w:after="0" w:line="60" w:lineRule="exact"/>
              <w:jc w:val="left"/>
              <w:rPr>
                <w:sz w:val="20"/>
                <w:szCs w:val="20"/>
              </w:rPr>
            </w:pPr>
          </w:p>
        </w:tc>
        <w:tc>
          <w:tcPr>
            <w:tcW w:w="3578" w:type="dxa"/>
            <w:gridSpan w:val="4"/>
            <w:tcBorders>
              <w:left w:val="nil"/>
              <w:bottom w:val="nil"/>
              <w:right w:val="nil"/>
            </w:tcBorders>
          </w:tcPr>
          <w:p w14:paraId="703DFD94" w14:textId="77777777" w:rsidR="00CA6D23" w:rsidRPr="009E2BB5" w:rsidRDefault="00CA6D23" w:rsidP="00E167D0">
            <w:pPr>
              <w:pStyle w:val="COMParaDecision"/>
              <w:numPr>
                <w:ilvl w:val="0"/>
                <w:numId w:val="0"/>
              </w:numPr>
              <w:spacing w:after="0" w:line="60" w:lineRule="exact"/>
              <w:jc w:val="left"/>
              <w:rPr>
                <w:sz w:val="20"/>
                <w:szCs w:val="20"/>
              </w:rPr>
            </w:pPr>
          </w:p>
        </w:tc>
      </w:tr>
      <w:tr w:rsidR="00CA6D23" w:rsidRPr="00CC6752" w14:paraId="40265498" w14:textId="77777777" w:rsidTr="00A30A16">
        <w:trPr>
          <w:trHeight w:val="283"/>
        </w:trPr>
        <w:tc>
          <w:tcPr>
            <w:tcW w:w="1384" w:type="dxa"/>
          </w:tcPr>
          <w:p w14:paraId="530E489A" w14:textId="77777777" w:rsidR="00CA6D23" w:rsidRPr="009E2BB5" w:rsidRDefault="00CA6D23" w:rsidP="00E167D0">
            <w:pPr>
              <w:pStyle w:val="COMParaDecision"/>
              <w:numPr>
                <w:ilvl w:val="0"/>
                <w:numId w:val="0"/>
              </w:numPr>
              <w:spacing w:before="120"/>
              <w:jc w:val="left"/>
              <w:rPr>
                <w:b/>
                <w:sz w:val="20"/>
                <w:szCs w:val="20"/>
              </w:rPr>
            </w:pPr>
            <w:r>
              <w:rPr>
                <w:b/>
                <w:sz w:val="20"/>
              </w:rPr>
              <w:t>Resultados a corto plazo</w:t>
            </w:r>
          </w:p>
        </w:tc>
        <w:tc>
          <w:tcPr>
            <w:tcW w:w="256" w:type="dxa"/>
            <w:tcBorders>
              <w:top w:val="nil"/>
              <w:bottom w:val="nil"/>
            </w:tcBorders>
          </w:tcPr>
          <w:p w14:paraId="66041ACD" w14:textId="77777777" w:rsidR="00CA6D23" w:rsidRPr="009E2BB5" w:rsidRDefault="00CA6D23" w:rsidP="00E167D0">
            <w:pPr>
              <w:pStyle w:val="COMParaDecision"/>
              <w:numPr>
                <w:ilvl w:val="0"/>
                <w:numId w:val="0"/>
              </w:numPr>
              <w:spacing w:before="120"/>
              <w:jc w:val="left"/>
              <w:rPr>
                <w:sz w:val="20"/>
                <w:szCs w:val="20"/>
              </w:rPr>
            </w:pPr>
          </w:p>
        </w:tc>
        <w:tc>
          <w:tcPr>
            <w:tcW w:w="3849" w:type="dxa"/>
            <w:gridSpan w:val="3"/>
          </w:tcPr>
          <w:p w14:paraId="46852907" w14:textId="77777777" w:rsidR="00CA6D23" w:rsidRPr="009E2BB5" w:rsidRDefault="00CA6D23" w:rsidP="00E167D0">
            <w:pPr>
              <w:pStyle w:val="COMParaDecision"/>
              <w:numPr>
                <w:ilvl w:val="0"/>
                <w:numId w:val="0"/>
              </w:numPr>
              <w:spacing w:before="120"/>
              <w:jc w:val="left"/>
              <w:rPr>
                <w:sz w:val="20"/>
                <w:szCs w:val="20"/>
              </w:rPr>
            </w:pPr>
            <w:r>
              <w:rPr>
                <w:sz w:val="20"/>
              </w:rPr>
              <w:t>Reforzar las capacidades para apoyar la salvaguardia del patrimonio cultural inmaterial en general</w:t>
            </w:r>
          </w:p>
        </w:tc>
        <w:tc>
          <w:tcPr>
            <w:tcW w:w="236" w:type="dxa"/>
            <w:tcBorders>
              <w:top w:val="nil"/>
              <w:bottom w:val="nil"/>
            </w:tcBorders>
          </w:tcPr>
          <w:p w14:paraId="7D83C35C" w14:textId="77777777" w:rsidR="00CA6D23" w:rsidRPr="00CC6752" w:rsidRDefault="00CA6D23" w:rsidP="00E167D0">
            <w:pPr>
              <w:rPr>
                <w:rFonts w:ascii="Arial" w:hAnsi="Arial"/>
                <w:sz w:val="20"/>
                <w:szCs w:val="20"/>
              </w:rPr>
            </w:pPr>
          </w:p>
        </w:tc>
        <w:tc>
          <w:tcPr>
            <w:tcW w:w="3342" w:type="dxa"/>
            <w:gridSpan w:val="3"/>
          </w:tcPr>
          <w:p w14:paraId="42EAAE1D" w14:textId="77777777" w:rsidR="00CA6D23" w:rsidRPr="009E2BB5" w:rsidRDefault="00CA6D23" w:rsidP="00E167D0">
            <w:pPr>
              <w:pStyle w:val="COMParaDecision"/>
              <w:numPr>
                <w:ilvl w:val="0"/>
                <w:numId w:val="0"/>
              </w:numPr>
              <w:spacing w:before="120"/>
              <w:jc w:val="left"/>
              <w:rPr>
                <w:sz w:val="20"/>
                <w:szCs w:val="20"/>
              </w:rPr>
            </w:pPr>
            <w:r>
              <w:rPr>
                <w:sz w:val="20"/>
              </w:rPr>
              <w:t>Reforzar las capacidades para implementar medidas o planes de salvaguardia para elementos específicos del patrimonio cultural inmaterial</w:t>
            </w:r>
          </w:p>
        </w:tc>
        <w:bookmarkStart w:id="0" w:name="_GoBack"/>
        <w:bookmarkEnd w:id="0"/>
      </w:tr>
      <w:tr w:rsidR="00CA6D23" w:rsidRPr="00CC6752" w14:paraId="1D5C1695" w14:textId="77777777" w:rsidTr="00A30A16">
        <w:trPr>
          <w:trHeight w:val="80"/>
        </w:trPr>
        <w:tc>
          <w:tcPr>
            <w:tcW w:w="1384" w:type="dxa"/>
            <w:tcBorders>
              <w:left w:val="nil"/>
              <w:right w:val="nil"/>
            </w:tcBorders>
          </w:tcPr>
          <w:p w14:paraId="19881EB1"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160E2D1E" w14:textId="77777777" w:rsidR="00CA6D23" w:rsidRPr="009E2BB5" w:rsidRDefault="00CA6D23" w:rsidP="00E167D0">
            <w:pPr>
              <w:pStyle w:val="COMParaDecision"/>
              <w:numPr>
                <w:ilvl w:val="0"/>
                <w:numId w:val="0"/>
              </w:numPr>
              <w:spacing w:after="0" w:line="60" w:lineRule="exact"/>
              <w:jc w:val="left"/>
              <w:rPr>
                <w:sz w:val="20"/>
                <w:szCs w:val="20"/>
              </w:rPr>
            </w:pPr>
          </w:p>
        </w:tc>
        <w:tc>
          <w:tcPr>
            <w:tcW w:w="3849" w:type="dxa"/>
            <w:gridSpan w:val="3"/>
            <w:tcBorders>
              <w:left w:val="nil"/>
              <w:right w:val="nil"/>
            </w:tcBorders>
          </w:tcPr>
          <w:p w14:paraId="38E58FF2" w14:textId="77777777" w:rsidR="00CA6D23" w:rsidRPr="009E2BB5" w:rsidRDefault="00CA6D23" w:rsidP="00E167D0">
            <w:pPr>
              <w:pStyle w:val="COMParaDecision"/>
              <w:numPr>
                <w:ilvl w:val="0"/>
                <w:numId w:val="0"/>
              </w:numPr>
              <w:spacing w:after="0" w:line="60" w:lineRule="exact"/>
              <w:jc w:val="center"/>
              <w:rPr>
                <w:sz w:val="20"/>
                <w:szCs w:val="20"/>
              </w:rPr>
            </w:pPr>
          </w:p>
        </w:tc>
        <w:tc>
          <w:tcPr>
            <w:tcW w:w="3578" w:type="dxa"/>
            <w:gridSpan w:val="4"/>
            <w:tcBorders>
              <w:top w:val="nil"/>
              <w:left w:val="nil"/>
              <w:bottom w:val="nil"/>
            </w:tcBorders>
          </w:tcPr>
          <w:p w14:paraId="59D00BA8" w14:textId="77777777" w:rsidR="00CA6D23" w:rsidRPr="009E2BB5" w:rsidRDefault="00CA6D23" w:rsidP="00E167D0">
            <w:pPr>
              <w:pStyle w:val="COMParaDecision"/>
              <w:numPr>
                <w:ilvl w:val="0"/>
                <w:numId w:val="0"/>
              </w:numPr>
              <w:spacing w:after="0" w:line="60" w:lineRule="exact"/>
              <w:jc w:val="left"/>
              <w:rPr>
                <w:sz w:val="20"/>
                <w:szCs w:val="20"/>
              </w:rPr>
            </w:pPr>
          </w:p>
        </w:tc>
      </w:tr>
      <w:tr w:rsidR="00CA6D23" w:rsidRPr="00CC6752" w14:paraId="4688ED48" w14:textId="77777777" w:rsidTr="00A30A16">
        <w:trPr>
          <w:trHeight w:val="283"/>
        </w:trPr>
        <w:tc>
          <w:tcPr>
            <w:tcW w:w="1384" w:type="dxa"/>
          </w:tcPr>
          <w:p w14:paraId="70DB10D7" w14:textId="77777777" w:rsidR="00CA6D23" w:rsidRPr="009E2BB5" w:rsidRDefault="00CA6D23" w:rsidP="00E167D0">
            <w:pPr>
              <w:pStyle w:val="COMParaDecision"/>
              <w:numPr>
                <w:ilvl w:val="0"/>
                <w:numId w:val="0"/>
              </w:numPr>
              <w:spacing w:before="120"/>
              <w:jc w:val="left"/>
              <w:rPr>
                <w:b/>
                <w:sz w:val="20"/>
                <w:szCs w:val="20"/>
              </w:rPr>
            </w:pPr>
            <w:r>
              <w:rPr>
                <w:b/>
                <w:sz w:val="20"/>
              </w:rPr>
              <w:t xml:space="preserve">Resultados a mediano </w:t>
            </w:r>
            <w:r>
              <w:rPr>
                <w:b/>
                <w:sz w:val="20"/>
              </w:rPr>
              <w:lastRenderedPageBreak/>
              <w:t>plazo</w:t>
            </w:r>
          </w:p>
        </w:tc>
        <w:tc>
          <w:tcPr>
            <w:tcW w:w="256" w:type="dxa"/>
            <w:tcBorders>
              <w:top w:val="nil"/>
              <w:bottom w:val="nil"/>
            </w:tcBorders>
          </w:tcPr>
          <w:p w14:paraId="1F220995" w14:textId="77777777" w:rsidR="00CA6D23" w:rsidRPr="009E2BB5" w:rsidRDefault="00CA6D23" w:rsidP="00E167D0">
            <w:pPr>
              <w:pStyle w:val="COMParaDecision"/>
              <w:numPr>
                <w:ilvl w:val="0"/>
                <w:numId w:val="0"/>
              </w:numPr>
              <w:spacing w:before="120"/>
              <w:jc w:val="left"/>
              <w:rPr>
                <w:sz w:val="20"/>
                <w:szCs w:val="20"/>
              </w:rPr>
            </w:pPr>
          </w:p>
        </w:tc>
        <w:tc>
          <w:tcPr>
            <w:tcW w:w="3849" w:type="dxa"/>
            <w:gridSpan w:val="3"/>
          </w:tcPr>
          <w:p w14:paraId="77D66E2B" w14:textId="77777777" w:rsidR="00CA6D23" w:rsidRPr="009E2BB5" w:rsidRDefault="00CA6D23" w:rsidP="00E167D0">
            <w:pPr>
              <w:pStyle w:val="COMParaDecision"/>
              <w:numPr>
                <w:ilvl w:val="0"/>
                <w:numId w:val="0"/>
              </w:numPr>
              <w:spacing w:before="120"/>
              <w:jc w:val="left"/>
              <w:rPr>
                <w:sz w:val="20"/>
                <w:szCs w:val="20"/>
              </w:rPr>
            </w:pPr>
            <w:r>
              <w:rPr>
                <w:sz w:val="20"/>
              </w:rPr>
              <w:t>Construcción de relaciones eficaces entre diversas comunidades, grupos e individuos</w:t>
            </w:r>
            <w:r w:rsidR="00D72BE9">
              <w:rPr>
                <w:sz w:val="20"/>
              </w:rPr>
              <w:t>,</w:t>
            </w:r>
            <w:r>
              <w:rPr>
                <w:sz w:val="20"/>
              </w:rPr>
              <w:t xml:space="preserve"> así como con otros actores </w:t>
            </w:r>
            <w:r>
              <w:rPr>
                <w:sz w:val="20"/>
              </w:rPr>
              <w:lastRenderedPageBreak/>
              <w:t>para la salvaguardia del patrimonio cultural inmaterial</w:t>
            </w:r>
          </w:p>
        </w:tc>
        <w:tc>
          <w:tcPr>
            <w:tcW w:w="236" w:type="dxa"/>
            <w:tcBorders>
              <w:top w:val="nil"/>
              <w:bottom w:val="nil"/>
            </w:tcBorders>
          </w:tcPr>
          <w:p w14:paraId="784D6E0A" w14:textId="77777777" w:rsidR="00CA6D23" w:rsidRPr="00CC6752" w:rsidRDefault="00CA6D23" w:rsidP="00E167D0">
            <w:pPr>
              <w:rPr>
                <w:rFonts w:ascii="Arial" w:hAnsi="Arial"/>
                <w:sz w:val="20"/>
                <w:szCs w:val="20"/>
              </w:rPr>
            </w:pPr>
          </w:p>
        </w:tc>
        <w:tc>
          <w:tcPr>
            <w:tcW w:w="3342" w:type="dxa"/>
            <w:gridSpan w:val="3"/>
          </w:tcPr>
          <w:p w14:paraId="4D8370BD" w14:textId="77777777" w:rsidR="00CA6D23" w:rsidRPr="009E2BB5" w:rsidRDefault="00CA6D23" w:rsidP="00E167D0">
            <w:pPr>
              <w:pStyle w:val="COMParaDecision"/>
              <w:numPr>
                <w:ilvl w:val="0"/>
                <w:numId w:val="0"/>
              </w:numPr>
              <w:spacing w:before="120"/>
              <w:jc w:val="left"/>
              <w:rPr>
                <w:sz w:val="20"/>
                <w:szCs w:val="20"/>
              </w:rPr>
            </w:pPr>
            <w:r>
              <w:rPr>
                <w:sz w:val="20"/>
              </w:rPr>
              <w:t xml:space="preserve">Desarrollo y aplicación efectiva de medidas o planes de salvaguardia para elementos específicos del </w:t>
            </w:r>
            <w:r>
              <w:rPr>
                <w:sz w:val="20"/>
              </w:rPr>
              <w:lastRenderedPageBreak/>
              <w:t>patrimonio cultural inmaterial de diversas comunidades, grupos e individuos</w:t>
            </w:r>
          </w:p>
        </w:tc>
      </w:tr>
      <w:tr w:rsidR="00CA6D23" w:rsidRPr="00CC6752" w14:paraId="6478A28C" w14:textId="77777777" w:rsidTr="00A30A16">
        <w:trPr>
          <w:trHeight w:val="80"/>
        </w:trPr>
        <w:tc>
          <w:tcPr>
            <w:tcW w:w="1384" w:type="dxa"/>
            <w:tcBorders>
              <w:left w:val="nil"/>
              <w:right w:val="nil"/>
            </w:tcBorders>
          </w:tcPr>
          <w:p w14:paraId="0E03CF35"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4330D4E2" w14:textId="77777777" w:rsidR="00CA6D23" w:rsidRPr="009E2BB5" w:rsidRDefault="00CA6D23" w:rsidP="00E167D0">
            <w:pPr>
              <w:pStyle w:val="COMParaDecision"/>
              <w:numPr>
                <w:ilvl w:val="0"/>
                <w:numId w:val="0"/>
              </w:numPr>
              <w:spacing w:after="0" w:line="60" w:lineRule="exact"/>
              <w:jc w:val="left"/>
              <w:rPr>
                <w:sz w:val="20"/>
                <w:szCs w:val="20"/>
              </w:rPr>
            </w:pPr>
          </w:p>
        </w:tc>
        <w:tc>
          <w:tcPr>
            <w:tcW w:w="3849" w:type="dxa"/>
            <w:gridSpan w:val="3"/>
            <w:tcBorders>
              <w:left w:val="nil"/>
              <w:bottom w:val="nil"/>
              <w:right w:val="nil"/>
            </w:tcBorders>
          </w:tcPr>
          <w:p w14:paraId="4363B785" w14:textId="77777777" w:rsidR="00CA6D23" w:rsidRPr="009E2BB5" w:rsidRDefault="00CA6D23" w:rsidP="00E167D0">
            <w:pPr>
              <w:pStyle w:val="COMParaDecision"/>
              <w:numPr>
                <w:ilvl w:val="0"/>
                <w:numId w:val="0"/>
              </w:numPr>
              <w:spacing w:after="0" w:line="60" w:lineRule="exact"/>
              <w:jc w:val="left"/>
              <w:rPr>
                <w:sz w:val="20"/>
                <w:szCs w:val="20"/>
              </w:rPr>
            </w:pPr>
          </w:p>
        </w:tc>
        <w:tc>
          <w:tcPr>
            <w:tcW w:w="3578" w:type="dxa"/>
            <w:gridSpan w:val="4"/>
            <w:tcBorders>
              <w:top w:val="nil"/>
              <w:left w:val="nil"/>
              <w:bottom w:val="nil"/>
              <w:right w:val="nil"/>
            </w:tcBorders>
          </w:tcPr>
          <w:p w14:paraId="638445DA" w14:textId="77777777" w:rsidR="00CA6D23" w:rsidRPr="009E2BB5" w:rsidRDefault="00CA6D23" w:rsidP="00E167D0">
            <w:pPr>
              <w:pStyle w:val="COMParaDecision"/>
              <w:numPr>
                <w:ilvl w:val="0"/>
                <w:numId w:val="0"/>
              </w:numPr>
              <w:spacing w:after="0" w:line="60" w:lineRule="exact"/>
              <w:jc w:val="left"/>
              <w:rPr>
                <w:sz w:val="20"/>
                <w:szCs w:val="20"/>
              </w:rPr>
            </w:pPr>
          </w:p>
        </w:tc>
      </w:tr>
      <w:tr w:rsidR="00CA6D23" w:rsidRPr="00CC6752" w14:paraId="3C892F40" w14:textId="77777777" w:rsidTr="00A30A16">
        <w:trPr>
          <w:trHeight w:val="113"/>
        </w:trPr>
        <w:tc>
          <w:tcPr>
            <w:tcW w:w="1384" w:type="dxa"/>
          </w:tcPr>
          <w:p w14:paraId="0300B359" w14:textId="77777777" w:rsidR="00CA6D23" w:rsidRPr="009E2BB5" w:rsidRDefault="00CA6D23" w:rsidP="00E167D0">
            <w:pPr>
              <w:pStyle w:val="COMParaDecision"/>
              <w:numPr>
                <w:ilvl w:val="0"/>
                <w:numId w:val="0"/>
              </w:numPr>
              <w:spacing w:before="120"/>
              <w:jc w:val="left"/>
              <w:rPr>
                <w:b/>
                <w:sz w:val="20"/>
                <w:szCs w:val="20"/>
              </w:rPr>
            </w:pPr>
            <w:r>
              <w:rPr>
                <w:b/>
                <w:sz w:val="20"/>
              </w:rPr>
              <w:t>Resultados a largo plazo</w:t>
            </w:r>
            <w:r>
              <w:br/>
            </w:r>
            <w:r>
              <w:rPr>
                <w:sz w:val="20"/>
              </w:rPr>
              <w:t>(</w:t>
            </w:r>
            <w:r>
              <w:rPr>
                <w:i/>
                <w:sz w:val="20"/>
              </w:rPr>
              <w:t>cf</w:t>
            </w:r>
            <w:r>
              <w:rPr>
                <w:sz w:val="20"/>
              </w:rPr>
              <w:t>. Artículo 1)</w:t>
            </w:r>
          </w:p>
        </w:tc>
        <w:tc>
          <w:tcPr>
            <w:tcW w:w="256" w:type="dxa"/>
            <w:tcBorders>
              <w:top w:val="nil"/>
              <w:bottom w:val="nil"/>
            </w:tcBorders>
          </w:tcPr>
          <w:p w14:paraId="4CED12AE" w14:textId="77777777" w:rsidR="00CA6D23" w:rsidRPr="009E2BB5" w:rsidRDefault="00CA6D23" w:rsidP="00E167D0">
            <w:pPr>
              <w:pStyle w:val="COMParaDecision"/>
              <w:numPr>
                <w:ilvl w:val="0"/>
                <w:numId w:val="0"/>
              </w:numPr>
              <w:spacing w:before="120"/>
              <w:jc w:val="left"/>
              <w:rPr>
                <w:sz w:val="20"/>
                <w:szCs w:val="20"/>
              </w:rPr>
            </w:pPr>
          </w:p>
        </w:tc>
        <w:tc>
          <w:tcPr>
            <w:tcW w:w="1650" w:type="dxa"/>
          </w:tcPr>
          <w:p w14:paraId="3DF283A4" w14:textId="77777777" w:rsidR="00CA6D23" w:rsidRPr="009E2BB5" w:rsidRDefault="00CA6D23" w:rsidP="00E167D0">
            <w:pPr>
              <w:pStyle w:val="COMParaDecision"/>
              <w:numPr>
                <w:ilvl w:val="0"/>
                <w:numId w:val="0"/>
              </w:numPr>
              <w:spacing w:before="120"/>
              <w:jc w:val="left"/>
              <w:rPr>
                <w:sz w:val="20"/>
                <w:szCs w:val="20"/>
              </w:rPr>
            </w:pPr>
            <w:r>
              <w:rPr>
                <w:sz w:val="20"/>
              </w:rPr>
              <w:t>Se garantiza la práctica y la transmisión continua del patrimonio cultural inmaterial</w:t>
            </w:r>
          </w:p>
        </w:tc>
        <w:tc>
          <w:tcPr>
            <w:tcW w:w="236" w:type="dxa"/>
            <w:tcBorders>
              <w:top w:val="nil"/>
              <w:bottom w:val="nil"/>
            </w:tcBorders>
          </w:tcPr>
          <w:p w14:paraId="1BB100AC" w14:textId="77777777" w:rsidR="00CA6D23" w:rsidRPr="009E2BB5" w:rsidRDefault="00CA6D23" w:rsidP="00E167D0">
            <w:pPr>
              <w:pStyle w:val="COMParaDecision"/>
              <w:numPr>
                <w:ilvl w:val="0"/>
                <w:numId w:val="0"/>
              </w:numPr>
              <w:spacing w:before="120"/>
              <w:jc w:val="left"/>
              <w:rPr>
                <w:sz w:val="20"/>
                <w:szCs w:val="20"/>
              </w:rPr>
            </w:pPr>
          </w:p>
        </w:tc>
        <w:tc>
          <w:tcPr>
            <w:tcW w:w="1963" w:type="dxa"/>
          </w:tcPr>
          <w:p w14:paraId="70739502" w14:textId="77777777" w:rsidR="00CA6D23" w:rsidRPr="009E2BB5" w:rsidRDefault="00CA6D23" w:rsidP="00E167D0">
            <w:pPr>
              <w:pStyle w:val="COMParaDecision"/>
              <w:numPr>
                <w:ilvl w:val="0"/>
                <w:numId w:val="0"/>
              </w:numPr>
              <w:spacing w:before="120"/>
              <w:jc w:val="left"/>
              <w:rPr>
                <w:sz w:val="20"/>
                <w:szCs w:val="20"/>
              </w:rPr>
            </w:pPr>
            <w:r>
              <w:rPr>
                <w:sz w:val="20"/>
              </w:rPr>
              <w:t>Respeto de la diversidad del patrimonio cultural inmaterial</w:t>
            </w:r>
          </w:p>
        </w:tc>
        <w:tc>
          <w:tcPr>
            <w:tcW w:w="236" w:type="dxa"/>
            <w:tcBorders>
              <w:top w:val="nil"/>
              <w:bottom w:val="nil"/>
            </w:tcBorders>
          </w:tcPr>
          <w:p w14:paraId="1D28555B" w14:textId="77777777" w:rsidR="00CA6D23" w:rsidRPr="00CC6752" w:rsidRDefault="00CA6D23" w:rsidP="00E167D0">
            <w:pPr>
              <w:rPr>
                <w:rFonts w:ascii="Arial" w:hAnsi="Arial"/>
                <w:sz w:val="20"/>
                <w:szCs w:val="20"/>
              </w:rPr>
            </w:pPr>
          </w:p>
        </w:tc>
        <w:tc>
          <w:tcPr>
            <w:tcW w:w="1500" w:type="dxa"/>
          </w:tcPr>
          <w:p w14:paraId="2F5F3FA1" w14:textId="77777777" w:rsidR="00CA6D23" w:rsidRPr="009E2BB5" w:rsidRDefault="00CA6D23" w:rsidP="00E167D0">
            <w:pPr>
              <w:pStyle w:val="COMParaDecision"/>
              <w:numPr>
                <w:ilvl w:val="0"/>
                <w:numId w:val="0"/>
              </w:numPr>
              <w:spacing w:before="120"/>
              <w:jc w:val="left"/>
              <w:rPr>
                <w:sz w:val="20"/>
                <w:szCs w:val="20"/>
              </w:rPr>
            </w:pPr>
            <w:r>
              <w:rPr>
                <w:sz w:val="20"/>
              </w:rPr>
              <w:t>Reconoci</w:t>
            </w:r>
            <w:r w:rsidR="00D72BE9">
              <w:rPr>
                <w:sz w:val="20"/>
              </w:rPr>
              <w:t>-</w:t>
            </w:r>
            <w:r>
              <w:rPr>
                <w:sz w:val="20"/>
              </w:rPr>
              <w:t>miento y concientiza</w:t>
            </w:r>
            <w:r w:rsidR="00D72BE9">
              <w:rPr>
                <w:sz w:val="20"/>
              </w:rPr>
              <w:t>-</w:t>
            </w:r>
            <w:r>
              <w:rPr>
                <w:sz w:val="20"/>
              </w:rPr>
              <w:t>ción sobre la importancia del patrimonio cultural inmaterial y de su salvaguardia</w:t>
            </w:r>
          </w:p>
        </w:tc>
        <w:tc>
          <w:tcPr>
            <w:tcW w:w="283" w:type="dxa"/>
            <w:tcBorders>
              <w:top w:val="nil"/>
              <w:bottom w:val="nil"/>
            </w:tcBorders>
          </w:tcPr>
          <w:p w14:paraId="7418C679" w14:textId="77777777" w:rsidR="00CA6D23" w:rsidRPr="00CC6752" w:rsidRDefault="00CA6D23" w:rsidP="00E167D0">
            <w:pPr>
              <w:rPr>
                <w:rFonts w:ascii="Arial" w:hAnsi="Arial"/>
                <w:sz w:val="20"/>
                <w:szCs w:val="20"/>
              </w:rPr>
            </w:pPr>
          </w:p>
        </w:tc>
        <w:tc>
          <w:tcPr>
            <w:tcW w:w="1559" w:type="dxa"/>
          </w:tcPr>
          <w:p w14:paraId="7582F8A1" w14:textId="77777777" w:rsidR="00CA6D23" w:rsidRPr="009E2BB5" w:rsidRDefault="00CA6D23" w:rsidP="00E167D0">
            <w:pPr>
              <w:pStyle w:val="COMParaDecision"/>
              <w:numPr>
                <w:ilvl w:val="0"/>
                <w:numId w:val="0"/>
              </w:numPr>
              <w:spacing w:before="120"/>
              <w:jc w:val="left"/>
              <w:rPr>
                <w:sz w:val="20"/>
                <w:szCs w:val="20"/>
              </w:rPr>
            </w:pPr>
            <w:r>
              <w:rPr>
                <w:sz w:val="20"/>
              </w:rPr>
              <w:t>Mayor compromiso y fortalecimiento de la cooperación internacional para la salvaguardia entre todos los actores involucrados, a todos los niveles</w:t>
            </w:r>
          </w:p>
        </w:tc>
      </w:tr>
      <w:tr w:rsidR="00CA6D23" w:rsidRPr="00CC6752" w14:paraId="0BA15607" w14:textId="77777777" w:rsidTr="00A30A16">
        <w:trPr>
          <w:trHeight w:val="113"/>
        </w:trPr>
        <w:tc>
          <w:tcPr>
            <w:tcW w:w="1384" w:type="dxa"/>
            <w:tcBorders>
              <w:left w:val="nil"/>
              <w:right w:val="nil"/>
            </w:tcBorders>
          </w:tcPr>
          <w:p w14:paraId="75E68057" w14:textId="77777777" w:rsidR="00CA6D23" w:rsidRPr="009E2BB5" w:rsidRDefault="00CA6D23" w:rsidP="00E167D0">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tcPr>
          <w:p w14:paraId="26D67E7F" w14:textId="77777777" w:rsidR="00CA6D23" w:rsidRPr="009E2BB5" w:rsidRDefault="00CA6D23" w:rsidP="00E167D0">
            <w:pPr>
              <w:pStyle w:val="COMParaDecision"/>
              <w:numPr>
                <w:ilvl w:val="0"/>
                <w:numId w:val="0"/>
              </w:numPr>
              <w:tabs>
                <w:tab w:val="left" w:pos="1055"/>
              </w:tabs>
              <w:spacing w:after="0" w:line="60" w:lineRule="exact"/>
              <w:jc w:val="left"/>
              <w:rPr>
                <w:sz w:val="20"/>
                <w:szCs w:val="20"/>
              </w:rPr>
            </w:pPr>
          </w:p>
        </w:tc>
        <w:tc>
          <w:tcPr>
            <w:tcW w:w="3849" w:type="dxa"/>
            <w:gridSpan w:val="3"/>
            <w:tcBorders>
              <w:top w:val="nil"/>
              <w:left w:val="nil"/>
              <w:right w:val="nil"/>
            </w:tcBorders>
          </w:tcPr>
          <w:p w14:paraId="0DBF8F67" w14:textId="77777777" w:rsidR="00CA6D23" w:rsidRPr="009E2BB5" w:rsidRDefault="00CA6D23" w:rsidP="00E167D0">
            <w:pPr>
              <w:pStyle w:val="COMParaDecision"/>
              <w:numPr>
                <w:ilvl w:val="0"/>
                <w:numId w:val="0"/>
              </w:numPr>
              <w:tabs>
                <w:tab w:val="left" w:pos="1055"/>
              </w:tabs>
              <w:spacing w:after="0" w:line="60" w:lineRule="exact"/>
              <w:jc w:val="left"/>
              <w:rPr>
                <w:sz w:val="20"/>
                <w:szCs w:val="20"/>
              </w:rPr>
            </w:pPr>
            <w:r>
              <w:rPr>
                <w:sz w:val="20"/>
              </w:rPr>
              <w:tab/>
            </w:r>
          </w:p>
        </w:tc>
        <w:tc>
          <w:tcPr>
            <w:tcW w:w="3578" w:type="dxa"/>
            <w:gridSpan w:val="4"/>
            <w:tcBorders>
              <w:top w:val="nil"/>
              <w:left w:val="nil"/>
              <w:right w:val="nil"/>
            </w:tcBorders>
          </w:tcPr>
          <w:p w14:paraId="08ED1DEA" w14:textId="77777777" w:rsidR="00CA6D23" w:rsidRPr="009E2BB5" w:rsidRDefault="00CA6D23" w:rsidP="00E167D0">
            <w:pPr>
              <w:pStyle w:val="COMParaDecision"/>
              <w:numPr>
                <w:ilvl w:val="0"/>
                <w:numId w:val="0"/>
              </w:numPr>
              <w:spacing w:after="0" w:line="60" w:lineRule="exact"/>
              <w:ind w:firstLine="709"/>
              <w:jc w:val="left"/>
              <w:rPr>
                <w:sz w:val="20"/>
                <w:szCs w:val="20"/>
              </w:rPr>
            </w:pPr>
          </w:p>
        </w:tc>
      </w:tr>
      <w:tr w:rsidR="00CA6D23" w:rsidRPr="00CC6752" w14:paraId="06515D00" w14:textId="77777777" w:rsidTr="00AB7B73">
        <w:trPr>
          <w:trHeight w:val="113"/>
        </w:trPr>
        <w:tc>
          <w:tcPr>
            <w:tcW w:w="1384" w:type="dxa"/>
          </w:tcPr>
          <w:p w14:paraId="476E10FA" w14:textId="77777777" w:rsidR="00CA6D23" w:rsidRPr="009E2BB5" w:rsidRDefault="00CA6D23" w:rsidP="00E167D0">
            <w:pPr>
              <w:pStyle w:val="COMParaDecision"/>
              <w:numPr>
                <w:ilvl w:val="0"/>
                <w:numId w:val="0"/>
              </w:numPr>
              <w:spacing w:before="120"/>
              <w:jc w:val="left"/>
              <w:rPr>
                <w:b/>
                <w:sz w:val="20"/>
                <w:szCs w:val="20"/>
              </w:rPr>
            </w:pPr>
            <w:r>
              <w:rPr>
                <w:b/>
                <w:sz w:val="20"/>
              </w:rPr>
              <w:t>Impactos</w:t>
            </w:r>
          </w:p>
        </w:tc>
        <w:tc>
          <w:tcPr>
            <w:tcW w:w="256" w:type="dxa"/>
            <w:tcBorders>
              <w:top w:val="nil"/>
              <w:bottom w:val="nil"/>
            </w:tcBorders>
          </w:tcPr>
          <w:p w14:paraId="648E16C4" w14:textId="77777777" w:rsidR="00CA6D23" w:rsidRPr="009E2BB5" w:rsidRDefault="00CA6D23" w:rsidP="00E167D0">
            <w:pPr>
              <w:pStyle w:val="COMParaDecision"/>
              <w:numPr>
                <w:ilvl w:val="0"/>
                <w:numId w:val="0"/>
              </w:numPr>
              <w:tabs>
                <w:tab w:val="left" w:pos="1055"/>
              </w:tabs>
              <w:spacing w:after="0"/>
              <w:jc w:val="left"/>
              <w:rPr>
                <w:sz w:val="20"/>
                <w:szCs w:val="20"/>
              </w:rPr>
            </w:pPr>
          </w:p>
        </w:tc>
        <w:tc>
          <w:tcPr>
            <w:tcW w:w="7427" w:type="dxa"/>
            <w:gridSpan w:val="7"/>
          </w:tcPr>
          <w:p w14:paraId="3A0C5623" w14:textId="77777777" w:rsidR="00CA6D23" w:rsidRPr="009E2BB5" w:rsidRDefault="00CA6D23" w:rsidP="00E167D0">
            <w:pPr>
              <w:pStyle w:val="COMParaDecision"/>
              <w:numPr>
                <w:ilvl w:val="0"/>
                <w:numId w:val="0"/>
              </w:numPr>
              <w:spacing w:before="120"/>
              <w:jc w:val="left"/>
              <w:rPr>
                <w:sz w:val="20"/>
                <w:szCs w:val="20"/>
              </w:rPr>
            </w:pPr>
            <w:r>
              <w:rPr>
                <w:sz w:val="20"/>
              </w:rPr>
              <w:t>El patrimonio cultural inmaterial es salvaguardado por las comunidades, los grupos e individuos, mismos que lo practican activamente y lo custodian, contribuyendo así al desarrollo sostenible para el bienestar humano, la dignidad y la creatividad en sociedades inclusivas y pacíficas</w:t>
            </w:r>
          </w:p>
        </w:tc>
      </w:tr>
    </w:tbl>
    <w:p w14:paraId="7A698C22" w14:textId="77777777" w:rsidR="00CA6D23" w:rsidRPr="009E2BB5" w:rsidRDefault="00CA6D23" w:rsidP="002E4603">
      <w:pPr>
        <w:pStyle w:val="Footnote"/>
        <w:spacing w:line="276" w:lineRule="auto"/>
        <w:ind w:left="0" w:firstLine="0"/>
        <w:jc w:val="both"/>
      </w:pPr>
    </w:p>
    <w:p w14:paraId="3E31EAF7" w14:textId="77777777" w:rsidR="00CA6D23" w:rsidRPr="00D91F47" w:rsidRDefault="00CA6D23" w:rsidP="00D91F47">
      <w:pPr>
        <w:pStyle w:val="Para"/>
      </w:pPr>
      <w:r>
        <w:t>Los distintos niveles puede</w:t>
      </w:r>
      <w:r w:rsidR="00D72BE9">
        <w:t>n</w:t>
      </w:r>
      <w:r>
        <w:t xml:space="preserve"> leerse de la siguiente manera:</w:t>
      </w:r>
    </w:p>
    <w:p w14:paraId="1C0FCDE4" w14:textId="77777777" w:rsidR="00CA6D23" w:rsidRPr="00D91F47" w:rsidRDefault="00CA6D23" w:rsidP="00D91F47">
      <w:pPr>
        <w:pStyle w:val="Para"/>
        <w:rPr>
          <w:bCs/>
        </w:rPr>
      </w:pPr>
      <w:r>
        <w:rPr>
          <w:b/>
        </w:rPr>
        <w:t xml:space="preserve">Insumos </w:t>
      </w:r>
      <w:r>
        <w:t>Estos son los distintos recursos (financieros, humanos, etc.) necesarios para acometer las actividades.</w:t>
      </w:r>
    </w:p>
    <w:p w14:paraId="255A543C" w14:textId="77777777" w:rsidR="00CA6D23" w:rsidRPr="00D91F47" w:rsidRDefault="00CA6D23" w:rsidP="00D91F47">
      <w:pPr>
        <w:pStyle w:val="Para"/>
      </w:pPr>
      <w:r>
        <w:rPr>
          <w:b/>
        </w:rPr>
        <w:t xml:space="preserve">Actividades: </w:t>
      </w:r>
      <w:r>
        <w:t>Estas representan las diferentes actividades que</w:t>
      </w:r>
      <w:r w:rsidR="00D72BE9">
        <w:t xml:space="preserve"> se</w:t>
      </w:r>
      <w:r>
        <w:t xml:space="preserve"> disponen en la definición de </w:t>
      </w:r>
      <w:r>
        <w:rPr>
          <w:cs/>
        </w:rPr>
        <w:t>“</w:t>
      </w:r>
      <w:r>
        <w:t>salvaguardia</w:t>
      </w:r>
      <w:r>
        <w:rPr>
          <w:cs/>
        </w:rPr>
        <w:t xml:space="preserve">” </w:t>
      </w:r>
      <w:r>
        <w:t>(Artículo 2.3) y, por lo tanto, consisten en las diversas actividades que en última instancia resultarán en el logro del impacto esperado del cumplimiento de la salvaguardia.</w:t>
      </w:r>
    </w:p>
    <w:p w14:paraId="155E4250" w14:textId="77777777" w:rsidR="00CA6D23" w:rsidRPr="00D91F47" w:rsidRDefault="00CA6D23" w:rsidP="00D91F47">
      <w:pPr>
        <w:pStyle w:val="Para"/>
      </w:pPr>
      <w:r>
        <w:rPr>
          <w:b/>
        </w:rPr>
        <w:t xml:space="preserve">Productos: </w:t>
      </w:r>
      <w:r>
        <w:t xml:space="preserve">A tenor del contenido de los Artículos 11 a 18 y el Artículo 23 de la Convención, </w:t>
      </w:r>
      <w:r w:rsidR="00D72BE9">
        <w:t>los productos</w:t>
      </w:r>
      <w:r>
        <w:t xml:space="preserve"> comprenden las diversas acciones convenidas e implementadas por las distintas partes interesadas (Estados Partes, comunidades, entre otras). </w:t>
      </w:r>
      <w:r w:rsidR="00D72BE9">
        <w:t>C</w:t>
      </w:r>
      <w:r>
        <w:t>omprenden algunos productos susceptibles de medición (p. ej., un inventario, un instrumento normativo, un estudio artístico, etc.).</w:t>
      </w:r>
    </w:p>
    <w:p w14:paraId="5C22B999" w14:textId="77777777" w:rsidR="00CA6D23" w:rsidRPr="00D91F47" w:rsidRDefault="00CA6D23" w:rsidP="00D91F47">
      <w:pPr>
        <w:pStyle w:val="Para"/>
        <w:rPr>
          <w:bCs/>
        </w:rPr>
      </w:pPr>
      <w:r>
        <w:rPr>
          <w:b/>
        </w:rPr>
        <w:t xml:space="preserve">Resultados a corto plazo: </w:t>
      </w:r>
      <w:r>
        <w:t xml:space="preserve">En el corto plazo, se espera que las capacidades de las distintas partes interesadas en la salvaguardia del PCI (ya sea de sus elementos generales o específicos) se construyan o fomenten mediante la realización de las actividades conducentes a los productos.  </w:t>
      </w:r>
    </w:p>
    <w:p w14:paraId="3B3707D0" w14:textId="77777777" w:rsidR="00CA6D23" w:rsidRPr="00D91F47" w:rsidRDefault="00CA6D23" w:rsidP="00D91F47">
      <w:pPr>
        <w:pStyle w:val="Para"/>
        <w:rPr>
          <w:bCs/>
        </w:rPr>
      </w:pPr>
      <w:r>
        <w:rPr>
          <w:b/>
        </w:rPr>
        <w:t xml:space="preserve">Resultados a mediano plazo: </w:t>
      </w:r>
      <w:r>
        <w:t xml:space="preserve">En el mediano plazo, se espera que el ejercicio de convenir e implementar las distintas acciones de salvaguardia (con la participación de diversas partes interesadas) </w:t>
      </w:r>
      <w:r w:rsidR="00D72BE9">
        <w:t>conduzcan</w:t>
      </w:r>
      <w:r>
        <w:t xml:space="preserve"> a establecer relaciones continuas; una mayor experiencia en diseño y gestión de medidas y planes de salvaguardia para los elementos específicos también conducirán a un desarrollo e implementación más dinámicos de estas.</w:t>
      </w:r>
    </w:p>
    <w:p w14:paraId="49337940" w14:textId="77777777" w:rsidR="00CA6D23" w:rsidRPr="00D91F47" w:rsidRDefault="00CA6D23" w:rsidP="00D91F47">
      <w:pPr>
        <w:pStyle w:val="Para"/>
      </w:pPr>
      <w:r>
        <w:rPr>
          <w:b/>
        </w:rPr>
        <w:t xml:space="preserve">Resultados a largo plazo: </w:t>
      </w:r>
      <w:r>
        <w:t>En el largo plazo, todo lo anterior debería culminar en el logro de las cuatro finalidades principales de la Convención, según lo dispuesto en el Artículo 1 de esta.</w:t>
      </w:r>
    </w:p>
    <w:p w14:paraId="56BF590D" w14:textId="77777777" w:rsidR="00CA6D23" w:rsidRPr="009E2BB5" w:rsidRDefault="00CA6D23" w:rsidP="00D91F47">
      <w:pPr>
        <w:pStyle w:val="Para"/>
      </w:pPr>
      <w:r>
        <w:rPr>
          <w:b/>
        </w:rPr>
        <w:t xml:space="preserve">Impactos: </w:t>
      </w:r>
      <w:r>
        <w:t xml:space="preserve">Estos reflejan que la implementación de la Convención en último término respalda los principios generales de la participación y la apropiación del proceso de salvaguardia (por parte de las comunidades, los grupos y los individuos) y del desarrollo sostenible para el bienestar, la dignidad y la creatividad de sociedades pacíficas e inclusivas. </w:t>
      </w:r>
    </w:p>
    <w:p w14:paraId="05C82889" w14:textId="77777777" w:rsidR="00CA6D23" w:rsidRPr="009E2BB5" w:rsidRDefault="00CA6D23">
      <w:pPr>
        <w:rPr>
          <w:rFonts w:ascii="Arial" w:hAnsi="Arial"/>
          <w:sz w:val="20"/>
          <w:szCs w:val="20"/>
        </w:rPr>
      </w:pPr>
      <w:r>
        <w:br w:type="page"/>
      </w:r>
    </w:p>
    <w:p w14:paraId="6AC7B6F4" w14:textId="77777777" w:rsidR="00CA6D23" w:rsidRPr="0045161B" w:rsidRDefault="00CA6D23" w:rsidP="0045161B">
      <w:pPr>
        <w:pStyle w:val="Heading2"/>
      </w:pPr>
      <w:r>
        <w:t xml:space="preserve"> Indicadores</w:t>
      </w:r>
    </w:p>
    <w:p w14:paraId="0AC2AEC6" w14:textId="77777777" w:rsidR="00CA6D23" w:rsidRPr="0045161B" w:rsidRDefault="00CA6D23" w:rsidP="0045161B">
      <w:pPr>
        <w:pStyle w:val="Para"/>
      </w:pPr>
      <w:r>
        <w:t xml:space="preserve">Los productos, efectos, resultados e impactos en el marco de resultados en general incluyen </w:t>
      </w:r>
      <w:r>
        <w:rPr>
          <w:i/>
        </w:rPr>
        <w:t>indicadores explícitamente definidos</w:t>
      </w:r>
      <w:r>
        <w:t xml:space="preserve"> que permiten medir la eficacia. Dichas metas a menudo están expresadas en términos de cambio (aumentos o disminuciones) en comparación con un parámetro. </w:t>
      </w:r>
    </w:p>
    <w:p w14:paraId="69B7866B" w14:textId="77777777" w:rsidR="00CA6D23" w:rsidRPr="0045161B" w:rsidRDefault="00CA6D23" w:rsidP="0045161B">
      <w:pPr>
        <w:pStyle w:val="Para"/>
      </w:pPr>
      <w:r>
        <w:t xml:space="preserve">Los indicadores escogidos representan </w:t>
      </w:r>
      <w:r w:rsidR="00AE27F9">
        <w:t>el</w:t>
      </w:r>
      <w:r>
        <w:t xml:space="preserve"> consenso alcanzado acerca de qué informa</w:t>
      </w:r>
      <w:r w:rsidR="00AE27F9">
        <w:t>ción puede considerarse como</w:t>
      </w:r>
      <w:r>
        <w:t xml:space="preserve"> señal del éxito o del progreso de un programa. Los indicadores de desempeño sirven de apoyo para la eficaz planificación, gestión, seguimiento y rendición de informes de los programas como </w:t>
      </w:r>
      <w:r>
        <w:rPr>
          <w:i/>
        </w:rPr>
        <w:t>señales del cambio</w:t>
      </w:r>
      <w:r>
        <w:t xml:space="preserve"> que permiten verificar </w:t>
      </w:r>
      <w:bookmarkStart w:id="1" w:name="_Hlk480196065"/>
      <w:r>
        <w:t xml:space="preserve">si los cambios que </w:t>
      </w:r>
      <w:r w:rsidR="00AE27F9">
        <w:t>se persiguen</w:t>
      </w:r>
      <w:r>
        <w:t xml:space="preserve"> se han ejecutado o n</w:t>
      </w:r>
      <w:bookmarkEnd w:id="1"/>
      <w:r>
        <w:t>o y en qué grado. Los indicadores de desempeño hacen que sea posible demostrar los resultados obtenidos, pues proporcionan un punto de referencia para el seguimiento, la adopción de decisiones, la consulta con las partes interesadas, la adopción de medidas correctivas, y la evaluación.</w:t>
      </w:r>
      <w:r>
        <w:rPr>
          <w:rStyle w:val="Appelnotedebasdep"/>
        </w:rPr>
        <w:footnoteReference w:id="4"/>
      </w:r>
      <w:r>
        <w:t xml:space="preserve"> En última instancia, los indicadores permiten establecer los puntos de referencia contra los cuales medir el progreso en el futuro.</w:t>
      </w:r>
    </w:p>
    <w:p w14:paraId="40ACA252" w14:textId="77777777" w:rsidR="00CA6D23" w:rsidRPr="0045161B" w:rsidRDefault="00CA6D23" w:rsidP="0045161B">
      <w:pPr>
        <w:pStyle w:val="Para"/>
        <w:rPr>
          <w:vanish/>
        </w:rPr>
      </w:pPr>
      <w:r>
        <w:t xml:space="preserve">Los indicadores deben, por lo tanto, ser claros y </w:t>
      </w:r>
      <w:r w:rsidR="00AE27F9">
        <w:t>entendibles</w:t>
      </w:r>
      <w:r>
        <w:t xml:space="preserve"> de tal modo que puedan comprenderse con facilidad por quienes dan seguimiento e informan </w:t>
      </w:r>
      <w:r w:rsidR="00AE27F9">
        <w:t xml:space="preserve">sobre </w:t>
      </w:r>
      <w:r>
        <w:t xml:space="preserve">los productos, los efectos y los resultados (fase 2 del ciclo de la gestión basada en </w:t>
      </w:r>
      <w:r w:rsidR="00AE27F9">
        <w:t xml:space="preserve">los </w:t>
      </w:r>
      <w:r>
        <w:t>resultados) y por quienes evalúan las acciones en curso y adoptan decisiones sobre los esfuerzos futuros (fase 3). Existen diversas pruebas que pueden utilizarse para determinar la eficacia de un indicador propuesto. Los criterios enumerados a continuación pueden emplearse para poner a prueba la pertinencia y</w:t>
      </w:r>
      <w:r w:rsidR="00AE27F9">
        <w:t xml:space="preserve"> la eficacia de los indicadores.</w:t>
      </w:r>
      <w:r>
        <w:t xml:space="preserve"> </w:t>
      </w:r>
    </w:p>
    <w:p w14:paraId="39DBE966" w14:textId="77777777" w:rsidR="00CA6D23" w:rsidRPr="0045161B" w:rsidRDefault="00CA6D23" w:rsidP="0045161B">
      <w:pPr>
        <w:pStyle w:val="Para"/>
        <w:numPr>
          <w:ilvl w:val="0"/>
          <w:numId w:val="46"/>
        </w:numPr>
      </w:pPr>
      <w:r>
        <w:t xml:space="preserve">¿El indicador de desempeño es </w:t>
      </w:r>
      <w:r>
        <w:rPr>
          <w:b/>
          <w:i/>
        </w:rPr>
        <w:t>fiable</w:t>
      </w:r>
      <w:r>
        <w:t>, es decir, coherente desde el principio hasta el fin?</w:t>
      </w:r>
    </w:p>
    <w:p w14:paraId="4495BE14" w14:textId="77777777" w:rsidR="00CA6D23" w:rsidRPr="0045161B" w:rsidRDefault="00CA6D23" w:rsidP="0045161B">
      <w:pPr>
        <w:pStyle w:val="Para"/>
        <w:numPr>
          <w:ilvl w:val="0"/>
          <w:numId w:val="46"/>
        </w:numPr>
      </w:pPr>
      <w:r>
        <w:t xml:space="preserve">¿Es </w:t>
      </w:r>
      <w:r>
        <w:rPr>
          <w:b/>
          <w:i/>
        </w:rPr>
        <w:t>sencillo</w:t>
      </w:r>
      <w:r>
        <w:t>, es decir, va a ser fácil recopilar y analizar la información?</w:t>
      </w:r>
    </w:p>
    <w:p w14:paraId="3FA9DECE" w14:textId="77777777" w:rsidR="00CA6D23" w:rsidRPr="0045161B" w:rsidRDefault="00CA6D23" w:rsidP="0045161B">
      <w:pPr>
        <w:pStyle w:val="Para"/>
        <w:numPr>
          <w:ilvl w:val="0"/>
          <w:numId w:val="46"/>
        </w:numPr>
      </w:pPr>
      <w:r>
        <w:t xml:space="preserve">¿Es </w:t>
      </w:r>
      <w:r>
        <w:rPr>
          <w:b/>
          <w:i/>
        </w:rPr>
        <w:t>financieramente asequible</w:t>
      </w:r>
      <w:r>
        <w:t>, es decir, es eficaz en función de los costos y no supera el presupuesto de que se dispone?</w:t>
      </w:r>
      <w:r>
        <w:rPr>
          <w:color w:val="000000"/>
        </w:rPr>
        <w:t xml:space="preserve"> </w:t>
      </w:r>
      <w:r>
        <w:t>(Entre los costos se incluyen el método y la técnica que se desee emplear para acopiar ciertos datos y analizarlos, etc.).</w:t>
      </w:r>
    </w:p>
    <w:p w14:paraId="72D560FF" w14:textId="77777777" w:rsidR="00CA6D23" w:rsidRPr="0045161B" w:rsidRDefault="00CA6D23" w:rsidP="0045161B">
      <w:pPr>
        <w:pStyle w:val="Para"/>
        <w:numPr>
          <w:ilvl w:val="0"/>
          <w:numId w:val="46"/>
        </w:numPr>
      </w:pPr>
      <w:r>
        <w:t xml:space="preserve">¿El indicador de desempeño es </w:t>
      </w:r>
      <w:r>
        <w:rPr>
          <w:b/>
          <w:i/>
        </w:rPr>
        <w:t>válido</w:t>
      </w:r>
      <w:r>
        <w:t xml:space="preserve">, es decir, mide lo que se espera que mida? (Incluida la determinación de la frecuencia apropiada para recopilar datos). </w:t>
      </w:r>
    </w:p>
    <w:p w14:paraId="7EF70082" w14:textId="77777777" w:rsidR="00CA6D23" w:rsidRPr="0045161B" w:rsidRDefault="00CA6D23" w:rsidP="0045161B">
      <w:pPr>
        <w:pStyle w:val="Para"/>
        <w:numPr>
          <w:ilvl w:val="0"/>
          <w:numId w:val="46"/>
        </w:numPr>
      </w:pPr>
      <w:r>
        <w:t xml:space="preserve">¿Qué </w:t>
      </w:r>
      <w:r>
        <w:rPr>
          <w:b/>
          <w:i/>
        </w:rPr>
        <w:t>grado de sensibilidad</w:t>
      </w:r>
      <w:r w:rsidR="0074777C">
        <w:t xml:space="preserve"> tiene el indicador de </w:t>
      </w:r>
      <w:r>
        <w:t>desempeño? Cuando se produzcan cambios, ¿los percibirá?</w:t>
      </w:r>
    </w:p>
    <w:p w14:paraId="64DB6E64" w14:textId="77777777" w:rsidR="00CA6D23" w:rsidRPr="0045161B" w:rsidRDefault="00CA6D23" w:rsidP="0045161B">
      <w:pPr>
        <w:pStyle w:val="Para"/>
        <w:numPr>
          <w:ilvl w:val="0"/>
          <w:numId w:val="46"/>
        </w:numPr>
      </w:pPr>
      <w:r>
        <w:t xml:space="preserve">La </w:t>
      </w:r>
      <w:r>
        <w:rPr>
          <w:b/>
          <w:i/>
        </w:rPr>
        <w:t>utilidad</w:t>
      </w:r>
      <w:r>
        <w:t xml:space="preserve"> del indicador del desempeño: ¿será útil la información para la toma de decisiones y el aprendizaje?</w:t>
      </w:r>
      <w:r>
        <w:rPr>
          <w:rStyle w:val="Appelnotedebasdep"/>
        </w:rPr>
        <w:footnoteReference w:id="5"/>
      </w:r>
    </w:p>
    <w:p w14:paraId="5126D336" w14:textId="77777777" w:rsidR="00CA6D23" w:rsidRPr="0045161B" w:rsidRDefault="00CA6D23" w:rsidP="0045161B">
      <w:pPr>
        <w:pStyle w:val="Para"/>
        <w:rPr>
          <w:color w:val="000000"/>
        </w:rPr>
      </w:pPr>
      <w:r>
        <w:t>Casi siempre, los indicadores se expresan en términos cuantitativos, sin embargo, es posible contar también con</w:t>
      </w:r>
      <w:r>
        <w:rPr>
          <w:i/>
        </w:rPr>
        <w:t xml:space="preserve"> indicadores cualitativos</w:t>
      </w:r>
      <w:r>
        <w:t xml:space="preserve"> que a menudo pueden preferirse para medir el desempeño relacionado con la Convención. Esto se debe a que dichos indicadores pueden captar información acerca del </w:t>
      </w:r>
      <w:r>
        <w:rPr>
          <w:cs/>
        </w:rPr>
        <w:t>“</w:t>
      </w:r>
      <w:r>
        <w:t>cómo</w:t>
      </w:r>
      <w:r>
        <w:rPr>
          <w:cs/>
        </w:rPr>
        <w:t xml:space="preserve">” </w:t>
      </w:r>
      <w:r w:rsidR="0074777C">
        <w:t>―</w:t>
      </w:r>
      <w:r>
        <w:t>la calidad del proceso</w:t>
      </w:r>
      <w:r w:rsidR="0074777C">
        <w:t>―</w:t>
      </w:r>
      <w:r>
        <w:t xml:space="preserve">, lo que en general reviste especial interés al momento de evaluar el éxito de las intervenciones asociadas a la Convención. </w:t>
      </w:r>
      <w:r>
        <w:rPr>
          <w:color w:val="000000"/>
        </w:rPr>
        <w:t xml:space="preserve">Distinguir entre indicadores cuantitativos y cualitativos presenta un desafío para quienes buscan elaborar indicadores para evaluar las intervenciones de salvaguardia del PCI con arreglo a la Convención de 2003. </w:t>
      </w:r>
    </w:p>
    <w:p w14:paraId="59819323" w14:textId="77777777" w:rsidR="00CA6D23" w:rsidRPr="0045161B" w:rsidRDefault="00CA6D23" w:rsidP="0045161B">
      <w:pPr>
        <w:pStyle w:val="Para"/>
        <w:rPr>
          <w:color w:val="000000"/>
        </w:rPr>
      </w:pPr>
      <w:r>
        <w:rPr>
          <w:color w:val="000000"/>
        </w:rPr>
        <w:lastRenderedPageBreak/>
        <w:t xml:space="preserve">Estos dos tipos de indicadores a menudo se complementan entre sí y reúnen las siguientes características principales: </w:t>
      </w:r>
    </w:p>
    <w:p w14:paraId="5AF67B5B" w14:textId="77777777" w:rsidR="00CA6D23" w:rsidRPr="0045161B" w:rsidRDefault="00CA6D23" w:rsidP="0045161B">
      <w:pPr>
        <w:pStyle w:val="Para"/>
        <w:numPr>
          <w:ilvl w:val="0"/>
          <w:numId w:val="47"/>
        </w:numPr>
        <w:rPr>
          <w:color w:val="000000"/>
        </w:rPr>
      </w:pPr>
      <w:r>
        <w:rPr>
          <w:i/>
        </w:rPr>
        <w:t>Indicadores cuantitativos</w:t>
      </w:r>
      <w:r>
        <w:t>: se basan en medidas estadísticas, cifras, porcentajes, frecuencias, y coeficientes</w:t>
      </w:r>
      <w:r w:rsidR="0074777C">
        <w:t>.</w:t>
      </w:r>
      <w:r>
        <w:rPr>
          <w:color w:val="000000"/>
        </w:rPr>
        <w:t xml:space="preserve"> (Ejemplos de desagregación de datos: por sexo, edad, titulares de derechos o garantes de derechos, grupos excluidos o en riesgo de quedar excluidos de las metas del desarrollo, perfil, ubicación/área geográfica). </w:t>
      </w:r>
    </w:p>
    <w:p w14:paraId="3CE74380" w14:textId="77777777" w:rsidR="00CA6D23" w:rsidRPr="0045161B" w:rsidRDefault="00CA6D23" w:rsidP="0045161B">
      <w:pPr>
        <w:pStyle w:val="Para"/>
        <w:numPr>
          <w:ilvl w:val="0"/>
          <w:numId w:val="47"/>
        </w:numPr>
        <w:rPr>
          <w:color w:val="000000"/>
        </w:rPr>
      </w:pPr>
      <w:r>
        <w:rPr>
          <w:i/>
        </w:rPr>
        <w:t>Indicadores cualitativos</w:t>
      </w:r>
      <w:r>
        <w:t>: son los destinados a medir la calidad y suelen basarse en juicios, percepciones, opiniones o el nivel de satisfacción.</w:t>
      </w:r>
      <w:r>
        <w:rPr>
          <w:color w:val="000000"/>
        </w:rPr>
        <w:t xml:space="preserve"> En general, se definen a través de dos o tres criterios específicos que permiten evaluar la calidad. </w:t>
      </w:r>
    </w:p>
    <w:p w14:paraId="0F155F7E" w14:textId="77777777" w:rsidR="00CA6D23" w:rsidRPr="0045161B" w:rsidRDefault="00CA6D23" w:rsidP="0045161B">
      <w:pPr>
        <w:pStyle w:val="Para"/>
      </w:pPr>
      <w:r>
        <w:t>La UNESCO ya ha empleado algunos indicadores cuantitativos muy básicos para supervisar el progreso de las intervenciones asociadas a la Convención y para evaluar la eficacia de estas. Por ejemplo, se puede medir el número de talleres para el fortalecimiento de capacidades impartidos o la existencia de políticas abocadas al PCI o los inventarios. Sin embargo, podría no existir un vínculo directo entre la frecuencia, la presencia o la ausencia de estos tipos de intervenciones y la finalidad más general de la salvaguardia del PCI</w:t>
      </w:r>
      <w:r w:rsidR="0074777C">
        <w:t>,</w:t>
      </w:r>
      <w:r>
        <w:t xml:space="preserve"> debido a que en buena medida </w:t>
      </w:r>
      <w:r w:rsidR="0074777C">
        <w:t>ello</w:t>
      </w:r>
      <w:r>
        <w:t xml:space="preserve"> depende de lo siguiente: </w:t>
      </w:r>
    </w:p>
    <w:p w14:paraId="41FD1E05" w14:textId="77777777" w:rsidR="00CA6D23" w:rsidRPr="0045161B" w:rsidRDefault="00CA6D23" w:rsidP="0045161B">
      <w:pPr>
        <w:pStyle w:val="Para"/>
        <w:numPr>
          <w:ilvl w:val="0"/>
          <w:numId w:val="48"/>
        </w:numPr>
      </w:pPr>
      <w:r>
        <w:t xml:space="preserve">La </w:t>
      </w:r>
      <w:r>
        <w:rPr>
          <w:i/>
        </w:rPr>
        <w:t>calidad del proceso</w:t>
      </w:r>
      <w:r>
        <w:t xml:space="preserve">, es decir, </w:t>
      </w:r>
      <w:r>
        <w:rPr>
          <w:i/>
        </w:rPr>
        <w:t>de qué manera</w:t>
      </w:r>
      <w:r>
        <w:t xml:space="preserve"> se diseñaron e implementaron las intervenciones y el contexto en el que se ejecutan. </w:t>
      </w:r>
    </w:p>
    <w:p w14:paraId="267576F7" w14:textId="77777777" w:rsidR="00CA6D23" w:rsidRPr="0045161B" w:rsidRDefault="00CA6D23" w:rsidP="0045161B">
      <w:pPr>
        <w:pStyle w:val="Para"/>
        <w:numPr>
          <w:ilvl w:val="0"/>
          <w:numId w:val="48"/>
        </w:numPr>
      </w:pPr>
      <w:r>
        <w:t xml:space="preserve">Si los participantes o las instituciones sostienen o no dichas intervenciones en el tiempo. </w:t>
      </w:r>
    </w:p>
    <w:p w14:paraId="0361B0B5" w14:textId="77777777" w:rsidR="00CA6D23" w:rsidRPr="0045161B" w:rsidRDefault="00CA6D23" w:rsidP="0045161B">
      <w:pPr>
        <w:pStyle w:val="Para"/>
      </w:pPr>
      <w:r>
        <w:t xml:space="preserve">Por lo tanto, puede ser importante también poder medir el número de participantes que son representantes de la comunidad o que pueden trabajar con las comunidades, los grupos y los individuos interesados </w:t>
      </w:r>
      <w:r w:rsidR="0074777C">
        <w:t>brindando apoyo a</w:t>
      </w:r>
      <w:r>
        <w:t xml:space="preserve"> la salvaguardia del PCI (algo </w:t>
      </w:r>
      <w:r w:rsidR="0074777C">
        <w:t xml:space="preserve">que </w:t>
      </w:r>
      <w:r>
        <w:t xml:space="preserve">suele resultar difícil de definir). </w:t>
      </w:r>
    </w:p>
    <w:p w14:paraId="55C4D476" w14:textId="77777777" w:rsidR="00CA6D23" w:rsidRPr="0045161B" w:rsidRDefault="00CA6D23" w:rsidP="0045161B">
      <w:pPr>
        <w:pStyle w:val="Para"/>
      </w:pPr>
      <w:r>
        <w:t xml:space="preserve">Por otro lado, si bien algunos indicadores podrían ser relativamente fáciles de medir, pueden no resultar ser buenos indicadores indirectos para los resultados y los impactos buscados. Es posible que se necesite aplicar otros indicadores </w:t>
      </w:r>
      <w:r w:rsidR="0074777C">
        <w:t>―</w:t>
      </w:r>
      <w:r>
        <w:t>que pueden ser de naturaleza cualitativa</w:t>
      </w:r>
      <w:r w:rsidR="0074777C">
        <w:t>―</w:t>
      </w:r>
      <w:r>
        <w:t xml:space="preserve"> para evaluar si un taller de capacitación</w:t>
      </w:r>
      <w:r w:rsidR="0074777C">
        <w:t>,</w:t>
      </w:r>
      <w:r>
        <w:t xml:space="preserve"> en efecto</w:t>
      </w:r>
      <w:r w:rsidR="0074777C">
        <w:t>,</w:t>
      </w:r>
      <w:r>
        <w:t xml:space="preserve"> contribuyó en alguna medida a fortalecer capacidades distintas a las de carácter individual. Por otra parte, los vínculos causales entre las acciones adoptadas en el marco de la Convención no son sencillos ni lineales.</w:t>
      </w:r>
    </w:p>
    <w:p w14:paraId="7B17A25B" w14:textId="77777777" w:rsidR="00CA6D23" w:rsidRPr="0045161B" w:rsidRDefault="00CA6D23" w:rsidP="0045161B">
      <w:pPr>
        <w:pStyle w:val="Para"/>
        <w:rPr>
          <w:color w:val="000000"/>
        </w:rPr>
      </w:pPr>
      <w:r>
        <w:t xml:space="preserve">Los indicadores cuantitativos y cualitativos pueden operar de mejor modo en relación con los distintos niveles del marco basado en los resultados. Por ejemplo, un </w:t>
      </w:r>
      <w:r>
        <w:rPr>
          <w:i/>
        </w:rPr>
        <w:t>indicador de productos</w:t>
      </w:r>
      <w:r>
        <w:t xml:space="preserve"> puede expresarse como </w:t>
      </w:r>
      <w:r>
        <w:rPr>
          <w:cs/>
        </w:rPr>
        <w:t>“</w:t>
      </w:r>
      <w:r>
        <w:t>número de talleres adicionales organizados</w:t>
      </w:r>
      <w:r>
        <w:rPr>
          <w:cs/>
        </w:rPr>
        <w:t xml:space="preserve">” </w:t>
      </w:r>
      <w:r>
        <w:t xml:space="preserve">(indicador cuantitativo), mientras que el </w:t>
      </w:r>
      <w:r>
        <w:rPr>
          <w:i/>
        </w:rPr>
        <w:t>indicador de resultados</w:t>
      </w:r>
      <w:r>
        <w:t xml:space="preserve"> asociado puede expresarse como </w:t>
      </w:r>
      <w:r>
        <w:rPr>
          <w:cs/>
        </w:rPr>
        <w:t>“</w:t>
      </w:r>
      <w:r>
        <w:t>los asistentes a los talleres influyen eficazmente en el proceso de las políticas en un número x de provincias adicionales</w:t>
      </w:r>
      <w:r>
        <w:rPr>
          <w:cs/>
        </w:rPr>
        <w:t xml:space="preserve">” </w:t>
      </w:r>
      <w:r>
        <w:t xml:space="preserve">(indicador cualitativo). En la </w:t>
      </w:r>
      <w:r w:rsidR="0074777C">
        <w:t>práctica</w:t>
      </w:r>
      <w:r>
        <w:t xml:space="preserve">, se emplea una </w:t>
      </w:r>
      <w:r>
        <w:rPr>
          <w:i/>
        </w:rPr>
        <w:t>combinación de indicadores cuantitativos y cualitativos</w:t>
      </w:r>
      <w:r>
        <w:t>, ya que, sin datos cuantitativos, no es posible conocer la magnitud y el alcance y, sin datos cualitativos, no se dispone del contexto que permite interpretar los datos cuantitativos.</w:t>
      </w:r>
      <w:r>
        <w:rPr>
          <w:color w:val="000000"/>
        </w:rPr>
        <w:t xml:space="preserve"> </w:t>
      </w:r>
    </w:p>
    <w:p w14:paraId="54BC880D" w14:textId="77777777" w:rsidR="00CA6D23" w:rsidRPr="0045161B" w:rsidRDefault="00CA6D23" w:rsidP="0045161B">
      <w:pPr>
        <w:pStyle w:val="Para"/>
      </w:pPr>
      <w:r>
        <w:t xml:space="preserve">El ejemplo anterior sirve para ilustrar dos dificultades planteadas por la formulación de indicadores cualitativos; estos son los siguientes: 1) en general, son más difíciles de identificar y formular que los indicadores cuantitativos; y 2) si bien es relativamente sencillo medir el número de talleres adicionales y los datos al respecto que se encuentran generalmente disponibles, medir el grado en que </w:t>
      </w:r>
      <w:r>
        <w:rPr>
          <w:cs/>
        </w:rPr>
        <w:t>“</w:t>
      </w:r>
      <w:r>
        <w:t>los asistentes a los talleres influyen eficazmente en el proceso de las políticas</w:t>
      </w:r>
      <w:r>
        <w:rPr>
          <w:cs/>
        </w:rPr>
        <w:t xml:space="preserve">” </w:t>
      </w:r>
      <w:r>
        <w:t>presenta más dificultades puesto que ello implica un grado de juicio subjetivo. Esto demuestra que resulta fundamental, al momento de seleccionar los indicadores, considerar con cuánta facilidad se podrán recopilar datos susceptibles de ser verificados y las fuentes necesarias.</w:t>
      </w:r>
    </w:p>
    <w:p w14:paraId="5FBC3276" w14:textId="77777777" w:rsidR="00CA6D23" w:rsidRPr="0045161B" w:rsidRDefault="00CA6D23" w:rsidP="0045161B">
      <w:pPr>
        <w:pStyle w:val="Para"/>
        <w:rPr>
          <w:color w:val="000000"/>
        </w:rPr>
      </w:pPr>
      <w:r>
        <w:lastRenderedPageBreak/>
        <w:t xml:space="preserve">La definición de </w:t>
      </w:r>
      <w:r>
        <w:rPr>
          <w:i/>
        </w:rPr>
        <w:t>medidas</w:t>
      </w:r>
      <w:r>
        <w:t xml:space="preserve"> o </w:t>
      </w:r>
      <w:r>
        <w:rPr>
          <w:i/>
        </w:rPr>
        <w:t>factores de evaluación</w:t>
      </w:r>
      <w:r>
        <w:t xml:space="preserve"> para estimar los indicadores específicos puede resultar importante para especificar el alcance y las dimensiones cualitativas del cambio implícito en el indicador de desempeño, para poder garantizar así la claridad y la coherencia de la medición.</w:t>
      </w:r>
      <w:r>
        <w:rPr>
          <w:color w:val="000000"/>
        </w:rPr>
        <w:t xml:space="preserve"> Los indicadores de desempeño y la información asociada a estos se asemejan a una instantánea, ya que reflejan una dimensión del problema. La combinac</w:t>
      </w:r>
      <w:r w:rsidR="004F403D">
        <w:rPr>
          <w:color w:val="000000"/>
        </w:rPr>
        <w:t>ión de todos los indicadores de</w:t>
      </w:r>
      <w:r>
        <w:rPr>
          <w:color w:val="000000"/>
        </w:rPr>
        <w:t xml:space="preserve"> desempeño y su información conexa permite apreciar lo que constituye la esencia del resultado, y hacer el seguimiento del progreso alcanzado en su consecución. Se recomienda contar con un máximo de tres indicadores de desempeño por producto o resultado. </w:t>
      </w:r>
      <w:r>
        <w:rPr>
          <w:i/>
        </w:rPr>
        <w:t>El marco global de resultados posee 86 factores de evaluación para medir 26 indicadores de base.</w:t>
      </w:r>
    </w:p>
    <w:p w14:paraId="51E8CD9B" w14:textId="77777777" w:rsidR="00CA6D23" w:rsidRPr="0045161B" w:rsidRDefault="00CA6D23" w:rsidP="0045161B">
      <w:pPr>
        <w:pStyle w:val="Para"/>
      </w:pPr>
      <w:r>
        <w:t>Existen liter</w:t>
      </w:r>
      <w:r w:rsidR="00AA3F97">
        <w:t>al</w:t>
      </w:r>
      <w:r>
        <w:t xml:space="preserve">mente cientos de indicadores hipotéticos de mayor o menor alcance que podrían elaborarse para la Convención, cada uno con escalas predefinidas para las mediciones y métodos de cálculos complejos. Al mismo tiempo, uno pocos factores de evaluación </w:t>
      </w:r>
      <w:r w:rsidR="004F403D">
        <w:t xml:space="preserve">(si los hubiera) </w:t>
      </w:r>
      <w:r>
        <w:t xml:space="preserve">pueden responderse con una respuesta categórica por </w:t>
      </w:r>
      <w:r>
        <w:rPr>
          <w:cs/>
        </w:rPr>
        <w:t>“</w:t>
      </w:r>
      <w:r>
        <w:t>sí</w:t>
      </w:r>
      <w:r>
        <w:rPr>
          <w:cs/>
        </w:rPr>
        <w:t xml:space="preserve">” </w:t>
      </w:r>
      <w:r>
        <w:t xml:space="preserve">o por </w:t>
      </w:r>
      <w:r>
        <w:rPr>
          <w:cs/>
        </w:rPr>
        <w:t>“</w:t>
      </w:r>
      <w:r>
        <w:t>no</w:t>
      </w:r>
      <w:r>
        <w:rPr>
          <w:cs/>
        </w:rPr>
        <w:t>”</w:t>
      </w:r>
      <w:r>
        <w:t>. Pueden existir discrepancias acerca de si los logros y las condiciones reales informadas son suficientes o no para justificar una conclusión en particular.</w:t>
      </w:r>
    </w:p>
    <w:p w14:paraId="6B248CFF" w14:textId="77777777" w:rsidR="00CA6D23" w:rsidRPr="0045161B" w:rsidRDefault="00CA6D23" w:rsidP="0045161B">
      <w:pPr>
        <w:pStyle w:val="Para"/>
      </w:pPr>
      <w:r>
        <w:t xml:space="preserve">Dadas estas dificultades, con el marco global de resultado se busca brindar un conjunto de indicadores viable y susceptible de gestionar, compatible con el enfoque adoptado en otros sectores de la UNESCO y en organismos de las Naciones Unidas. </w:t>
      </w:r>
    </w:p>
    <w:p w14:paraId="7441FCBB" w14:textId="77777777" w:rsidR="00CA6D23" w:rsidRPr="0045161B" w:rsidRDefault="00CA6D23" w:rsidP="0045161B">
      <w:pPr>
        <w:pStyle w:val="Para"/>
      </w:pPr>
      <w:r>
        <w:t>Como se señaló antes, existe un conjunto de otros actores clave, como los medios de comunicación, las universidades, los institutos de investigación, los museos, las bibliotecas, etc. (ya sean estos públicos o privados, según el país de que se trate)</w:t>
      </w:r>
      <w:r w:rsidR="004F403D">
        <w:t>,</w:t>
      </w:r>
      <w:r>
        <w:t xml:space="preserve"> así como entidades de la sociedad civil como organizaciones no gubernamentales (ONG), asociaciones voluntarias, sindicatos o compañías artísticas, expertos independientes, etc. cuyos esfuerzos complementan los esfuerzos de los órganos gubernamentales. La obtención de un resultado en particular puede, por lo tanto, no depender de modo directo de una oficina gubernamental, sino que, en cambio, está supeditada al esfuerzo común de varios o muchos actores. Resulta por lo tanto esencial que los factores medidos en esta instancia incluyan tanto aquellas </w:t>
      </w:r>
      <w:r>
        <w:rPr>
          <w:i/>
        </w:rPr>
        <w:t>iniciativas</w:t>
      </w:r>
      <w:r>
        <w:t xml:space="preserve"> surgidas de las propias comunidades o los propios grupos como aquellas otras </w:t>
      </w:r>
      <w:r>
        <w:rPr>
          <w:i/>
        </w:rPr>
        <w:t>intervenciones</w:t>
      </w:r>
      <w:r>
        <w:t xml:space="preserve"> ajenas al ámbito de las comunidades o los grupos (incluidas </w:t>
      </w:r>
      <w:r w:rsidR="004F403D">
        <w:t>las</w:t>
      </w:r>
      <w:r>
        <w:t xml:space="preserve"> originadas con el Estado). </w:t>
      </w:r>
      <w:r>
        <w:rPr>
          <w:i/>
        </w:rPr>
        <w:t xml:space="preserve">Cabe señalar a este respecto que los indicadores de base generalmente se formulan en términos del </w:t>
      </w:r>
      <w:r>
        <w:rPr>
          <w:i/>
          <w:cs/>
        </w:rPr>
        <w:t>“</w:t>
      </w:r>
      <w:r>
        <w:rPr>
          <w:i/>
        </w:rPr>
        <w:t>grado en que [una situación dada existe o se ha conseguido un cambio]</w:t>
      </w:r>
      <w:r>
        <w:rPr>
          <w:i/>
          <w:cs/>
        </w:rPr>
        <w:t>”</w:t>
      </w:r>
      <w:r>
        <w:rPr>
          <w:i/>
        </w:rPr>
        <w:t xml:space="preserve">. No es casual que los indicadores de base no estén expresados como </w:t>
      </w:r>
      <w:r>
        <w:rPr>
          <w:i/>
          <w:cs/>
        </w:rPr>
        <w:t>“</w:t>
      </w:r>
      <w:r>
        <w:rPr>
          <w:i/>
        </w:rPr>
        <w:t>grado en que el(los) Estado(s) Parte(s) ha(n) [realizado X o implementado Y]</w:t>
      </w:r>
      <w:r>
        <w:rPr>
          <w:i/>
          <w:cs/>
        </w:rPr>
        <w:t>”</w:t>
      </w:r>
      <w:r>
        <w:rPr>
          <w:i/>
        </w:rPr>
        <w:t>, pues puede existir una gran variedad de actores que contribuyen a los resultados.</w:t>
      </w:r>
    </w:p>
    <w:p w14:paraId="228999EE" w14:textId="77777777" w:rsidR="00CA6D23" w:rsidRPr="0045161B" w:rsidRDefault="00CA6D23" w:rsidP="0045161B">
      <w:pPr>
        <w:pStyle w:val="Para"/>
      </w:pPr>
      <w:r>
        <w:t xml:space="preserve">Cabe </w:t>
      </w:r>
      <w:r w:rsidR="004F403D">
        <w:t>agregar</w:t>
      </w:r>
      <w:r>
        <w:t xml:space="preserve"> asimismo que el marco global de resultados no se elaboró </w:t>
      </w:r>
      <w:r w:rsidR="004F403D">
        <w:t>al único efecto</w:t>
      </w:r>
      <w:r>
        <w:t xml:space="preserve"> de examinar el mecanismo de presentación de informes periódicos. También está pensado para brindar a los Estados Partes una herramienta para hacer un seguimiento y una evaluación más eficaces de las intervenciones de salvaguardia para aportar información al ciclo de la formulación de políticas. Ciertos países pueden desear, en una etapa posterior, reformular algunos de los factores de evaluación actuales como indicadores para imprimirles mayor precisión o como apoyo para la presentación de informes subnacionales, y pueden hacerlo con toda libertad para sus propios fines.</w:t>
      </w:r>
    </w:p>
    <w:p w14:paraId="13E30D04" w14:textId="77777777" w:rsidR="00CA6D23" w:rsidRDefault="00CA6D23">
      <w:pPr>
        <w:rPr>
          <w:rFonts w:ascii="Arial" w:hAnsi="Arial"/>
          <w:b/>
          <w:bCs/>
          <w:caps/>
          <w:snapToGrid w:val="0"/>
          <w:color w:val="3366FF"/>
          <w:sz w:val="28"/>
          <w:szCs w:val="28"/>
        </w:rPr>
      </w:pPr>
      <w:r>
        <w:br w:type="page"/>
      </w:r>
    </w:p>
    <w:p w14:paraId="087705DC" w14:textId="77777777" w:rsidR="00CA6D23" w:rsidRPr="0045161B" w:rsidRDefault="00CA6D23" w:rsidP="0045161B">
      <w:pPr>
        <w:pStyle w:val="Heading2"/>
      </w:pPr>
      <w:r>
        <w:t>Establecimiento de los puntos de referencia y las metas</w:t>
      </w:r>
    </w:p>
    <w:p w14:paraId="59286D43" w14:textId="77777777" w:rsidR="00CA6D23" w:rsidRDefault="00CA6D23" w:rsidP="0045161B">
      <w:pPr>
        <w:pStyle w:val="Para"/>
      </w:pPr>
      <w:r>
        <w:t>Una de las principales finalidades de la gestión basada en los resultados como el marco global de resultados es permitir a los Estados Partes (y otras partes interesadas pertinentes) determinar los puntos de referencia en función del desempeño que se haya medido y fijar las metas para la labor futura.</w:t>
      </w:r>
    </w:p>
    <w:p w14:paraId="7EF480D9" w14:textId="77777777" w:rsidR="00CA6D23" w:rsidRDefault="00CA6D23" w:rsidP="0045161B">
      <w:pPr>
        <w:pStyle w:val="Para"/>
      </w:pPr>
      <w:r>
        <w:t xml:space="preserve">Un </w:t>
      </w:r>
      <w:r>
        <w:rPr>
          <w:i/>
        </w:rPr>
        <w:t>punto de referencia</w:t>
      </w:r>
      <w:r>
        <w:t xml:space="preserve"> ofrece una línea de partida o la situación del indicador de desempeño al inicio de un programa o proyecto; este actúa como referencia contra la cual medir el progreso o el logro de los resultados.</w:t>
      </w:r>
      <w:r>
        <w:rPr>
          <w:rStyle w:val="Appelnotedebasdep"/>
          <w:rFonts w:ascii="Calibri" w:hAnsi="Calibri"/>
        </w:rPr>
        <w:footnoteReference w:id="6"/>
      </w:r>
      <w:r>
        <w:t xml:space="preserve"> Un punto de referen</w:t>
      </w:r>
      <w:r w:rsidR="000D5020">
        <w:t xml:space="preserve">cia muestra la línea </w:t>
      </w:r>
      <w:r>
        <w:t xml:space="preserve">a partir </w:t>
      </w:r>
      <w:r w:rsidR="000D5020">
        <w:t>de la</w:t>
      </w:r>
      <w:r>
        <w:t xml:space="preserve"> cual se da inicio a una implementación, se juzgan las mejoras o se establece una comparación. Por consiguiente, contar con un buen modelo de puntos de referencia para el desempeño permite a un Estado Parte conocer dónde se encuentra en un momento determinado e identificar toda mejora (o retroceso) que se haya producido, así como establecer comparaciones con otros países o regiones. Los puntos de referencia también permiten a </w:t>
      </w:r>
      <w:r w:rsidR="000D5020">
        <w:t>los</w:t>
      </w:r>
      <w:r>
        <w:t xml:space="preserve"> países fijar las </w:t>
      </w:r>
      <w:r>
        <w:rPr>
          <w:i/>
        </w:rPr>
        <w:t>metas</w:t>
      </w:r>
      <w:r>
        <w:t xml:space="preserve"> para medir el desempeño con respecto a un indicador en particular que ha de alcanzarse durante un período determinado con los recursos disponibles.</w:t>
      </w:r>
      <w:r>
        <w:rPr>
          <w:rStyle w:val="Appelnotedebasdep"/>
          <w:rFonts w:ascii="Calibri" w:hAnsi="Calibri"/>
        </w:rPr>
        <w:footnoteReference w:id="7"/>
      </w:r>
      <w:r>
        <w:t xml:space="preserve"> Las evaluaciones de los valores de los puntos de referencia y de las metas de los indicadores de desempeño permiten hacer un seguimiento del progreso alcanzado en el logro de los resultados. Si se considera el ciclo de la gestión basada en los resultados (exhibido más adelante), se observa que los puntos de referencia forman parte de la fase de evaluación (sobre la base de los datos acopiados durante la etapa de seguimiento) y, por lo tanto, aportan información de manera directa a la próxima fase de planificación. De este modo, los puntos de referencia son un elemento esencial de la planificación en el método de la gestión basada en los resultados y permiten proyectar las metas futuras y fundar los programas en la experiencia acumulada en el ciclo anterior.</w:t>
      </w:r>
    </w:p>
    <w:p w14:paraId="04FFF90D" w14:textId="77777777" w:rsidR="00DD5385" w:rsidRDefault="00545DF2" w:rsidP="0045161B">
      <w:pPr>
        <w:pStyle w:val="Para"/>
        <w:rPr>
          <w:lang w:val="es-AR"/>
        </w:rPr>
      </w:pPr>
      <w:r>
        <w:rPr>
          <w:lang w:val="es-AR"/>
        </w:rPr>
        <w:pict w14:anchorId="1D7143B7">
          <v:shape id="1 Imagen" o:spid="_x0000_i1027" type="#_x0000_t75" style="width:265.2pt;height:254.4pt;visibility:visible;mso-wrap-style:square">
            <v:imagedata r:id="rId16" o:title=""/>
          </v:shape>
        </w:pict>
      </w:r>
    </w:p>
    <w:p w14:paraId="6B0210B5" w14:textId="77777777" w:rsidR="00DD5385" w:rsidRPr="00DD5385" w:rsidRDefault="00DD5385" w:rsidP="0045161B">
      <w:pPr>
        <w:pStyle w:val="Para"/>
        <w:rPr>
          <w:lang w:val="es-AR"/>
        </w:rPr>
      </w:pPr>
      <w:r w:rsidRPr="00DD5385">
        <w:rPr>
          <w:sz w:val="16"/>
          <w:szCs w:val="16"/>
          <w:lang w:val="es-AR"/>
        </w:rPr>
        <w:t xml:space="preserve">Fuente: PNUD, </w:t>
      </w:r>
      <w:r w:rsidRPr="00DD5385">
        <w:rPr>
          <w:i/>
          <w:sz w:val="16"/>
          <w:szCs w:val="16"/>
          <w:lang w:val="es-AR"/>
        </w:rPr>
        <w:t>Manual de Planificación, Seguimiento y Evaluación de los Resultados de Desarrollo</w:t>
      </w:r>
      <w:r w:rsidRPr="00DD5385">
        <w:rPr>
          <w:sz w:val="16"/>
          <w:szCs w:val="16"/>
          <w:lang w:val="es-AR"/>
        </w:rPr>
        <w:t>, 2009</w:t>
      </w:r>
      <w:r w:rsidRPr="00DD5385">
        <w:rPr>
          <w:lang w:val="es-AR"/>
        </w:rPr>
        <w:t>.</w:t>
      </w:r>
    </w:p>
    <w:p w14:paraId="4947D74E" w14:textId="77777777" w:rsidR="00CA6D23" w:rsidRDefault="00CA6D23" w:rsidP="0045161B">
      <w:pPr>
        <w:pStyle w:val="Para"/>
      </w:pPr>
      <w:r>
        <w:lastRenderedPageBreak/>
        <w:t>Asimismo, las metas pueden coadyuvar a identificar todo déficit financiero o monto restante susceptible</w:t>
      </w:r>
      <w:r w:rsidR="00DD5385">
        <w:t>s</w:t>
      </w:r>
      <w:r>
        <w:t xml:space="preserve"> de ser movilizado</w:t>
      </w:r>
      <w:r w:rsidR="00DD5385">
        <w:t>s</w:t>
      </w:r>
      <w:r>
        <w:t>. Los indicadores de desempeño y la información asociada a estos se asemejan a una instantánea, ya que reflejan una dimensión del problema. La combinación de todos los indicadores de desempeño y su información conexa debería permitir apreciar lo que constituye la esencia del resultado, hacer el seguimiento del progreso alcanzado en su consecución y garantizar su logro, o bien entender los motivos de que no se haya alcanzado.</w:t>
      </w:r>
    </w:p>
    <w:p w14:paraId="641BA65F" w14:textId="77777777" w:rsidR="00CA6D23" w:rsidRPr="0045161B" w:rsidRDefault="00CA6D23" w:rsidP="0045161B">
      <w:pPr>
        <w:pStyle w:val="Heading2"/>
        <w:rPr>
          <w:rStyle w:val="shortdesc1"/>
          <w:rFonts w:ascii="Arial" w:hAnsi="Arial"/>
          <w:color w:val="3366FF"/>
          <w:sz w:val="24"/>
        </w:rPr>
      </w:pPr>
      <w:r>
        <w:t>Elaboración de los factores de evaluación</w:t>
      </w:r>
    </w:p>
    <w:p w14:paraId="13CA7EF4" w14:textId="77777777" w:rsidR="00CA6D23" w:rsidRPr="0045161B" w:rsidRDefault="00CA6D23" w:rsidP="00E167D0">
      <w:pPr>
        <w:spacing w:line="240" w:lineRule="auto"/>
        <w:rPr>
          <w:rStyle w:val="shortdesc1"/>
          <w:rFonts w:ascii="Arial" w:hAnsi="Arial"/>
          <w:i/>
          <w:sz w:val="20"/>
          <w:szCs w:val="20"/>
        </w:rPr>
      </w:pPr>
      <w:r>
        <w:rPr>
          <w:rStyle w:val="shortdesc1"/>
          <w:rFonts w:ascii="Arial" w:hAnsi="Arial"/>
          <w:b/>
          <w:i/>
          <w:sz w:val="20"/>
        </w:rPr>
        <w:t>Artículo 13: Otras medidas de salvaguardia</w:t>
      </w:r>
      <w:r>
        <w:rPr>
          <w:rStyle w:val="shortdesc1"/>
          <w:rFonts w:ascii="Arial" w:hAnsi="Arial"/>
          <w:i/>
          <w:sz w:val="20"/>
        </w:rPr>
        <w:t xml:space="preserve"> </w:t>
      </w:r>
      <w:r>
        <w:br/>
      </w:r>
      <w:r>
        <w:br/>
      </w:r>
      <w:r>
        <w:rPr>
          <w:rStyle w:val="shortdesc1"/>
          <w:rFonts w:ascii="Arial" w:hAnsi="Arial"/>
          <w:i/>
          <w:sz w:val="20"/>
        </w:rPr>
        <w:t>Para asegurar la salvaguardia, el desarrollo y la valorización del patrimonio cultural inmaterial presente en su territorio, cada Estado Parte hará todo lo posible por: [</w:t>
      </w:r>
      <w:r>
        <w:rPr>
          <w:rStyle w:val="shortdesc1"/>
          <w:rFonts w:ascii="Arial" w:hAnsi="Arial"/>
          <w:i/>
          <w:sz w:val="20"/>
          <w:cs/>
        </w:rPr>
        <w:t>…</w:t>
      </w:r>
      <w:r>
        <w:rPr>
          <w:rStyle w:val="shortdesc1"/>
          <w:rFonts w:ascii="Arial" w:hAnsi="Arial"/>
          <w:i/>
          <w:sz w:val="20"/>
        </w:rPr>
        <w:t xml:space="preserve">]  </w:t>
      </w:r>
    </w:p>
    <w:p w14:paraId="5A751475" w14:textId="77777777" w:rsidR="00CA6D23" w:rsidRPr="0045161B" w:rsidRDefault="00CA6D23" w:rsidP="00E167D0">
      <w:pPr>
        <w:spacing w:line="240" w:lineRule="auto"/>
        <w:rPr>
          <w:rFonts w:ascii="Arial" w:hAnsi="Arial"/>
          <w:color w:val="000000"/>
          <w:sz w:val="20"/>
          <w:szCs w:val="20"/>
        </w:rPr>
      </w:pPr>
      <w:r>
        <w:rPr>
          <w:rStyle w:val="shortdesc1"/>
          <w:rFonts w:ascii="Arial" w:hAnsi="Arial"/>
          <w:i/>
          <w:sz w:val="20"/>
        </w:rPr>
        <w:t>c) fomentar estudios científicos, técnicos y artísticos, así como metodologías de investigación, para la salvaguardia eficaz del patrimonio cultural inmaterial, y en particular del patrimonio cultural inmaterial que se encuentre en peligro.</w:t>
      </w:r>
      <w:r>
        <w:rPr>
          <w:rStyle w:val="shortdesc1"/>
          <w:rFonts w:ascii="Arial" w:hAnsi="Arial"/>
          <w:sz w:val="20"/>
        </w:rPr>
        <w:t xml:space="preserve"> </w:t>
      </w:r>
      <w:r>
        <w:br/>
      </w:r>
    </w:p>
    <w:p w14:paraId="589EA0B9" w14:textId="77777777" w:rsidR="00CA6D23" w:rsidRPr="0045161B" w:rsidRDefault="00CA6D23" w:rsidP="00A30A16">
      <w:pPr>
        <w:pStyle w:val="Paragraphedeliste"/>
        <w:numPr>
          <w:ilvl w:val="0"/>
          <w:numId w:val="45"/>
        </w:numPr>
        <w:rPr>
          <w:rFonts w:ascii="Arial" w:hAnsi="Arial" w:cs="Arial"/>
          <w:b/>
          <w:sz w:val="20"/>
          <w:szCs w:val="20"/>
        </w:rPr>
      </w:pPr>
      <w:r>
        <w:rPr>
          <w:rFonts w:ascii="Arial" w:hAnsi="Arial"/>
          <w:b/>
          <w:sz w:val="20"/>
        </w:rPr>
        <w:t>Área temática, indicador y factor de evaluación correspondiente en el marco global de resultados:</w:t>
      </w:r>
    </w:p>
    <w:p w14:paraId="5888B957" w14:textId="77777777" w:rsidR="00CA6D23" w:rsidRPr="0045161B" w:rsidRDefault="00CA6D23" w:rsidP="00750B76">
      <w:pPr>
        <w:spacing w:after="0" w:line="240" w:lineRule="auto"/>
        <w:rPr>
          <w:rFonts w:ascii="Arial" w:hAnsi="Arial"/>
          <w:b/>
          <w:sz w:val="20"/>
          <w:szCs w:val="20"/>
        </w:rPr>
      </w:pPr>
    </w:p>
    <w:p w14:paraId="103B1A2C" w14:textId="77777777" w:rsidR="00CA6D23" w:rsidRPr="0045161B" w:rsidRDefault="00CA6D23" w:rsidP="00750B76">
      <w:pPr>
        <w:spacing w:after="0" w:line="240" w:lineRule="auto"/>
        <w:rPr>
          <w:rFonts w:ascii="Arial" w:hAnsi="Arial"/>
          <w:sz w:val="20"/>
          <w:szCs w:val="20"/>
        </w:rPr>
      </w:pPr>
      <w:r>
        <w:rPr>
          <w:rFonts w:ascii="Arial" w:hAnsi="Arial"/>
          <w:b/>
          <w:sz w:val="20"/>
        </w:rPr>
        <w:t>Área temática III: Elaboración de inventarios e investigación</w:t>
      </w:r>
    </w:p>
    <w:p w14:paraId="4667BC1D" w14:textId="77777777" w:rsidR="00CA6D23" w:rsidRPr="0045161B" w:rsidRDefault="00CA6D23" w:rsidP="00750B76">
      <w:pPr>
        <w:spacing w:after="0" w:line="240" w:lineRule="auto"/>
        <w:rPr>
          <w:rFonts w:ascii="Arial" w:hAnsi="Arial"/>
          <w:sz w:val="20"/>
          <w:szCs w:val="20"/>
        </w:rPr>
      </w:pPr>
      <w:r>
        <w:br/>
      </w:r>
      <w:r>
        <w:rPr>
          <w:rFonts w:ascii="Arial" w:hAnsi="Arial"/>
          <w:b/>
          <w:i/>
          <w:sz w:val="20"/>
        </w:rPr>
        <w:t>10. Grado en el que la investigación y la documentación, incluidos los estudios científicos, técnicos y artísticos, contribuyen a la salvaguardia.</w:t>
      </w:r>
    </w:p>
    <w:p w14:paraId="14A86BDF" w14:textId="77777777" w:rsidR="00CA6D23" w:rsidRPr="0045161B" w:rsidRDefault="00CA6D23" w:rsidP="00750B76">
      <w:pPr>
        <w:spacing w:after="0" w:line="240" w:lineRule="auto"/>
        <w:rPr>
          <w:rFonts w:ascii="Arial" w:hAnsi="Arial"/>
          <w:sz w:val="20"/>
          <w:szCs w:val="20"/>
        </w:rPr>
      </w:pPr>
    </w:p>
    <w:p w14:paraId="1C3EFA7E" w14:textId="77777777" w:rsidR="00CA6D23" w:rsidRPr="0045161B" w:rsidRDefault="00CA6D23" w:rsidP="00750B76">
      <w:pPr>
        <w:spacing w:after="0" w:line="240" w:lineRule="auto"/>
        <w:rPr>
          <w:rFonts w:ascii="Arial" w:hAnsi="Arial"/>
          <w:sz w:val="20"/>
          <w:szCs w:val="20"/>
        </w:rPr>
      </w:pPr>
      <w:r>
        <w:rPr>
          <w:rFonts w:ascii="Arial" w:hAnsi="Arial"/>
          <w:sz w:val="20"/>
        </w:rPr>
        <w:t>10.3 Los resultados de las investigaciones, la documentación y los estudios científicos, técnicos y artísticos sobre el PCI se utilizan para mejorar la salvaguardia.</w:t>
      </w:r>
    </w:p>
    <w:p w14:paraId="371C7B42" w14:textId="77777777" w:rsidR="00CA6D23" w:rsidRPr="0045161B" w:rsidRDefault="00CA6D23" w:rsidP="00750B76">
      <w:pPr>
        <w:pBdr>
          <w:bottom w:val="dotted" w:sz="24" w:space="1" w:color="auto"/>
        </w:pBdr>
        <w:spacing w:after="0" w:line="240" w:lineRule="auto"/>
        <w:rPr>
          <w:rFonts w:ascii="Arial" w:hAnsi="Arial"/>
          <w:sz w:val="20"/>
          <w:szCs w:val="20"/>
        </w:rPr>
      </w:pPr>
    </w:p>
    <w:p w14:paraId="5AB15164" w14:textId="77777777" w:rsidR="00CA6D23" w:rsidRPr="0045161B" w:rsidRDefault="00CA6D23" w:rsidP="00750B76">
      <w:pPr>
        <w:spacing w:after="0" w:line="240" w:lineRule="auto"/>
        <w:rPr>
          <w:rFonts w:ascii="Arial" w:hAnsi="Arial"/>
          <w:sz w:val="20"/>
          <w:szCs w:val="20"/>
        </w:rPr>
      </w:pPr>
    </w:p>
    <w:p w14:paraId="5F8C4EEE" w14:textId="77777777" w:rsidR="00CA6D23" w:rsidRPr="0045161B" w:rsidRDefault="00CA6D23" w:rsidP="00750B76">
      <w:pPr>
        <w:spacing w:line="240" w:lineRule="auto"/>
        <w:rPr>
          <w:rStyle w:val="shortdesc1"/>
          <w:rFonts w:ascii="Arial" w:hAnsi="Arial"/>
          <w:i/>
          <w:sz w:val="20"/>
          <w:szCs w:val="20"/>
        </w:rPr>
      </w:pPr>
      <w:r>
        <w:br/>
      </w:r>
      <w:r>
        <w:rPr>
          <w:rStyle w:val="shortdesc1"/>
          <w:rFonts w:ascii="Arial" w:hAnsi="Arial"/>
          <w:b/>
          <w:i/>
          <w:sz w:val="20"/>
        </w:rPr>
        <w:t>Artículo 14: Educación, sensibilización y fortalecimiento de capacidades</w:t>
      </w:r>
      <w:r>
        <w:rPr>
          <w:rStyle w:val="shortdesc1"/>
          <w:rFonts w:ascii="Arial" w:hAnsi="Arial"/>
          <w:i/>
          <w:sz w:val="20"/>
        </w:rPr>
        <w:t xml:space="preserve"> </w:t>
      </w:r>
      <w:r>
        <w:br/>
      </w:r>
      <w:r>
        <w:br/>
      </w:r>
      <w:r>
        <w:rPr>
          <w:rStyle w:val="shortdesc1"/>
          <w:rFonts w:ascii="Arial" w:hAnsi="Arial"/>
          <w:i/>
          <w:sz w:val="20"/>
        </w:rPr>
        <w:t xml:space="preserve">Cada Estado Parte intentará por todos los medios oportunos: </w:t>
      </w:r>
      <w:r>
        <w:br/>
      </w:r>
      <w:r>
        <w:br/>
      </w:r>
      <w:r>
        <w:rPr>
          <w:rStyle w:val="shortdesc1"/>
          <w:rFonts w:ascii="Arial" w:hAnsi="Arial"/>
          <w:i/>
          <w:sz w:val="20"/>
        </w:rPr>
        <w:t xml:space="preserve">a) asegurar el reconocimiento, el respeto y la valorización del patrimonio cultural inmaterial en la sociedad, en particular mediante: </w:t>
      </w:r>
    </w:p>
    <w:p w14:paraId="24BCE5FE" w14:textId="77777777" w:rsidR="00CA6D23" w:rsidRPr="0045161B" w:rsidRDefault="00CA6D23" w:rsidP="00E167D0">
      <w:pPr>
        <w:spacing w:line="240" w:lineRule="auto"/>
        <w:rPr>
          <w:rFonts w:ascii="Arial" w:hAnsi="Arial"/>
          <w:i/>
          <w:color w:val="000000"/>
          <w:sz w:val="20"/>
          <w:szCs w:val="20"/>
        </w:rPr>
      </w:pPr>
      <w:r>
        <w:rPr>
          <w:rStyle w:val="shortdesc1"/>
          <w:rFonts w:ascii="Arial" w:hAnsi="Arial"/>
          <w:i/>
          <w:sz w:val="20"/>
        </w:rPr>
        <w:t xml:space="preserve">iii) actividades de fortalecimiento de capacidades en materia de salvaguardia del patrimonio cultural inmaterial, y especialmente de gestión y de investigación científica. </w:t>
      </w:r>
      <w:r>
        <w:br/>
      </w:r>
    </w:p>
    <w:p w14:paraId="7DCFF977" w14:textId="77777777" w:rsidR="00CA6D23" w:rsidRPr="0045161B" w:rsidRDefault="00CA6D23" w:rsidP="00750B76">
      <w:pPr>
        <w:pStyle w:val="Paragraphedeliste"/>
        <w:numPr>
          <w:ilvl w:val="0"/>
          <w:numId w:val="45"/>
        </w:numPr>
        <w:rPr>
          <w:rFonts w:ascii="Arial" w:hAnsi="Arial" w:cs="Arial"/>
          <w:b/>
          <w:sz w:val="20"/>
          <w:szCs w:val="20"/>
        </w:rPr>
      </w:pPr>
      <w:r>
        <w:rPr>
          <w:rFonts w:ascii="Arial" w:hAnsi="Arial"/>
          <w:b/>
          <w:sz w:val="20"/>
        </w:rPr>
        <w:t>Área temática, indicador y factor de evaluación correspondiente en el marco global de resultados:</w:t>
      </w:r>
    </w:p>
    <w:p w14:paraId="2EA25347" w14:textId="77777777" w:rsidR="00CA6D23" w:rsidRPr="0045161B" w:rsidRDefault="00CA6D23" w:rsidP="00750B76">
      <w:pPr>
        <w:rPr>
          <w:rFonts w:ascii="Arial" w:hAnsi="Arial"/>
          <w:b/>
          <w:sz w:val="20"/>
          <w:szCs w:val="20"/>
        </w:rPr>
      </w:pPr>
    </w:p>
    <w:p w14:paraId="246186D0" w14:textId="77777777" w:rsidR="00CA6D23" w:rsidRPr="0045161B" w:rsidRDefault="00CA6D23" w:rsidP="00750B76">
      <w:pPr>
        <w:rPr>
          <w:rFonts w:ascii="Arial" w:hAnsi="Arial"/>
          <w:i/>
          <w:iCs/>
          <w:sz w:val="20"/>
          <w:szCs w:val="20"/>
        </w:rPr>
      </w:pPr>
      <w:r>
        <w:rPr>
          <w:rFonts w:ascii="Arial" w:hAnsi="Arial"/>
          <w:b/>
          <w:sz w:val="20"/>
        </w:rPr>
        <w:t>Área temática II: Transmisión y educación</w:t>
      </w:r>
    </w:p>
    <w:p w14:paraId="4C7D9FFF" w14:textId="77777777" w:rsidR="00CA6D23" w:rsidRPr="0045161B" w:rsidRDefault="00CA6D23" w:rsidP="00E167D0">
      <w:pPr>
        <w:spacing w:after="0" w:line="240" w:lineRule="auto"/>
        <w:rPr>
          <w:rFonts w:ascii="Arial" w:hAnsi="Arial"/>
          <w:sz w:val="20"/>
          <w:szCs w:val="20"/>
        </w:rPr>
      </w:pPr>
      <w:r>
        <w:rPr>
          <w:rFonts w:ascii="Arial" w:hAnsi="Arial"/>
          <w:b/>
          <w:i/>
          <w:sz w:val="20"/>
        </w:rPr>
        <w:t>6. Grado en el que el PCI y su salvaguardia están integrados en la educación primaria y secundaria, por ejemplo en el contenido de las materias pertinentes, y la forma en que se utilizan para fortalecer la educación y el aprendizaje del PCI y permiten respetar el PCI propio y ajeno.</w:t>
      </w:r>
    </w:p>
    <w:p w14:paraId="0A6FC997" w14:textId="77777777" w:rsidR="00CA6D23" w:rsidRPr="0045161B" w:rsidRDefault="00CA6D23" w:rsidP="00E167D0">
      <w:pPr>
        <w:spacing w:after="0" w:line="240" w:lineRule="auto"/>
        <w:rPr>
          <w:rFonts w:ascii="Arial" w:hAnsi="Arial"/>
          <w:sz w:val="20"/>
          <w:szCs w:val="20"/>
        </w:rPr>
      </w:pPr>
    </w:p>
    <w:p w14:paraId="7D95520F" w14:textId="77777777" w:rsidR="00CA6D23" w:rsidRPr="0045161B" w:rsidRDefault="00CA6D23" w:rsidP="00E167D0">
      <w:pPr>
        <w:spacing w:after="0" w:line="240" w:lineRule="auto"/>
        <w:rPr>
          <w:rFonts w:ascii="Arial" w:hAnsi="Arial"/>
          <w:sz w:val="20"/>
          <w:szCs w:val="20"/>
        </w:rPr>
      </w:pPr>
      <w:r>
        <w:rPr>
          <w:rFonts w:ascii="Arial" w:hAnsi="Arial"/>
          <w:sz w:val="20"/>
        </w:rPr>
        <w:t xml:space="preserve">6.1 Las instituciones de educación superior ofrecen programas académicos y licenciaturas </w:t>
      </w:r>
      <w:r>
        <w:rPr>
          <w:rFonts w:ascii="Arial" w:hAnsi="Arial"/>
          <w:sz w:val="20"/>
          <w:cs/>
        </w:rPr>
        <w:t>—</w:t>
      </w:r>
      <w:r>
        <w:rPr>
          <w:rFonts w:ascii="Arial" w:hAnsi="Arial"/>
          <w:sz w:val="20"/>
        </w:rPr>
        <w:t>en ámbitos como la música, el arte, la artesanía, así como la formación y educación técnica</w:t>
      </w:r>
      <w:r>
        <w:rPr>
          <w:rStyle w:val="Accentuation"/>
          <w:rFonts w:ascii="Arial" w:hAnsi="Arial"/>
          <w:sz w:val="20"/>
        </w:rPr>
        <w:t xml:space="preserve"> y profesional</w:t>
      </w:r>
      <w:r>
        <w:rPr>
          <w:rFonts w:ascii="Arial" w:hAnsi="Arial"/>
          <w:sz w:val="20"/>
        </w:rPr>
        <w:t>, etc.</w:t>
      </w:r>
      <w:r w:rsidR="00DD5385">
        <w:rPr>
          <w:rFonts w:ascii="Arial" w:hAnsi="Arial"/>
          <w:sz w:val="20"/>
          <w:cs/>
        </w:rPr>
        <w:t>—</w:t>
      </w:r>
      <w:r>
        <w:rPr>
          <w:rFonts w:ascii="Arial" w:hAnsi="Arial"/>
          <w:sz w:val="20"/>
        </w:rPr>
        <w:t xml:space="preserve"> que refuerzan la práctica y transmisión del PCI.</w:t>
      </w:r>
    </w:p>
    <w:p w14:paraId="647A1018" w14:textId="77777777" w:rsidR="00CA6D23" w:rsidRPr="0045161B" w:rsidRDefault="00CA6D23" w:rsidP="00E167D0">
      <w:pPr>
        <w:spacing w:after="0" w:line="240" w:lineRule="auto"/>
        <w:rPr>
          <w:rFonts w:ascii="Arial" w:hAnsi="Arial"/>
          <w:sz w:val="20"/>
          <w:szCs w:val="20"/>
        </w:rPr>
      </w:pPr>
    </w:p>
    <w:p w14:paraId="39C8524B" w14:textId="77777777" w:rsidR="00CA6D23" w:rsidRPr="0045161B" w:rsidRDefault="00CA6D23">
      <w:pPr>
        <w:rPr>
          <w:rFonts w:ascii="Arial" w:hAnsi="Arial"/>
          <w:b/>
          <w:snapToGrid w:val="0"/>
          <w:sz w:val="20"/>
          <w:szCs w:val="20"/>
        </w:rPr>
      </w:pPr>
      <w:r>
        <w:rPr>
          <w:rFonts w:ascii="Arial" w:hAnsi="Arial"/>
          <w:b/>
          <w:sz w:val="20"/>
        </w:rPr>
        <w:lastRenderedPageBreak/>
        <w:t>Preguntas relacionadas:</w:t>
      </w:r>
    </w:p>
    <w:p w14:paraId="5509DE76" w14:textId="77777777" w:rsidR="00CA6D23" w:rsidRPr="0045161B" w:rsidRDefault="00CA6D23" w:rsidP="00E167D0">
      <w:pPr>
        <w:numPr>
          <w:ilvl w:val="0"/>
          <w:numId w:val="44"/>
        </w:numPr>
        <w:rPr>
          <w:rFonts w:ascii="Arial" w:hAnsi="Arial"/>
          <w:bCs/>
          <w:snapToGrid w:val="0"/>
          <w:sz w:val="20"/>
          <w:szCs w:val="20"/>
        </w:rPr>
      </w:pPr>
      <w:r>
        <w:rPr>
          <w:rFonts w:ascii="Arial" w:hAnsi="Arial"/>
          <w:sz w:val="20"/>
        </w:rPr>
        <w:t>¿Cuál es la finalidad del seguimiento y la evaluación de este indicador?</w:t>
      </w:r>
    </w:p>
    <w:p w14:paraId="76A83F30" w14:textId="77777777" w:rsidR="00CA6D23" w:rsidRPr="0045161B" w:rsidRDefault="00CA6D23" w:rsidP="00E167D0">
      <w:pPr>
        <w:numPr>
          <w:ilvl w:val="0"/>
          <w:numId w:val="44"/>
        </w:numPr>
        <w:rPr>
          <w:rFonts w:ascii="Arial" w:hAnsi="Arial"/>
          <w:bCs/>
          <w:snapToGrid w:val="0"/>
          <w:sz w:val="20"/>
          <w:szCs w:val="20"/>
        </w:rPr>
      </w:pPr>
      <w:r>
        <w:rPr>
          <w:rFonts w:ascii="Arial" w:hAnsi="Arial"/>
          <w:sz w:val="20"/>
        </w:rPr>
        <w:t xml:space="preserve">¿Puede darse seguimiento a la implementación mediante el uso de indicadores cuantitativos o cualitativos (o de ambos)? </w:t>
      </w:r>
    </w:p>
    <w:p w14:paraId="2F8D0AFA" w14:textId="77777777" w:rsidR="00CA6D23" w:rsidRPr="0045161B" w:rsidRDefault="00CA6D23" w:rsidP="00E167D0">
      <w:pPr>
        <w:numPr>
          <w:ilvl w:val="0"/>
          <w:numId w:val="44"/>
        </w:numPr>
        <w:rPr>
          <w:rFonts w:ascii="Arial" w:hAnsi="Arial"/>
          <w:bCs/>
          <w:snapToGrid w:val="0"/>
          <w:sz w:val="20"/>
          <w:szCs w:val="20"/>
        </w:rPr>
      </w:pPr>
      <w:r>
        <w:rPr>
          <w:rFonts w:ascii="Arial" w:hAnsi="Arial"/>
          <w:sz w:val="20"/>
        </w:rPr>
        <w:t>¿Cuán constante puede resultar esta información en el transcurso del tiempo?</w:t>
      </w:r>
    </w:p>
    <w:p w14:paraId="50EADA15" w14:textId="77777777" w:rsidR="00CA6D23" w:rsidRPr="0045161B" w:rsidRDefault="00CA6D23" w:rsidP="00E167D0">
      <w:pPr>
        <w:numPr>
          <w:ilvl w:val="0"/>
          <w:numId w:val="44"/>
        </w:numPr>
        <w:rPr>
          <w:rFonts w:ascii="Arial" w:hAnsi="Arial"/>
          <w:bCs/>
          <w:snapToGrid w:val="0"/>
          <w:sz w:val="20"/>
          <w:szCs w:val="20"/>
        </w:rPr>
      </w:pPr>
      <w:r>
        <w:rPr>
          <w:rFonts w:ascii="Arial" w:hAnsi="Arial"/>
          <w:sz w:val="20"/>
        </w:rPr>
        <w:t>¿Cuáles son las funciones de los distintos actores, en particular</w:t>
      </w:r>
      <w:r w:rsidR="00DD5385">
        <w:rPr>
          <w:rFonts w:ascii="Arial" w:hAnsi="Arial"/>
          <w:sz w:val="20"/>
        </w:rPr>
        <w:t>, las de</w:t>
      </w:r>
      <w:r>
        <w:rPr>
          <w:rFonts w:ascii="Arial" w:hAnsi="Arial"/>
          <w:sz w:val="20"/>
        </w:rPr>
        <w:t xml:space="preserve"> los miembros de la comunidad y los grupos y los depositarios y exponentes del PCI?</w:t>
      </w:r>
    </w:p>
    <w:p w14:paraId="5CBD397C" w14:textId="77777777" w:rsidR="00CA6D23" w:rsidRPr="0045161B" w:rsidRDefault="00CA6D23" w:rsidP="00E167D0">
      <w:pPr>
        <w:numPr>
          <w:ilvl w:val="0"/>
          <w:numId w:val="44"/>
        </w:numPr>
        <w:rPr>
          <w:rFonts w:ascii="Arial" w:hAnsi="Arial"/>
          <w:bCs/>
          <w:snapToGrid w:val="0"/>
          <w:sz w:val="20"/>
          <w:szCs w:val="20"/>
        </w:rPr>
      </w:pPr>
      <w:r>
        <w:rPr>
          <w:rFonts w:ascii="Arial" w:hAnsi="Arial"/>
          <w:sz w:val="20"/>
        </w:rPr>
        <w:t>¿Pueden desagregar sus datos en función de dimensiones como las de género, edad y de otra índole?</w:t>
      </w:r>
    </w:p>
    <w:p w14:paraId="62532C6D" w14:textId="77777777" w:rsidR="00CA6D23" w:rsidRPr="00CC6752" w:rsidRDefault="00CA6D23" w:rsidP="00750B76">
      <w:pPr>
        <w:rPr>
          <w:rFonts w:eastAsia="MS Mincho" w:cs="Calibri"/>
          <w:b/>
          <w:snapToGrid w:val="0"/>
        </w:rPr>
      </w:pPr>
      <w:r>
        <w:br w:type="page"/>
      </w:r>
    </w:p>
    <w:p w14:paraId="2BDC3E65" w14:textId="77777777" w:rsidR="00CA6D23" w:rsidRPr="0045161B" w:rsidRDefault="00CA6D23" w:rsidP="0045161B">
      <w:pPr>
        <w:pStyle w:val="Heading2"/>
      </w:pPr>
      <w:r>
        <w:t>GLOSARIO DE LA UNESCO SOBRE LA GESTIÓN BASADA EN LOS RESULTADOS</w:t>
      </w:r>
      <w:r>
        <w:rPr>
          <w:b w:val="0"/>
          <w:bCs w:val="0"/>
          <w:caps w:val="0"/>
          <w:vertAlign w:val="superscript"/>
        </w:rPr>
        <w:footnoteReference w:id="8"/>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7643"/>
      </w:tblGrid>
      <w:tr w:rsidR="00DD5385" w:rsidRPr="00CC6752" w14:paraId="0324D817" w14:textId="77777777" w:rsidTr="00CC6752">
        <w:tc>
          <w:tcPr>
            <w:tcW w:w="865" w:type="pct"/>
          </w:tcPr>
          <w:p w14:paraId="3B5278A4"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Evaluación</w:t>
            </w:r>
          </w:p>
        </w:tc>
        <w:tc>
          <w:tcPr>
            <w:tcW w:w="4135" w:type="pct"/>
            <w:vAlign w:val="center"/>
          </w:tcPr>
          <w:p w14:paraId="65EAFE26" w14:textId="77777777" w:rsidR="00DD5385" w:rsidRPr="00CC6752" w:rsidRDefault="00DD5385" w:rsidP="00CC6752">
            <w:pPr>
              <w:spacing w:before="60" w:after="60" w:line="240" w:lineRule="auto"/>
              <w:jc w:val="both"/>
              <w:rPr>
                <w:rFonts w:ascii="Arial" w:eastAsia="MS Mincho" w:hAnsi="Arial"/>
                <w:sz w:val="20"/>
                <w:szCs w:val="20"/>
              </w:rPr>
            </w:pPr>
            <w:r>
              <w:rPr>
                <w:rFonts w:ascii="Arial" w:hAnsi="Arial"/>
                <w:sz w:val="20"/>
                <w:cs/>
              </w:rPr>
              <w:t>“</w:t>
            </w:r>
            <w:r>
              <w:rPr>
                <w:rFonts w:ascii="Arial" w:hAnsi="Arial"/>
                <w:sz w:val="20"/>
              </w:rPr>
              <w:t>Una evaluación es una valoración, realizada de la manera más sistemática e imparcial posible, de una actividad, proyecto, programa, estrategia, política, tópico, tema, sector, área operativa o desempeño institucional. Analiza el grado de consecución de los resultados esperados examinando la cadena de resultados, los factores contextuales y la causalidad con el fin de comprender los logros o la falta de estos. Con ella se busca determinar la pertinencia, la efectividad, la eficiencia, el impacto y la sostenibilidad de las intervenciones y contribuciones de las organizaciones del sistema de las Naciones Unidas. Una evaluación debería suministrar información creíble y útil basada en datos empíricos fidedignos, confiables y útiles que faciliten la incorporación oportuna de los hallazgos, recomendaciones y lecciones en los procesos de toma de decisiones de las organizaciones del sistema de las Naciones Unidas y de sus miembros</w:t>
            </w:r>
            <w:r>
              <w:rPr>
                <w:rFonts w:ascii="Arial" w:hAnsi="Arial"/>
                <w:sz w:val="20"/>
                <w:cs/>
              </w:rPr>
              <w:t>”</w:t>
            </w:r>
            <w:r>
              <w:rPr>
                <w:rFonts w:ascii="Arial" w:hAnsi="Arial"/>
                <w:sz w:val="20"/>
              </w:rPr>
              <w:t>. (Grupo de Evaluación de las Naciones Unidas (2016). Normas de evaluación. Nueva York: UNEG).</w:t>
            </w:r>
          </w:p>
        </w:tc>
      </w:tr>
      <w:tr w:rsidR="00DD5385" w:rsidRPr="00CC6752" w14:paraId="3E57AB70" w14:textId="77777777" w:rsidTr="00CC6752">
        <w:tc>
          <w:tcPr>
            <w:tcW w:w="865" w:type="pct"/>
          </w:tcPr>
          <w:p w14:paraId="3782AD7E"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Gestión basada en los resultados</w:t>
            </w:r>
          </w:p>
        </w:tc>
        <w:tc>
          <w:tcPr>
            <w:tcW w:w="4135" w:type="pct"/>
            <w:vAlign w:val="center"/>
          </w:tcPr>
          <w:p w14:paraId="2B468B07"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La gestión basada en los resultados refleja la manera en que una organización aplica sus procesos y recursos para llevar a cabo intervenciones para el desarrollo con el objeto de lograr los resultados deseados.</w:t>
            </w:r>
          </w:p>
          <w:p w14:paraId="4C504443"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Se trata de un método de gestión participativo y basado en el trabajo en equipo que se centra en el desempeño y en el logro de resultados, y que se aplica en todas las fases del ciclo del programa. Tiene por objeto mejorar la ejecución del programa y reforzar la eficacia, la eficiencia y la rendición de cuentas en la gestión.</w:t>
            </w:r>
          </w:p>
        </w:tc>
      </w:tr>
      <w:tr w:rsidR="00DD5385" w:rsidRPr="00CC6752" w14:paraId="624DA89C" w14:textId="77777777" w:rsidTr="00CC6752">
        <w:tc>
          <w:tcPr>
            <w:tcW w:w="865" w:type="pct"/>
          </w:tcPr>
          <w:p w14:paraId="4458AD25" w14:textId="77777777" w:rsidR="00DD5385" w:rsidRPr="00CC6752" w:rsidRDefault="00DD5385" w:rsidP="00CC6752">
            <w:pPr>
              <w:pStyle w:val="COMTitleDecision"/>
              <w:keepNext w:val="0"/>
              <w:spacing w:before="60" w:after="60"/>
              <w:rPr>
                <w:snapToGrid w:val="0"/>
                <w:sz w:val="20"/>
                <w:szCs w:val="20"/>
              </w:rPr>
            </w:pPr>
            <w:r>
              <w:rPr>
                <w:sz w:val="20"/>
              </w:rPr>
              <w:t>Impacto</w:t>
            </w:r>
          </w:p>
        </w:tc>
        <w:tc>
          <w:tcPr>
            <w:tcW w:w="4135" w:type="pct"/>
            <w:vAlign w:val="center"/>
          </w:tcPr>
          <w:p w14:paraId="18F74CE5" w14:textId="77777777" w:rsidR="00DD5385" w:rsidRPr="00CC6752" w:rsidRDefault="00DD5385" w:rsidP="0088484F">
            <w:pPr>
              <w:spacing w:before="60" w:after="60" w:line="240" w:lineRule="auto"/>
              <w:jc w:val="both"/>
              <w:rPr>
                <w:rFonts w:ascii="Arial" w:eastAsia="MS Mincho" w:hAnsi="Arial"/>
                <w:sz w:val="20"/>
                <w:szCs w:val="20"/>
              </w:rPr>
            </w:pPr>
            <w:r>
              <w:rPr>
                <w:rFonts w:ascii="Arial" w:hAnsi="Arial"/>
                <w:sz w:val="20"/>
              </w:rPr>
              <w:t>El impacto implica los cambios en la vida de las personas. Este podría incluir cambios en los conocimientos, las competencias, los comportamientos, la salud, los ingresos, o las condiciones de vida. Dichos cambios a largo plazo pueden ser positivos o negativos y producidos, directa o indirectamente, por una intervención de desarrollo, intencionadamente o no. Pueden ser económico</w:t>
            </w:r>
            <w:r w:rsidR="0088484F">
              <w:rPr>
                <w:rFonts w:ascii="Arial" w:hAnsi="Arial"/>
                <w:sz w:val="20"/>
              </w:rPr>
              <w:t>s</w:t>
            </w:r>
            <w:r>
              <w:rPr>
                <w:rFonts w:ascii="Arial" w:hAnsi="Arial"/>
                <w:sz w:val="20"/>
              </w:rPr>
              <w:t>, sociocultural</w:t>
            </w:r>
            <w:r w:rsidR="0088484F">
              <w:rPr>
                <w:rFonts w:ascii="Arial" w:hAnsi="Arial"/>
                <w:sz w:val="20"/>
              </w:rPr>
              <w:t>es</w:t>
            </w:r>
            <w:r>
              <w:rPr>
                <w:rFonts w:ascii="Arial" w:hAnsi="Arial"/>
                <w:sz w:val="20"/>
              </w:rPr>
              <w:t>, institucional</w:t>
            </w:r>
            <w:r w:rsidR="0088484F">
              <w:rPr>
                <w:rFonts w:ascii="Arial" w:hAnsi="Arial"/>
                <w:sz w:val="20"/>
              </w:rPr>
              <w:t>es</w:t>
            </w:r>
            <w:r>
              <w:rPr>
                <w:rFonts w:ascii="Arial" w:hAnsi="Arial"/>
                <w:sz w:val="20"/>
              </w:rPr>
              <w:t>, ambiental</w:t>
            </w:r>
            <w:r w:rsidR="0088484F">
              <w:rPr>
                <w:rFonts w:ascii="Arial" w:hAnsi="Arial"/>
                <w:sz w:val="20"/>
              </w:rPr>
              <w:t>es</w:t>
            </w:r>
            <w:r>
              <w:rPr>
                <w:rFonts w:ascii="Arial" w:hAnsi="Arial"/>
                <w:sz w:val="20"/>
              </w:rPr>
              <w:t>, tecnológico</w:t>
            </w:r>
            <w:r w:rsidR="0088484F">
              <w:rPr>
                <w:rFonts w:ascii="Arial" w:hAnsi="Arial"/>
                <w:sz w:val="20"/>
              </w:rPr>
              <w:t>s</w:t>
            </w:r>
            <w:r>
              <w:rPr>
                <w:rFonts w:ascii="Arial" w:hAnsi="Arial"/>
                <w:sz w:val="20"/>
              </w:rPr>
              <w:t xml:space="preserve"> o de otra índole y deberían guardar alguna relación con las metas de desarrollo acordadas internacionalmente, las metas nacionales de desarrollo, y los compromisos nacionales asumidos en virtud de convenciones y tratados internacionales.</w:t>
            </w:r>
          </w:p>
        </w:tc>
      </w:tr>
      <w:tr w:rsidR="00DD5385" w:rsidRPr="00CC6752" w14:paraId="4ED2746B" w14:textId="77777777" w:rsidTr="00CC6752">
        <w:tc>
          <w:tcPr>
            <w:tcW w:w="865" w:type="pct"/>
          </w:tcPr>
          <w:p w14:paraId="584A4415"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Indicador de desempeño</w:t>
            </w:r>
          </w:p>
        </w:tc>
        <w:tc>
          <w:tcPr>
            <w:tcW w:w="4135" w:type="pct"/>
            <w:vAlign w:val="center"/>
          </w:tcPr>
          <w:p w14:paraId="3422CA8C" w14:textId="77777777" w:rsidR="00DD5385" w:rsidRPr="00CC6752" w:rsidRDefault="00DD5385" w:rsidP="00CC6752">
            <w:pPr>
              <w:pStyle w:val="COMTitleDecision"/>
              <w:spacing w:before="60" w:after="60"/>
              <w:rPr>
                <w:b w:val="0"/>
                <w:sz w:val="20"/>
                <w:szCs w:val="20"/>
              </w:rPr>
            </w:pPr>
            <w:r>
              <w:rPr>
                <w:b w:val="0"/>
                <w:sz w:val="20"/>
              </w:rPr>
              <w:t xml:space="preserve">Un indicador de desempeño es una unidad de medida en una escala o dimensión especificada. Constituye un medio cualitativo o cuantitativo de medir un producto o un resultado con la </w:t>
            </w:r>
            <w:r w:rsidR="0088484F">
              <w:rPr>
                <w:b w:val="0"/>
                <w:sz w:val="20"/>
              </w:rPr>
              <w:t>objeto</w:t>
            </w:r>
            <w:r>
              <w:rPr>
                <w:b w:val="0"/>
                <w:sz w:val="20"/>
              </w:rPr>
              <w:t xml:space="preserve"> de evaluar el desempeño de un programa o una inversión.</w:t>
            </w:r>
          </w:p>
          <w:p w14:paraId="35C12C6F" w14:textId="77777777" w:rsidR="00DD5385" w:rsidRPr="00CC6752" w:rsidRDefault="00DD5385" w:rsidP="00CC6752">
            <w:pPr>
              <w:pStyle w:val="COMTitleDecision"/>
              <w:spacing w:before="60" w:after="60"/>
              <w:rPr>
                <w:b w:val="0"/>
                <w:sz w:val="20"/>
                <w:szCs w:val="20"/>
              </w:rPr>
            </w:pPr>
            <w:r>
              <w:rPr>
                <w:b w:val="0"/>
                <w:sz w:val="20"/>
              </w:rPr>
              <w:t>Los indicadores de desempeño de los resultados esperados se refieren a lo que los beneficiarios directos habrán de hacer de una manera distinta tras la intervención para el desarrollo. Los indicadores de desempeño coadyuvan a garantizar que el resultado esperado sea susceptible de medición. Permiten determinar el grado en que los beneficiarios directos o grupos destinatarios han sido alcanzados por una intervención y, por lo tanto, aportan señales del cambio (o nivel de cumplimiento), lo que permite evaluar el nivel o grado de cumplimiento.</w:t>
            </w:r>
          </w:p>
        </w:tc>
      </w:tr>
      <w:tr w:rsidR="00DD5385" w:rsidRPr="00CC6752" w14:paraId="2BE0BA5C" w14:textId="77777777" w:rsidTr="00CC6752">
        <w:tc>
          <w:tcPr>
            <w:tcW w:w="865" w:type="pct"/>
          </w:tcPr>
          <w:p w14:paraId="7AC8FB65"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Insumo</w:t>
            </w:r>
          </w:p>
        </w:tc>
        <w:tc>
          <w:tcPr>
            <w:tcW w:w="4135" w:type="pct"/>
            <w:vAlign w:val="center"/>
          </w:tcPr>
          <w:p w14:paraId="0B613952" w14:textId="77777777" w:rsidR="00DD5385" w:rsidRPr="00CC6752" w:rsidRDefault="00DD5385" w:rsidP="0088484F">
            <w:pPr>
              <w:spacing w:before="60" w:after="60" w:line="240" w:lineRule="auto"/>
              <w:jc w:val="both"/>
              <w:rPr>
                <w:rFonts w:ascii="Arial" w:eastAsia="MS Mincho" w:hAnsi="Arial"/>
                <w:sz w:val="20"/>
                <w:szCs w:val="20"/>
              </w:rPr>
            </w:pPr>
            <w:r>
              <w:rPr>
                <w:rFonts w:ascii="Arial" w:hAnsi="Arial"/>
                <w:sz w:val="20"/>
              </w:rPr>
              <w:t>Los</w:t>
            </w:r>
            <w:r w:rsidR="0088484F">
              <w:rPr>
                <w:rFonts w:ascii="Arial" w:hAnsi="Arial"/>
                <w:sz w:val="20"/>
              </w:rPr>
              <w:t xml:space="preserve"> insumos son los</w:t>
            </w:r>
            <w:r>
              <w:rPr>
                <w:rFonts w:ascii="Arial" w:hAnsi="Arial"/>
                <w:sz w:val="20"/>
              </w:rPr>
              <w:t xml:space="preserve"> recursos financieros, humanos, materiales, tecnológicos y de información empleados para</w:t>
            </w:r>
            <w:r w:rsidR="0088484F">
              <w:rPr>
                <w:rFonts w:ascii="Arial" w:hAnsi="Arial"/>
                <w:sz w:val="20"/>
              </w:rPr>
              <w:t xml:space="preserve"> llevar adelante una intervenció</w:t>
            </w:r>
            <w:r>
              <w:rPr>
                <w:rFonts w:ascii="Arial" w:hAnsi="Arial"/>
                <w:sz w:val="20"/>
              </w:rPr>
              <w:t>n para el desarrollo.</w:t>
            </w:r>
          </w:p>
        </w:tc>
      </w:tr>
      <w:tr w:rsidR="00DD5385" w:rsidRPr="00CC6752" w14:paraId="3F13ACD4" w14:textId="77777777" w:rsidTr="00CC6752">
        <w:tc>
          <w:tcPr>
            <w:tcW w:w="865" w:type="pct"/>
          </w:tcPr>
          <w:p w14:paraId="675A1E68"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Marco de resultados</w:t>
            </w:r>
          </w:p>
        </w:tc>
        <w:tc>
          <w:tcPr>
            <w:tcW w:w="4135" w:type="pct"/>
            <w:vAlign w:val="center"/>
          </w:tcPr>
          <w:p w14:paraId="074D6476"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 xml:space="preserve">El marco de resultados tiene por propósito orientar la planificación, la programación, la presupuestación, el seguimiento, la evaluación y la presentación de informes en todos los niveles de la Organización. Se define un marco de </w:t>
            </w:r>
            <w:r>
              <w:rPr>
                <w:rFonts w:ascii="Arial" w:hAnsi="Arial"/>
                <w:sz w:val="20"/>
              </w:rPr>
              <w:lastRenderedPageBreak/>
              <w:t>resultados para todos los resultados esperados del documento C/5, así como para todos los programas, actividades o proyectos. Proporciona la lógica interna y garantiza que esta sea congruente en sí misma y, por lo tanto, que favorezca la calidad del programa, actividad o proyecto por medio de la vinculación de los productos con los resultados que han de lograrse gracias a su ejecución. Tanto para los productos como para los resultados, en el marco de resultados se presentan indicadores de desempeño cuantitativos y cualitativos e información conexa, como los puntos de referencia y las metas, que permiten medir los logros en la consecución de los resultados (impacto) y también los productos obtenidos (desempeño).</w:t>
            </w:r>
          </w:p>
        </w:tc>
      </w:tr>
      <w:tr w:rsidR="00DD5385" w:rsidRPr="00CC6752" w14:paraId="3FB0C1B8" w14:textId="77777777" w:rsidTr="00CC6752">
        <w:tc>
          <w:tcPr>
            <w:tcW w:w="865" w:type="pct"/>
          </w:tcPr>
          <w:p w14:paraId="70DA1010"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lastRenderedPageBreak/>
              <w:t>Parámetro</w:t>
            </w:r>
          </w:p>
        </w:tc>
        <w:tc>
          <w:tcPr>
            <w:tcW w:w="4135" w:type="pct"/>
            <w:vAlign w:val="center"/>
          </w:tcPr>
          <w:p w14:paraId="78A727DA" w14:textId="77777777" w:rsidR="00DD5385" w:rsidRPr="00CC6752" w:rsidRDefault="00DD5385" w:rsidP="00CC6752">
            <w:pPr>
              <w:spacing w:before="60" w:after="60" w:line="240" w:lineRule="auto"/>
              <w:jc w:val="both"/>
              <w:rPr>
                <w:rFonts w:ascii="Arial" w:eastAsia="MS Mincho" w:hAnsi="Arial"/>
                <w:sz w:val="20"/>
                <w:szCs w:val="20"/>
              </w:rPr>
            </w:pPr>
            <w:r>
              <w:rPr>
                <w:rFonts w:ascii="Arial" w:hAnsi="Arial"/>
                <w:sz w:val="20"/>
              </w:rPr>
              <w:t>Punto o criterio de referencia, incluidas las normas, con el que se pueden apreciar los progresos realizados o los logros alcanzados.</w:t>
            </w:r>
          </w:p>
        </w:tc>
      </w:tr>
      <w:tr w:rsidR="00DD5385" w:rsidRPr="00CC6752" w14:paraId="1A330DAC" w14:textId="77777777" w:rsidTr="00CC6752">
        <w:tc>
          <w:tcPr>
            <w:tcW w:w="865" w:type="pct"/>
          </w:tcPr>
          <w:p w14:paraId="7B047C7E"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Presupuesta</w:t>
            </w:r>
            <w:r w:rsidR="0088484F">
              <w:rPr>
                <w:rFonts w:ascii="Arial" w:hAnsi="Arial"/>
                <w:b/>
                <w:sz w:val="20"/>
              </w:rPr>
              <w:t>-</w:t>
            </w:r>
            <w:r>
              <w:rPr>
                <w:rFonts w:ascii="Arial" w:hAnsi="Arial"/>
                <w:b/>
                <w:sz w:val="20"/>
              </w:rPr>
              <w:t>ción basada en los resultados</w:t>
            </w:r>
          </w:p>
        </w:tc>
        <w:tc>
          <w:tcPr>
            <w:tcW w:w="4135" w:type="pct"/>
            <w:vAlign w:val="center"/>
          </w:tcPr>
          <w:p w14:paraId="7628E701"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La presupuestación basada en los resultados es el componente de presupuestación del marco de la gestión basada en los resultados de la UNESCO. Consiste en un proceso presupuestario que establece un nexo directo entre la asignación de recursos y la obtención de resultados específicos medibles. Brinda el marco para la determinación de los costos (insumos) y la base para el establecimiento de prioridades en los presupuestos en función de los resultados esperados durante la fase de planificación del programa, así como para la gestión de los recursos financieros durante la fase de ejecución, a fin de velar por una utilización eficiente de los recursos.</w:t>
            </w:r>
          </w:p>
        </w:tc>
      </w:tr>
      <w:tr w:rsidR="00DD5385" w:rsidRPr="00CC6752" w14:paraId="482EFAC7" w14:textId="77777777" w:rsidTr="00CC6752">
        <w:tc>
          <w:tcPr>
            <w:tcW w:w="865" w:type="pct"/>
          </w:tcPr>
          <w:p w14:paraId="33A04026"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Productos</w:t>
            </w:r>
          </w:p>
        </w:tc>
        <w:tc>
          <w:tcPr>
            <w:tcW w:w="4135" w:type="pct"/>
            <w:vAlign w:val="center"/>
          </w:tcPr>
          <w:p w14:paraId="25C9C248" w14:textId="77777777" w:rsidR="00DD5385" w:rsidRPr="00CC6752" w:rsidRDefault="00DD5385" w:rsidP="00CC6752">
            <w:pPr>
              <w:pStyle w:val="COMTitleDecision"/>
              <w:spacing w:before="60" w:after="60"/>
              <w:rPr>
                <w:b w:val="0"/>
                <w:sz w:val="20"/>
                <w:szCs w:val="20"/>
              </w:rPr>
            </w:pPr>
            <w:r>
              <w:rPr>
                <w:b w:val="0"/>
                <w:sz w:val="20"/>
              </w:rPr>
              <w:t>Constituyen los productos, bienes y servicios derivados de una intervención para el desarrollo. La Organización tiene control sobre ellos y le son atribuibles. Los productos pueden incluir cambios resultantes de la intervención en la que son relevantes para el logro de los resultados esperados. Pueden ser materiales o inmateriales.</w:t>
            </w:r>
          </w:p>
        </w:tc>
      </w:tr>
      <w:tr w:rsidR="00DD5385" w:rsidRPr="00CC6752" w14:paraId="522E5D8D" w14:textId="77777777" w:rsidTr="00CC6752">
        <w:tc>
          <w:tcPr>
            <w:tcW w:w="865" w:type="pct"/>
          </w:tcPr>
          <w:p w14:paraId="4D578E17" w14:textId="77777777" w:rsidR="00DD5385" w:rsidRPr="00CC6752" w:rsidRDefault="00DD5385" w:rsidP="00CC6752">
            <w:pPr>
              <w:spacing w:before="60" w:after="60" w:line="240" w:lineRule="auto"/>
              <w:jc w:val="both"/>
              <w:rPr>
                <w:rFonts w:ascii="Arial" w:eastAsia="MS Mincho" w:hAnsi="Arial"/>
                <w:b/>
                <w:snapToGrid w:val="0"/>
                <w:sz w:val="20"/>
                <w:szCs w:val="20"/>
              </w:rPr>
            </w:pPr>
            <w:r>
              <w:rPr>
                <w:rFonts w:ascii="Arial" w:hAnsi="Arial"/>
                <w:b/>
                <w:sz w:val="20"/>
              </w:rPr>
              <w:t xml:space="preserve">Resultados </w:t>
            </w:r>
          </w:p>
        </w:tc>
        <w:tc>
          <w:tcPr>
            <w:tcW w:w="4135" w:type="pct"/>
            <w:vAlign w:val="center"/>
          </w:tcPr>
          <w:p w14:paraId="32F2F47A"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Los resultados son los cambios producidos en una situación o condición</w:t>
            </w:r>
            <w:r w:rsidR="0088484F">
              <w:rPr>
                <w:rFonts w:ascii="Arial" w:hAnsi="Arial"/>
                <w:sz w:val="20"/>
              </w:rPr>
              <w:t>, y</w:t>
            </w:r>
            <w:r>
              <w:rPr>
                <w:rFonts w:ascii="Arial" w:hAnsi="Arial"/>
                <w:sz w:val="20"/>
              </w:rPr>
              <w:t xml:space="preserve"> derivan de una relación causa-efecto. Pueden ser intencionados o no intencionados, positivos o negativos.</w:t>
            </w:r>
          </w:p>
          <w:p w14:paraId="2D99CA48"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 xml:space="preserve">Un resultado esperado expresa el cambio </w:t>
            </w:r>
            <w:r>
              <w:rPr>
                <w:rFonts w:ascii="Arial" w:hAnsi="Arial"/>
                <w:sz w:val="20"/>
                <w:cs/>
              </w:rPr>
              <w:t>“</w:t>
            </w:r>
            <w:r>
              <w:rPr>
                <w:rFonts w:ascii="Arial" w:hAnsi="Arial"/>
                <w:sz w:val="20"/>
              </w:rPr>
              <w:t>deseado</w:t>
            </w:r>
            <w:r>
              <w:rPr>
                <w:rFonts w:ascii="Arial" w:hAnsi="Arial"/>
                <w:sz w:val="20"/>
                <w:cs/>
              </w:rPr>
              <w:t xml:space="preserve">” </w:t>
            </w:r>
            <w:r>
              <w:rPr>
                <w:rFonts w:ascii="Arial" w:hAnsi="Arial"/>
                <w:sz w:val="20"/>
              </w:rPr>
              <w:t>que se espera sea inducido por la implementación de programas, actividades o proyectos ejecutados en el contexto del documento de Programa y Presupuesto (documento C/5).</w:t>
            </w:r>
          </w:p>
          <w:p w14:paraId="7FF1FD73"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Debería permitir saber cómo se espera que una situación específica sea distinta de la situación actual. Por ello, debería expresar qué se espera que sea distinto en lugar de centrarse en aquello que habrá de realizarse. Está a menudo relacionado con la utilización de productos por los beneficiarios directos.</w:t>
            </w:r>
          </w:p>
          <w:p w14:paraId="0195280E" w14:textId="77777777" w:rsidR="00DD5385" w:rsidRPr="00CC6752" w:rsidRDefault="00DD5385" w:rsidP="00CC6752">
            <w:pPr>
              <w:spacing w:before="60" w:after="60" w:line="240" w:lineRule="auto"/>
              <w:jc w:val="both"/>
              <w:rPr>
                <w:rFonts w:ascii="Arial" w:eastAsia="MS Mincho" w:hAnsi="Arial"/>
                <w:snapToGrid w:val="0"/>
                <w:sz w:val="20"/>
                <w:szCs w:val="20"/>
              </w:rPr>
            </w:pPr>
            <w:r>
              <w:rPr>
                <w:rFonts w:ascii="Arial" w:hAnsi="Arial"/>
                <w:sz w:val="20"/>
              </w:rPr>
              <w:t>La consecución de los resultados se mide por medio de indicadores cuantitativos y cualitativos.</w:t>
            </w:r>
          </w:p>
        </w:tc>
      </w:tr>
      <w:tr w:rsidR="00DD5385" w:rsidRPr="00CC6752" w14:paraId="2352C6F6" w14:textId="77777777" w:rsidTr="00CC6752">
        <w:tc>
          <w:tcPr>
            <w:tcW w:w="865" w:type="pct"/>
          </w:tcPr>
          <w:p w14:paraId="57C7DA77" w14:textId="77777777" w:rsidR="00DD5385" w:rsidRPr="00CC6752" w:rsidRDefault="00DD5385" w:rsidP="00CC6752">
            <w:pPr>
              <w:pStyle w:val="COMTitleDecision"/>
              <w:keepNext w:val="0"/>
              <w:spacing w:before="60" w:after="60"/>
              <w:rPr>
                <w:snapToGrid w:val="0"/>
                <w:sz w:val="20"/>
                <w:szCs w:val="20"/>
              </w:rPr>
            </w:pPr>
            <w:r>
              <w:rPr>
                <w:sz w:val="20"/>
              </w:rPr>
              <w:t>Resultados esperados</w:t>
            </w:r>
          </w:p>
        </w:tc>
        <w:tc>
          <w:tcPr>
            <w:tcW w:w="4135" w:type="pct"/>
            <w:vAlign w:val="center"/>
          </w:tcPr>
          <w:p w14:paraId="2914F048" w14:textId="77777777" w:rsidR="00DD5385" w:rsidRPr="00CC6752" w:rsidRDefault="00DD5385" w:rsidP="00CC6752">
            <w:pPr>
              <w:pStyle w:val="COMTitleDecision"/>
              <w:spacing w:before="60" w:after="60"/>
              <w:rPr>
                <w:b w:val="0"/>
                <w:sz w:val="20"/>
                <w:szCs w:val="20"/>
              </w:rPr>
            </w:pPr>
            <w:r>
              <w:rPr>
                <w:b w:val="0"/>
                <w:sz w:val="20"/>
              </w:rPr>
              <w:t>Representan cambios en las capacidades institucionales o de comportamiento o en las condiciones del desarrollo. En la etapa de planificación, estos se expresan como resultados esperados.</w:t>
            </w:r>
          </w:p>
        </w:tc>
      </w:tr>
    </w:tbl>
    <w:p w14:paraId="39A785D0" w14:textId="2DA505F2" w:rsidR="00CA6D23" w:rsidRDefault="00CA6D23">
      <w:pPr>
        <w:sectPr w:rsidR="00CA6D23" w:rsidSect="009E2C3C">
          <w:headerReference w:type="default" r:id="rId17"/>
          <w:footerReference w:type="default" r:id="rId18"/>
          <w:pgSz w:w="11906" w:h="16838"/>
          <w:pgMar w:top="1440" w:right="1440" w:bottom="1440" w:left="1440" w:header="708" w:footer="708" w:gutter="0"/>
          <w:cols w:space="708"/>
          <w:titlePg/>
          <w:docGrid w:linePitch="360"/>
        </w:sectPr>
      </w:pPr>
    </w:p>
    <w:p w14:paraId="6AC54A1C" w14:textId="77777777" w:rsidR="00CA6D23" w:rsidRPr="00BE53A7" w:rsidRDefault="00CA6D23" w:rsidP="0045161B">
      <w:pPr>
        <w:pStyle w:val="Heading2"/>
        <w:rPr>
          <w:smallCaps/>
          <w:sz w:val="20"/>
          <w:szCs w:val="20"/>
        </w:rPr>
      </w:pPr>
      <w:r>
        <w:lastRenderedPageBreak/>
        <w:t>indicadores de base y factores de evaluación</w:t>
      </w:r>
      <w:r>
        <w:rPr>
          <w:rStyle w:val="Appelnotedebasdep"/>
          <w:b w:val="0"/>
          <w:bCs w:val="0"/>
          <w:caps w:val="0"/>
        </w:rPr>
        <w:footnoteReference w:id="9"/>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3176"/>
        <w:gridCol w:w="7305"/>
        <w:gridCol w:w="330"/>
        <w:gridCol w:w="1739"/>
      </w:tblGrid>
      <w:tr w:rsidR="00050E07" w:rsidRPr="00A8072E" w14:paraId="1AC5BDB7" w14:textId="77777777" w:rsidTr="00654BAF">
        <w:trPr>
          <w:cantSplit/>
          <w:tblHeader/>
        </w:trPr>
        <w:tc>
          <w:tcPr>
            <w:tcW w:w="583" w:type="pct"/>
            <w:shd w:val="clear" w:color="auto" w:fill="D9D9D9"/>
            <w:vAlign w:val="center"/>
          </w:tcPr>
          <w:p w14:paraId="2DB9144D" w14:textId="77777777" w:rsidR="00050E07" w:rsidRPr="00A8072E" w:rsidRDefault="00050E07" w:rsidP="00654BAF">
            <w:pPr>
              <w:spacing w:before="60" w:after="60"/>
              <w:rPr>
                <w:rFonts w:ascii="Arial" w:hAnsi="Arial"/>
                <w:b/>
                <w:sz w:val="20"/>
                <w:szCs w:val="20"/>
              </w:rPr>
            </w:pPr>
            <w:r>
              <w:rPr>
                <w:rFonts w:ascii="Arial" w:hAnsi="Arial"/>
                <w:b/>
                <w:sz w:val="20"/>
              </w:rPr>
              <w:t>Áreas temáticas</w:t>
            </w:r>
          </w:p>
        </w:tc>
        <w:tc>
          <w:tcPr>
            <w:tcW w:w="1118" w:type="pct"/>
            <w:shd w:val="clear" w:color="auto" w:fill="D9D9D9"/>
            <w:vAlign w:val="center"/>
          </w:tcPr>
          <w:p w14:paraId="304C98D4" w14:textId="77777777" w:rsidR="00050E07" w:rsidRPr="00A8072E" w:rsidRDefault="00050E07" w:rsidP="00654BAF">
            <w:pPr>
              <w:spacing w:before="60" w:after="60"/>
              <w:rPr>
                <w:rFonts w:ascii="Arial" w:hAnsi="Arial"/>
                <w:b/>
                <w:sz w:val="20"/>
                <w:szCs w:val="20"/>
              </w:rPr>
            </w:pPr>
            <w:r>
              <w:rPr>
                <w:rFonts w:ascii="Arial" w:hAnsi="Arial"/>
                <w:b/>
                <w:sz w:val="20"/>
              </w:rPr>
              <w:t>Indicadores de base</w:t>
            </w:r>
          </w:p>
        </w:tc>
        <w:tc>
          <w:tcPr>
            <w:tcW w:w="2568" w:type="pct"/>
            <w:shd w:val="clear" w:color="auto" w:fill="D9D9D9"/>
            <w:vAlign w:val="center"/>
          </w:tcPr>
          <w:p w14:paraId="058FC21A" w14:textId="77777777" w:rsidR="00050E07" w:rsidRPr="00A8072E" w:rsidRDefault="00050E07" w:rsidP="00654BAF">
            <w:pPr>
              <w:spacing w:before="60" w:after="60"/>
              <w:rPr>
                <w:rFonts w:ascii="Arial" w:hAnsi="Arial"/>
                <w:b/>
                <w:sz w:val="20"/>
                <w:szCs w:val="20"/>
              </w:rPr>
            </w:pPr>
            <w:r>
              <w:rPr>
                <w:rFonts w:ascii="Arial" w:hAnsi="Arial"/>
                <w:b/>
                <w:sz w:val="20"/>
              </w:rPr>
              <w:t>Evaluaciones según lo siguiente</w:t>
            </w:r>
          </w:p>
        </w:tc>
        <w:tc>
          <w:tcPr>
            <w:tcW w:w="118" w:type="pct"/>
            <w:tcBorders>
              <w:top w:val="nil"/>
              <w:bottom w:val="nil"/>
            </w:tcBorders>
            <w:shd w:val="clear" w:color="auto" w:fill="auto"/>
            <w:vAlign w:val="center"/>
          </w:tcPr>
          <w:p w14:paraId="7716250D" w14:textId="77777777" w:rsidR="00050E07" w:rsidRPr="00A8072E" w:rsidRDefault="00050E07" w:rsidP="00654BAF">
            <w:pPr>
              <w:spacing w:before="60" w:after="60"/>
              <w:rPr>
                <w:rFonts w:ascii="Arial" w:hAnsi="Arial"/>
                <w:sz w:val="20"/>
                <w:szCs w:val="20"/>
              </w:rPr>
            </w:pPr>
          </w:p>
        </w:tc>
        <w:tc>
          <w:tcPr>
            <w:tcW w:w="613" w:type="pct"/>
            <w:shd w:val="clear" w:color="auto" w:fill="D9D9D9"/>
            <w:vAlign w:val="center"/>
          </w:tcPr>
          <w:p w14:paraId="27985A1C" w14:textId="77777777" w:rsidR="00050E07" w:rsidRPr="00A8072E" w:rsidRDefault="00050E07" w:rsidP="00654BAF">
            <w:pPr>
              <w:spacing w:before="60" w:after="60"/>
              <w:rPr>
                <w:rFonts w:ascii="Arial" w:hAnsi="Arial"/>
                <w:b/>
                <w:sz w:val="20"/>
                <w:szCs w:val="20"/>
              </w:rPr>
            </w:pPr>
            <w:r>
              <w:rPr>
                <w:rFonts w:ascii="Arial" w:hAnsi="Arial"/>
                <w:b/>
                <w:sz w:val="20"/>
              </w:rPr>
              <w:t>Referencias</w:t>
            </w:r>
            <w:r>
              <w:rPr>
                <w:rFonts w:ascii="Arial" w:hAnsi="Arial"/>
                <w:b/>
                <w:sz w:val="20"/>
                <w:vertAlign w:val="superscript"/>
              </w:rPr>
              <w:footnoteReference w:id="10"/>
            </w:r>
          </w:p>
        </w:tc>
      </w:tr>
      <w:tr w:rsidR="00050E07" w:rsidRPr="00A8072E" w14:paraId="6212BCB3" w14:textId="77777777" w:rsidTr="00654BAF">
        <w:trPr>
          <w:cantSplit/>
        </w:trPr>
        <w:tc>
          <w:tcPr>
            <w:tcW w:w="583" w:type="pct"/>
            <w:vMerge w:val="restart"/>
            <w:shd w:val="clear" w:color="auto" w:fill="auto"/>
            <w:vAlign w:val="center"/>
          </w:tcPr>
          <w:p w14:paraId="2F0BCB48" w14:textId="77777777" w:rsidR="00050E07" w:rsidRPr="00A8072E" w:rsidRDefault="00050E07" w:rsidP="00654BAF">
            <w:pPr>
              <w:spacing w:before="60" w:after="60"/>
              <w:rPr>
                <w:rFonts w:ascii="Arial" w:hAnsi="Arial"/>
                <w:b/>
                <w:sz w:val="20"/>
                <w:szCs w:val="20"/>
              </w:rPr>
            </w:pPr>
            <w:r>
              <w:rPr>
                <w:rFonts w:ascii="Arial" w:hAnsi="Arial"/>
                <w:b/>
                <w:sz w:val="20"/>
              </w:rPr>
              <w:t>Capacidades institucionales y humanas</w:t>
            </w:r>
          </w:p>
        </w:tc>
        <w:tc>
          <w:tcPr>
            <w:tcW w:w="1118" w:type="pct"/>
            <w:vMerge w:val="restart"/>
            <w:shd w:val="clear" w:color="auto" w:fill="auto"/>
            <w:vAlign w:val="center"/>
          </w:tcPr>
          <w:p w14:paraId="72824CAA"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855F07">
              <w:rPr>
                <w:rFonts w:ascii="Arial" w:hAnsi="Arial"/>
                <w:sz w:val="20"/>
              </w:rPr>
              <w:t>Grado en el</w:t>
            </w:r>
            <w:r>
              <w:rPr>
                <w:rFonts w:ascii="Arial" w:hAnsi="Arial"/>
                <w:sz w:val="20"/>
              </w:rPr>
              <w:t xml:space="preserve"> que los órganos e instituciones competentes y los mecanismos consultivos apoyan la práctica y la transmisión continuas del PCI</w:t>
            </w:r>
          </w:p>
        </w:tc>
        <w:tc>
          <w:tcPr>
            <w:tcW w:w="2568" w:type="pct"/>
            <w:shd w:val="clear" w:color="auto" w:fill="auto"/>
            <w:vAlign w:val="center"/>
          </w:tcPr>
          <w:p w14:paraId="0BC408DA" w14:textId="77777777" w:rsidR="00050E07" w:rsidRPr="00A8072E" w:rsidRDefault="00050E07" w:rsidP="00050E07">
            <w:pPr>
              <w:numPr>
                <w:ilvl w:val="1"/>
                <w:numId w:val="19"/>
              </w:numPr>
              <w:spacing w:before="60" w:after="60" w:line="240" w:lineRule="auto"/>
              <w:ind w:left="567" w:hanging="567"/>
              <w:rPr>
                <w:rFonts w:ascii="Arial" w:eastAsia="Calibri" w:hAnsi="Arial"/>
                <w:vanish/>
                <w:sz w:val="20"/>
                <w:szCs w:val="20"/>
              </w:rPr>
            </w:pPr>
            <w:r>
              <w:rPr>
                <w:rFonts w:ascii="Arial" w:hAnsi="Arial"/>
                <w:sz w:val="20"/>
              </w:rPr>
              <w:t>Se han designado o establecido uno o más órganos competentes para salvaguardar el PCI</w:t>
            </w:r>
          </w:p>
        </w:tc>
        <w:tc>
          <w:tcPr>
            <w:tcW w:w="118" w:type="pct"/>
            <w:tcBorders>
              <w:top w:val="nil"/>
              <w:bottom w:val="nil"/>
            </w:tcBorders>
            <w:shd w:val="clear" w:color="auto" w:fill="auto"/>
            <w:vAlign w:val="center"/>
          </w:tcPr>
          <w:p w14:paraId="7A9446A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5680628" w14:textId="77777777" w:rsidR="00050E07" w:rsidRPr="00A8072E" w:rsidRDefault="00050E07" w:rsidP="00654BAF">
            <w:pPr>
              <w:spacing w:before="60" w:after="60"/>
              <w:rPr>
                <w:rFonts w:ascii="Arial" w:hAnsi="Arial"/>
                <w:sz w:val="20"/>
                <w:szCs w:val="20"/>
              </w:rPr>
            </w:pPr>
            <w:r>
              <w:rPr>
                <w:rFonts w:ascii="Arial" w:hAnsi="Arial"/>
                <w:sz w:val="20"/>
              </w:rPr>
              <w:t>Artículo 13(b)</w:t>
            </w:r>
          </w:p>
          <w:p w14:paraId="22C10613" w14:textId="77777777" w:rsidR="00050E07" w:rsidRPr="00A8072E" w:rsidRDefault="00050E07" w:rsidP="00654BAF">
            <w:pPr>
              <w:spacing w:before="60" w:after="60"/>
              <w:rPr>
                <w:rFonts w:ascii="Arial" w:hAnsi="Arial"/>
                <w:sz w:val="20"/>
                <w:szCs w:val="20"/>
              </w:rPr>
            </w:pPr>
            <w:r>
              <w:rPr>
                <w:rFonts w:ascii="Arial" w:hAnsi="Arial"/>
                <w:sz w:val="20"/>
              </w:rPr>
              <w:t>DO 154(a)</w:t>
            </w:r>
          </w:p>
        </w:tc>
      </w:tr>
      <w:tr w:rsidR="00050E07" w:rsidRPr="00342B23" w14:paraId="6EF61138" w14:textId="77777777" w:rsidTr="00654BAF">
        <w:trPr>
          <w:cantSplit/>
        </w:trPr>
        <w:tc>
          <w:tcPr>
            <w:tcW w:w="583" w:type="pct"/>
            <w:vMerge/>
            <w:shd w:val="clear" w:color="auto" w:fill="auto"/>
            <w:vAlign w:val="center"/>
          </w:tcPr>
          <w:p w14:paraId="03DE08E8"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780852A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72575DC7" w14:textId="77777777" w:rsidR="00050E07" w:rsidRPr="00A8072E" w:rsidRDefault="00050E07" w:rsidP="00050E07">
            <w:pPr>
              <w:numPr>
                <w:ilvl w:val="1"/>
                <w:numId w:val="19"/>
              </w:numPr>
              <w:spacing w:before="60" w:after="60" w:line="240" w:lineRule="auto"/>
              <w:ind w:left="567" w:hanging="567"/>
              <w:rPr>
                <w:rFonts w:ascii="Arial" w:eastAsia="Calibri" w:hAnsi="Arial"/>
                <w:sz w:val="20"/>
                <w:szCs w:val="20"/>
              </w:rPr>
            </w:pPr>
            <w:r>
              <w:rPr>
                <w:rFonts w:ascii="Arial" w:hAnsi="Arial"/>
                <w:sz w:val="20"/>
              </w:rPr>
              <w:t>Existen órganos competentes para la salvaguardia de elementos específicos del PCI, independientemente de si están o no inscritos.</w:t>
            </w:r>
            <w:r>
              <w:rPr>
                <w:rFonts w:ascii="Arial" w:hAnsi="Arial"/>
                <w:sz w:val="20"/>
                <w:vertAlign w:val="superscript"/>
              </w:rPr>
              <w:footnoteReference w:id="11"/>
            </w:r>
          </w:p>
        </w:tc>
        <w:tc>
          <w:tcPr>
            <w:tcW w:w="118" w:type="pct"/>
            <w:tcBorders>
              <w:top w:val="nil"/>
              <w:bottom w:val="nil"/>
            </w:tcBorders>
            <w:shd w:val="clear" w:color="auto" w:fill="auto"/>
            <w:vAlign w:val="center"/>
          </w:tcPr>
          <w:p w14:paraId="1CB5936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CE4B6D9" w14:textId="77777777" w:rsidR="00050E07" w:rsidRPr="00A8072E" w:rsidRDefault="00050E07" w:rsidP="00654BAF">
            <w:pPr>
              <w:spacing w:before="60" w:after="60"/>
              <w:rPr>
                <w:rFonts w:ascii="Arial" w:hAnsi="Arial"/>
                <w:sz w:val="20"/>
                <w:szCs w:val="20"/>
              </w:rPr>
            </w:pPr>
            <w:r>
              <w:rPr>
                <w:rFonts w:ascii="Arial" w:hAnsi="Arial"/>
                <w:sz w:val="20"/>
              </w:rPr>
              <w:t>Artículo 13(b)</w:t>
            </w:r>
          </w:p>
          <w:p w14:paraId="6D479A44" w14:textId="77777777" w:rsidR="00050E07" w:rsidRPr="00A8072E" w:rsidRDefault="00050E07" w:rsidP="00654BAF">
            <w:pPr>
              <w:spacing w:before="60" w:after="60"/>
              <w:rPr>
                <w:rFonts w:ascii="Arial" w:hAnsi="Arial"/>
                <w:sz w:val="20"/>
                <w:szCs w:val="20"/>
              </w:rPr>
            </w:pPr>
            <w:r>
              <w:rPr>
                <w:rFonts w:ascii="Arial" w:hAnsi="Arial"/>
                <w:sz w:val="20"/>
              </w:rPr>
              <w:t xml:space="preserve">DO 158(a), </w:t>
            </w:r>
            <w:r>
              <w:br/>
            </w:r>
            <w:r>
              <w:rPr>
                <w:rFonts w:ascii="Arial" w:hAnsi="Arial"/>
                <w:sz w:val="20"/>
              </w:rPr>
              <w:t>DO 162(d)</w:t>
            </w:r>
          </w:p>
        </w:tc>
      </w:tr>
      <w:tr w:rsidR="00050E07" w:rsidRPr="00A8072E" w14:paraId="5BF336ED" w14:textId="77777777" w:rsidTr="00654BAF">
        <w:trPr>
          <w:cantSplit/>
        </w:trPr>
        <w:tc>
          <w:tcPr>
            <w:tcW w:w="583" w:type="pct"/>
            <w:vMerge/>
            <w:shd w:val="clear" w:color="auto" w:fill="auto"/>
            <w:vAlign w:val="center"/>
          </w:tcPr>
          <w:p w14:paraId="70FF8E8C"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170C7EC8"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5568841D" w14:textId="77777777" w:rsidR="00050E07" w:rsidRPr="00A8072E" w:rsidRDefault="00050E07" w:rsidP="00050E07">
            <w:pPr>
              <w:numPr>
                <w:ilvl w:val="1"/>
                <w:numId w:val="19"/>
              </w:numPr>
              <w:spacing w:before="60" w:after="60" w:line="240" w:lineRule="auto"/>
              <w:ind w:left="567" w:hanging="567"/>
              <w:rPr>
                <w:rFonts w:ascii="Arial" w:eastAsia="Calibri" w:hAnsi="Arial"/>
                <w:sz w:val="20"/>
                <w:szCs w:val="20"/>
              </w:rPr>
            </w:pPr>
            <w:r>
              <w:rPr>
                <w:rFonts w:ascii="Arial" w:hAnsi="Arial"/>
                <w:sz w:val="20"/>
              </w:rPr>
              <w:t>Órganos consultivos y otros mecanismos de coordinación fomentan la participación amplia e inclusiva</w:t>
            </w:r>
            <w:r>
              <w:rPr>
                <w:rFonts w:ascii="Arial" w:hAnsi="Arial"/>
                <w:sz w:val="20"/>
                <w:vertAlign w:val="superscript"/>
              </w:rPr>
              <w:footnoteReference w:id="12"/>
            </w:r>
            <w:r>
              <w:rPr>
                <w:rFonts w:ascii="Arial" w:hAnsi="Arial"/>
                <w:sz w:val="20"/>
              </w:rPr>
              <w:t xml:space="preserve"> de las comunidades, los grupos y los individuos en la salvaguardia y la gestión del PCI. </w:t>
            </w:r>
          </w:p>
        </w:tc>
        <w:tc>
          <w:tcPr>
            <w:tcW w:w="118" w:type="pct"/>
            <w:tcBorders>
              <w:top w:val="nil"/>
              <w:bottom w:val="nil"/>
            </w:tcBorders>
            <w:shd w:val="clear" w:color="auto" w:fill="auto"/>
            <w:vAlign w:val="center"/>
          </w:tcPr>
          <w:p w14:paraId="25A134F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47A8954" w14:textId="77777777" w:rsidR="00050E07" w:rsidRPr="00A8072E" w:rsidRDefault="00050E07" w:rsidP="00654BAF">
            <w:pPr>
              <w:spacing w:before="60" w:after="60"/>
              <w:rPr>
                <w:rFonts w:ascii="Arial" w:hAnsi="Arial"/>
                <w:sz w:val="20"/>
                <w:szCs w:val="20"/>
              </w:rPr>
            </w:pPr>
            <w:r>
              <w:rPr>
                <w:rFonts w:ascii="Arial" w:hAnsi="Arial"/>
                <w:sz w:val="20"/>
              </w:rPr>
              <w:t>DO 80</w:t>
            </w:r>
          </w:p>
        </w:tc>
      </w:tr>
      <w:tr w:rsidR="00050E07" w:rsidRPr="00A8072E" w14:paraId="16E7F174" w14:textId="77777777" w:rsidTr="00654BAF">
        <w:trPr>
          <w:cantSplit/>
        </w:trPr>
        <w:tc>
          <w:tcPr>
            <w:tcW w:w="583" w:type="pct"/>
            <w:vMerge/>
            <w:shd w:val="clear" w:color="auto" w:fill="auto"/>
            <w:vAlign w:val="center"/>
          </w:tcPr>
          <w:p w14:paraId="1C8F1304"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37D95007"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26DFF2A3" w14:textId="77777777" w:rsidR="00050E07" w:rsidRPr="00A8072E" w:rsidRDefault="00050E07" w:rsidP="00050E07">
            <w:pPr>
              <w:numPr>
                <w:ilvl w:val="1"/>
                <w:numId w:val="19"/>
              </w:numPr>
              <w:spacing w:before="60" w:after="60" w:line="240" w:lineRule="auto"/>
              <w:ind w:left="567" w:hanging="567"/>
              <w:rPr>
                <w:rFonts w:ascii="Arial" w:eastAsia="Calibri" w:hAnsi="Arial"/>
                <w:sz w:val="20"/>
                <w:szCs w:val="20"/>
              </w:rPr>
            </w:pPr>
            <w:r>
              <w:rPr>
                <w:rFonts w:ascii="Arial" w:hAnsi="Arial"/>
                <w:sz w:val="20"/>
              </w:rPr>
              <w:t>Se fomenta la creación de instituciones, organizaciones o iniciativas para documentar el PCI y sus materiales se utilizan para apoyar la práctica y su transmisión continua.</w:t>
            </w:r>
          </w:p>
        </w:tc>
        <w:tc>
          <w:tcPr>
            <w:tcW w:w="118" w:type="pct"/>
            <w:tcBorders>
              <w:top w:val="nil"/>
              <w:bottom w:val="nil"/>
            </w:tcBorders>
            <w:shd w:val="clear" w:color="auto" w:fill="auto"/>
            <w:vAlign w:val="center"/>
          </w:tcPr>
          <w:p w14:paraId="786C25B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7F0AB49" w14:textId="77777777" w:rsidR="00050E07" w:rsidRPr="00A8072E" w:rsidRDefault="00050E07" w:rsidP="00654BAF">
            <w:pPr>
              <w:spacing w:before="60" w:after="60"/>
              <w:rPr>
                <w:rFonts w:ascii="Arial" w:hAnsi="Arial"/>
                <w:sz w:val="20"/>
                <w:szCs w:val="20"/>
              </w:rPr>
            </w:pPr>
            <w:r>
              <w:rPr>
                <w:rFonts w:ascii="Arial" w:hAnsi="Arial"/>
                <w:sz w:val="20"/>
              </w:rPr>
              <w:t>Artículo 13(d)(iii)</w:t>
            </w:r>
          </w:p>
        </w:tc>
      </w:tr>
      <w:tr w:rsidR="00050E07" w:rsidRPr="00A8072E" w14:paraId="4FA0B9EA" w14:textId="77777777" w:rsidTr="00654BAF">
        <w:trPr>
          <w:cantSplit/>
        </w:trPr>
        <w:tc>
          <w:tcPr>
            <w:tcW w:w="583" w:type="pct"/>
            <w:vMerge/>
            <w:shd w:val="clear" w:color="auto" w:fill="auto"/>
            <w:vAlign w:val="center"/>
          </w:tcPr>
          <w:p w14:paraId="5B26B220"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768C5E4C"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20A804D" w14:textId="77777777" w:rsidR="00050E07" w:rsidRPr="00A8072E" w:rsidRDefault="00050E07" w:rsidP="00050E07">
            <w:pPr>
              <w:numPr>
                <w:ilvl w:val="1"/>
                <w:numId w:val="19"/>
              </w:numPr>
              <w:spacing w:before="60" w:after="60" w:line="240" w:lineRule="auto"/>
              <w:ind w:left="567" w:hanging="567"/>
              <w:rPr>
                <w:rFonts w:ascii="Arial" w:eastAsia="Calibri" w:hAnsi="Arial"/>
                <w:sz w:val="20"/>
                <w:szCs w:val="20"/>
              </w:rPr>
            </w:pPr>
            <w:r>
              <w:rPr>
                <w:rFonts w:ascii="Arial" w:hAnsi="Arial"/>
                <w:sz w:val="20"/>
              </w:rPr>
              <w:t>Centros culturales, centros de competencia, instituciones de investigación, museos, archivos, bibliotecas, etc. contribuyen a la salvaguardia y la gestión del PCI.</w:t>
            </w:r>
          </w:p>
        </w:tc>
        <w:tc>
          <w:tcPr>
            <w:tcW w:w="118" w:type="pct"/>
            <w:tcBorders>
              <w:top w:val="nil"/>
              <w:bottom w:val="nil"/>
            </w:tcBorders>
            <w:shd w:val="clear" w:color="auto" w:fill="auto"/>
            <w:vAlign w:val="center"/>
          </w:tcPr>
          <w:p w14:paraId="67E8B2A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51AC913" w14:textId="77777777" w:rsidR="00050E07" w:rsidRPr="00A8072E" w:rsidRDefault="00050E07" w:rsidP="00654BAF">
            <w:pPr>
              <w:spacing w:before="60" w:after="60"/>
              <w:rPr>
                <w:rFonts w:ascii="Arial" w:hAnsi="Arial"/>
                <w:sz w:val="20"/>
                <w:szCs w:val="20"/>
              </w:rPr>
            </w:pPr>
            <w:r>
              <w:rPr>
                <w:rFonts w:ascii="Arial" w:hAnsi="Arial"/>
                <w:sz w:val="20"/>
              </w:rPr>
              <w:t>DO 79, DO 109</w:t>
            </w:r>
          </w:p>
        </w:tc>
      </w:tr>
      <w:tr w:rsidR="00050E07" w:rsidRPr="006C7EFA" w14:paraId="489978E9" w14:textId="77777777" w:rsidTr="00654BAF">
        <w:trPr>
          <w:cantSplit/>
        </w:trPr>
        <w:tc>
          <w:tcPr>
            <w:tcW w:w="583" w:type="pct"/>
            <w:vMerge/>
            <w:shd w:val="clear" w:color="auto" w:fill="auto"/>
            <w:vAlign w:val="center"/>
          </w:tcPr>
          <w:p w14:paraId="640921F1"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4D6815E2"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855F07">
              <w:rPr>
                <w:rFonts w:ascii="Arial" w:hAnsi="Arial"/>
                <w:sz w:val="20"/>
              </w:rPr>
              <w:t>Grado en</w:t>
            </w:r>
            <w:r>
              <w:rPr>
                <w:rFonts w:ascii="Arial" w:hAnsi="Arial"/>
                <w:sz w:val="20"/>
              </w:rPr>
              <w:t xml:space="preserve"> el que los programas apoyan el </w:t>
            </w:r>
            <w:r>
              <w:rPr>
                <w:rFonts w:ascii="Arial" w:hAnsi="Arial"/>
                <w:sz w:val="20"/>
              </w:rPr>
              <w:lastRenderedPageBreak/>
              <w:t>fortalecimiento de las capacidades humanas para promover la salvaguardia y la gestión del PCI</w:t>
            </w:r>
          </w:p>
        </w:tc>
        <w:tc>
          <w:tcPr>
            <w:tcW w:w="2568" w:type="pct"/>
            <w:shd w:val="clear" w:color="auto" w:fill="auto"/>
            <w:vAlign w:val="center"/>
          </w:tcPr>
          <w:p w14:paraId="2D1C5831" w14:textId="77777777" w:rsidR="00050E07" w:rsidRPr="00A8072E" w:rsidRDefault="00050E07" w:rsidP="00050E07">
            <w:pPr>
              <w:numPr>
                <w:ilvl w:val="1"/>
                <w:numId w:val="20"/>
              </w:numPr>
              <w:spacing w:before="60" w:after="60" w:line="240" w:lineRule="auto"/>
              <w:ind w:left="567" w:hanging="567"/>
              <w:rPr>
                <w:rFonts w:ascii="Arial" w:eastAsia="Calibri" w:hAnsi="Arial"/>
                <w:vanish/>
                <w:sz w:val="20"/>
                <w:szCs w:val="20"/>
              </w:rPr>
            </w:pPr>
            <w:r>
              <w:rPr>
                <w:rFonts w:ascii="Arial" w:hAnsi="Arial"/>
                <w:sz w:val="20"/>
              </w:rPr>
              <w:lastRenderedPageBreak/>
              <w:t>Instituciones de educación superior ofrecen programas de estudios en materia de salvaguardia y gestión del PCI sobre una base inclusiva.</w:t>
            </w:r>
          </w:p>
        </w:tc>
        <w:tc>
          <w:tcPr>
            <w:tcW w:w="118" w:type="pct"/>
            <w:tcBorders>
              <w:top w:val="nil"/>
              <w:bottom w:val="nil"/>
            </w:tcBorders>
            <w:shd w:val="clear" w:color="auto" w:fill="auto"/>
            <w:vAlign w:val="center"/>
          </w:tcPr>
          <w:p w14:paraId="3370288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0CF2C3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14(a)(iii)</w:t>
            </w:r>
          </w:p>
          <w:p w14:paraId="56DF1E47"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107(k)</w:t>
            </w:r>
          </w:p>
        </w:tc>
      </w:tr>
      <w:tr w:rsidR="00050E07" w:rsidRPr="00B86AF3" w14:paraId="49F36EE1" w14:textId="77777777" w:rsidTr="00654BAF">
        <w:trPr>
          <w:cantSplit/>
        </w:trPr>
        <w:tc>
          <w:tcPr>
            <w:tcW w:w="583" w:type="pct"/>
            <w:vMerge/>
            <w:shd w:val="clear" w:color="auto" w:fill="auto"/>
            <w:vAlign w:val="center"/>
          </w:tcPr>
          <w:p w14:paraId="42C06ACC" w14:textId="77777777" w:rsidR="00050E07" w:rsidRPr="006C7EFA" w:rsidRDefault="00050E07" w:rsidP="00654BAF">
            <w:pPr>
              <w:spacing w:before="60" w:after="60"/>
              <w:rPr>
                <w:rFonts w:ascii="Arial" w:hAnsi="Arial"/>
                <w:sz w:val="20"/>
                <w:szCs w:val="20"/>
                <w:lang w:val="pt-PT"/>
              </w:rPr>
            </w:pPr>
          </w:p>
        </w:tc>
        <w:tc>
          <w:tcPr>
            <w:tcW w:w="1118" w:type="pct"/>
            <w:vMerge/>
            <w:shd w:val="clear" w:color="auto" w:fill="auto"/>
            <w:vAlign w:val="center"/>
          </w:tcPr>
          <w:p w14:paraId="6ACDDA04"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7631B759" w14:textId="77777777" w:rsidR="00050E07" w:rsidRPr="00A8072E" w:rsidRDefault="00050E07" w:rsidP="00050E07">
            <w:pPr>
              <w:numPr>
                <w:ilvl w:val="1"/>
                <w:numId w:val="20"/>
              </w:numPr>
              <w:spacing w:before="60" w:after="60" w:line="240" w:lineRule="auto"/>
              <w:ind w:left="567" w:hanging="567"/>
              <w:rPr>
                <w:rFonts w:ascii="Arial" w:eastAsia="Calibri" w:hAnsi="Arial"/>
                <w:sz w:val="20"/>
                <w:szCs w:val="20"/>
              </w:rPr>
            </w:pPr>
            <w:r>
              <w:rPr>
                <w:rFonts w:ascii="Arial" w:hAnsi="Arial"/>
                <w:sz w:val="20"/>
              </w:rPr>
              <w:t>Instituciones, centros y otros órganos gubernamentales proporcionan formación en materia de salvaguardia y gestión del PCI sobre una base inclusiva.</w:t>
            </w:r>
          </w:p>
        </w:tc>
        <w:tc>
          <w:tcPr>
            <w:tcW w:w="118" w:type="pct"/>
            <w:tcBorders>
              <w:top w:val="nil"/>
              <w:bottom w:val="nil"/>
            </w:tcBorders>
            <w:shd w:val="clear" w:color="auto" w:fill="auto"/>
            <w:vAlign w:val="center"/>
          </w:tcPr>
          <w:p w14:paraId="6C53C0B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416637C" w14:textId="77777777" w:rsidR="00050E07" w:rsidRPr="00A8072E" w:rsidRDefault="00050E07" w:rsidP="00654BAF">
            <w:pPr>
              <w:spacing w:before="60" w:after="60"/>
              <w:rPr>
                <w:rFonts w:ascii="Arial" w:hAnsi="Arial"/>
                <w:sz w:val="20"/>
                <w:szCs w:val="20"/>
              </w:rPr>
            </w:pPr>
          </w:p>
        </w:tc>
      </w:tr>
      <w:tr w:rsidR="00050E07" w:rsidRPr="00B86AF3" w14:paraId="2C097E1A" w14:textId="77777777" w:rsidTr="00654BAF">
        <w:trPr>
          <w:cantSplit/>
        </w:trPr>
        <w:tc>
          <w:tcPr>
            <w:tcW w:w="583" w:type="pct"/>
            <w:vMerge/>
            <w:shd w:val="clear" w:color="auto" w:fill="auto"/>
            <w:vAlign w:val="center"/>
          </w:tcPr>
          <w:p w14:paraId="1AF1779F"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3C86C5FC"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1966295E" w14:textId="77777777" w:rsidR="00050E07" w:rsidRPr="00A8072E" w:rsidRDefault="00050E07" w:rsidP="00050E07">
            <w:pPr>
              <w:numPr>
                <w:ilvl w:val="1"/>
                <w:numId w:val="20"/>
              </w:numPr>
              <w:spacing w:before="60" w:after="60" w:line="240" w:lineRule="auto"/>
              <w:ind w:left="567" w:hanging="567"/>
              <w:rPr>
                <w:rFonts w:ascii="Arial" w:eastAsia="Calibri" w:hAnsi="Arial"/>
                <w:sz w:val="20"/>
                <w:szCs w:val="20"/>
              </w:rPr>
            </w:pPr>
            <w:r>
              <w:rPr>
                <w:rFonts w:ascii="Arial" w:hAnsi="Arial"/>
                <w:sz w:val="20"/>
              </w:rPr>
              <w:t>Iniciativas comunitarias o de las ONG proporcionan formación en materia de salvaguardia y gestión del PCI sobre una base inclusiva.</w:t>
            </w:r>
          </w:p>
        </w:tc>
        <w:tc>
          <w:tcPr>
            <w:tcW w:w="118" w:type="pct"/>
            <w:tcBorders>
              <w:top w:val="nil"/>
              <w:bottom w:val="nil"/>
            </w:tcBorders>
            <w:shd w:val="clear" w:color="auto" w:fill="auto"/>
            <w:vAlign w:val="center"/>
          </w:tcPr>
          <w:p w14:paraId="7F4DC64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5BD58EE" w14:textId="77777777" w:rsidR="00050E07" w:rsidRPr="00A8072E" w:rsidRDefault="00050E07" w:rsidP="00654BAF">
            <w:pPr>
              <w:spacing w:before="60" w:after="60"/>
              <w:rPr>
                <w:rFonts w:ascii="Arial" w:hAnsi="Arial"/>
                <w:sz w:val="20"/>
                <w:szCs w:val="20"/>
              </w:rPr>
            </w:pPr>
          </w:p>
        </w:tc>
      </w:tr>
      <w:tr w:rsidR="00050E07" w:rsidRPr="006C7EFA" w14:paraId="4F25212A" w14:textId="77777777" w:rsidTr="00654BAF">
        <w:trPr>
          <w:cantSplit/>
        </w:trPr>
        <w:tc>
          <w:tcPr>
            <w:tcW w:w="583" w:type="pct"/>
            <w:vMerge/>
            <w:shd w:val="clear" w:color="auto" w:fill="auto"/>
            <w:vAlign w:val="center"/>
          </w:tcPr>
          <w:p w14:paraId="0337648B"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7F18EBB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855F07">
              <w:rPr>
                <w:rFonts w:ascii="Arial" w:hAnsi="Arial"/>
                <w:sz w:val="20"/>
              </w:rPr>
              <w:t>Grado</w:t>
            </w:r>
            <w:r>
              <w:rPr>
                <w:rFonts w:ascii="Arial" w:hAnsi="Arial"/>
                <w:sz w:val="20"/>
              </w:rPr>
              <w:t xml:space="preserve"> en el que se ofrece formación dirigida o, impartida por comunidades, grupos, individuos así como aquellos que trabajen en el ámbito de la cultura y del patrimonio </w:t>
            </w:r>
          </w:p>
        </w:tc>
        <w:tc>
          <w:tcPr>
            <w:tcW w:w="2568" w:type="pct"/>
            <w:shd w:val="clear" w:color="auto" w:fill="auto"/>
            <w:vAlign w:val="center"/>
          </w:tcPr>
          <w:p w14:paraId="7A1755F8" w14:textId="77777777" w:rsidR="00050E07" w:rsidRPr="00A8072E" w:rsidRDefault="00050E07" w:rsidP="00050E07">
            <w:pPr>
              <w:numPr>
                <w:ilvl w:val="1"/>
                <w:numId w:val="21"/>
              </w:numPr>
              <w:spacing w:before="60" w:after="60" w:line="240" w:lineRule="auto"/>
              <w:ind w:left="567" w:hanging="567"/>
              <w:rPr>
                <w:rFonts w:ascii="Arial" w:eastAsia="Calibri" w:hAnsi="Arial"/>
                <w:vanish/>
                <w:sz w:val="20"/>
                <w:szCs w:val="20"/>
              </w:rPr>
            </w:pPr>
            <w:r>
              <w:rPr>
                <w:rFonts w:ascii="Arial" w:hAnsi="Arial"/>
                <w:sz w:val="20"/>
              </w:rPr>
              <w:t>Los programas de formación, incluidos aquellos que las mismas comunidades impartan, que permit</w:t>
            </w:r>
            <w:r>
              <w:rPr>
                <w:rFonts w:ascii="Arial" w:hAnsi="Arial"/>
                <w:sz w:val="20"/>
                <w:lang w:val="es-MX"/>
              </w:rPr>
              <w:t xml:space="preserve">an </w:t>
            </w:r>
            <w:r>
              <w:rPr>
                <w:rFonts w:ascii="Arial" w:hAnsi="Arial"/>
                <w:sz w:val="20"/>
              </w:rPr>
              <w:t>el fortalecimiento de capacidades sobre el PCI de las comunidades, los grupos y los individuos, sobre una base inclusiva.</w:t>
            </w:r>
          </w:p>
        </w:tc>
        <w:tc>
          <w:tcPr>
            <w:tcW w:w="118" w:type="pct"/>
            <w:tcBorders>
              <w:top w:val="nil"/>
              <w:bottom w:val="nil"/>
            </w:tcBorders>
            <w:shd w:val="clear" w:color="auto" w:fill="auto"/>
            <w:vAlign w:val="center"/>
          </w:tcPr>
          <w:p w14:paraId="6C4A0C7E"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FCE3249"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14(a)(ii)</w:t>
            </w:r>
          </w:p>
          <w:p w14:paraId="546C05BE"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82, </w:t>
            </w:r>
            <w:r w:rsidRPr="006C7EFA">
              <w:rPr>
                <w:lang w:val="pt-PT"/>
              </w:rPr>
              <w:br/>
            </w:r>
            <w:r w:rsidRPr="006C7EFA">
              <w:rPr>
                <w:rFonts w:ascii="Arial" w:hAnsi="Arial"/>
                <w:sz w:val="20"/>
                <w:lang w:val="pt-PT"/>
              </w:rPr>
              <w:t xml:space="preserve">DO 153(b), </w:t>
            </w:r>
            <w:r w:rsidRPr="006C7EFA">
              <w:rPr>
                <w:lang w:val="pt-PT"/>
              </w:rPr>
              <w:br/>
            </w:r>
            <w:r w:rsidRPr="006C7EFA">
              <w:rPr>
                <w:rFonts w:ascii="Arial" w:hAnsi="Arial"/>
                <w:sz w:val="20"/>
                <w:lang w:val="pt-PT"/>
              </w:rPr>
              <w:t>DO 155(b)</w:t>
            </w:r>
          </w:p>
        </w:tc>
      </w:tr>
      <w:tr w:rsidR="00050E07" w:rsidRPr="006C7EFA" w14:paraId="1359004E" w14:textId="77777777" w:rsidTr="00654BAF">
        <w:trPr>
          <w:cantSplit/>
        </w:trPr>
        <w:tc>
          <w:tcPr>
            <w:tcW w:w="583" w:type="pct"/>
            <w:vMerge/>
            <w:shd w:val="clear" w:color="auto" w:fill="auto"/>
            <w:vAlign w:val="center"/>
          </w:tcPr>
          <w:p w14:paraId="5E762B9C" w14:textId="77777777" w:rsidR="00050E07" w:rsidRPr="006C7EFA" w:rsidRDefault="00050E07" w:rsidP="00654BAF">
            <w:pPr>
              <w:spacing w:before="60" w:after="60"/>
              <w:rPr>
                <w:rFonts w:ascii="Arial" w:hAnsi="Arial"/>
                <w:sz w:val="20"/>
                <w:szCs w:val="20"/>
                <w:lang w:val="pt-PT"/>
              </w:rPr>
            </w:pPr>
          </w:p>
        </w:tc>
        <w:tc>
          <w:tcPr>
            <w:tcW w:w="1118" w:type="pct"/>
            <w:vMerge/>
            <w:shd w:val="clear" w:color="auto" w:fill="auto"/>
            <w:vAlign w:val="center"/>
          </w:tcPr>
          <w:p w14:paraId="7673FA54"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5A574F9E" w14:textId="77777777" w:rsidR="00050E07" w:rsidRPr="00A8072E" w:rsidRDefault="00050E07" w:rsidP="00050E07">
            <w:pPr>
              <w:numPr>
                <w:ilvl w:val="1"/>
                <w:numId w:val="21"/>
              </w:numPr>
              <w:spacing w:before="60" w:after="60" w:line="240" w:lineRule="auto"/>
              <w:ind w:left="567" w:hanging="567"/>
              <w:rPr>
                <w:rFonts w:ascii="Arial" w:eastAsia="Calibri" w:hAnsi="Arial"/>
              </w:rPr>
            </w:pPr>
            <w:r>
              <w:rPr>
                <w:rFonts w:ascii="Arial" w:hAnsi="Arial"/>
                <w:sz w:val="20"/>
              </w:rPr>
              <w:t>Los programas de formación que permitan el fortalecimiento de capacidades sobre el PCI destinado a aquellas personas que trabajen en el ámbito de la cultura y del patrimonio, sobre una base inclusiva.</w:t>
            </w:r>
          </w:p>
        </w:tc>
        <w:tc>
          <w:tcPr>
            <w:tcW w:w="118" w:type="pct"/>
            <w:tcBorders>
              <w:top w:val="nil"/>
              <w:bottom w:val="nil"/>
            </w:tcBorders>
            <w:shd w:val="clear" w:color="auto" w:fill="auto"/>
            <w:vAlign w:val="center"/>
          </w:tcPr>
          <w:p w14:paraId="629637D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7E90BF9"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14(a)(iii)</w:t>
            </w:r>
          </w:p>
          <w:p w14:paraId="027D1345"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153(b)</w:t>
            </w:r>
          </w:p>
        </w:tc>
      </w:tr>
      <w:tr w:rsidR="00050E07" w:rsidRPr="00A8072E" w14:paraId="3ED4B388" w14:textId="77777777" w:rsidTr="00654BAF">
        <w:trPr>
          <w:cantSplit/>
        </w:trPr>
        <w:tc>
          <w:tcPr>
            <w:tcW w:w="583" w:type="pct"/>
            <w:vMerge w:val="restart"/>
            <w:shd w:val="clear" w:color="auto" w:fill="auto"/>
            <w:vAlign w:val="center"/>
          </w:tcPr>
          <w:p w14:paraId="586D79B1" w14:textId="77777777" w:rsidR="00050E07" w:rsidRPr="00A8072E" w:rsidRDefault="00050E07" w:rsidP="00654BAF">
            <w:pPr>
              <w:spacing w:before="60" w:after="60"/>
              <w:rPr>
                <w:rFonts w:ascii="Arial" w:hAnsi="Arial"/>
                <w:b/>
                <w:sz w:val="20"/>
                <w:szCs w:val="20"/>
              </w:rPr>
            </w:pPr>
            <w:r>
              <w:rPr>
                <w:rFonts w:ascii="Arial" w:hAnsi="Arial"/>
                <w:b/>
                <w:sz w:val="20"/>
              </w:rPr>
              <w:t>Transmisión y educación</w:t>
            </w:r>
          </w:p>
        </w:tc>
        <w:tc>
          <w:tcPr>
            <w:tcW w:w="1118" w:type="pct"/>
            <w:vMerge w:val="restart"/>
            <w:shd w:val="clear" w:color="auto" w:fill="auto"/>
            <w:vAlign w:val="center"/>
          </w:tcPr>
          <w:p w14:paraId="7AE26579"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 xml:space="preserve">Grado en el que la educación formal y no formal fortalece la transmisión del PCI y promueve el respeto por el mismo </w:t>
            </w:r>
          </w:p>
        </w:tc>
        <w:tc>
          <w:tcPr>
            <w:tcW w:w="2568" w:type="pct"/>
            <w:shd w:val="clear" w:color="auto" w:fill="auto"/>
            <w:vAlign w:val="center"/>
          </w:tcPr>
          <w:p w14:paraId="5A5BBB8E" w14:textId="77777777" w:rsidR="00050E07" w:rsidRPr="00A8072E" w:rsidRDefault="00050E07" w:rsidP="00050E07">
            <w:pPr>
              <w:numPr>
                <w:ilvl w:val="1"/>
                <w:numId w:val="17"/>
              </w:numPr>
              <w:spacing w:before="60" w:after="60" w:line="240" w:lineRule="auto"/>
              <w:ind w:left="567" w:hanging="567"/>
              <w:rPr>
                <w:rFonts w:ascii="Arial" w:eastAsia="Calibri" w:hAnsi="Arial"/>
                <w:sz w:val="20"/>
                <w:szCs w:val="20"/>
              </w:rPr>
            </w:pPr>
            <w:r>
              <w:rPr>
                <w:rFonts w:ascii="Arial" w:hAnsi="Arial"/>
                <w:sz w:val="20"/>
              </w:rPr>
              <w:t>Los practicantes y depositarios</w:t>
            </w:r>
            <w:r>
              <w:rPr>
                <w:rFonts w:ascii="Arial" w:hAnsi="Arial"/>
                <w:sz w:val="20"/>
                <w:vertAlign w:val="superscript"/>
              </w:rPr>
              <w:footnoteReference w:id="13"/>
            </w:r>
            <w:r>
              <w:rPr>
                <w:rFonts w:ascii="Arial" w:hAnsi="Arial"/>
                <w:sz w:val="20"/>
              </w:rPr>
              <w:t xml:space="preserve"> participan de manera inclusiva en la elaboración y el desarrollo de programas educativos del PCI, asimismo participan en la presentación y la transmisión su patrimonio de manera activa.</w:t>
            </w:r>
          </w:p>
        </w:tc>
        <w:tc>
          <w:tcPr>
            <w:tcW w:w="118" w:type="pct"/>
            <w:tcBorders>
              <w:top w:val="nil"/>
              <w:bottom w:val="nil"/>
            </w:tcBorders>
            <w:shd w:val="clear" w:color="auto" w:fill="auto"/>
            <w:vAlign w:val="center"/>
          </w:tcPr>
          <w:p w14:paraId="0C37264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AC55182" w14:textId="77777777" w:rsidR="00050E07" w:rsidRPr="00A8072E" w:rsidRDefault="00050E07" w:rsidP="00654BAF">
            <w:pPr>
              <w:spacing w:before="60" w:after="60"/>
              <w:rPr>
                <w:rFonts w:ascii="Arial" w:hAnsi="Arial"/>
                <w:sz w:val="20"/>
                <w:szCs w:val="20"/>
              </w:rPr>
            </w:pPr>
            <w:r>
              <w:rPr>
                <w:rFonts w:ascii="Arial" w:hAnsi="Arial"/>
                <w:sz w:val="20"/>
              </w:rPr>
              <w:t>DO 107(e)</w:t>
            </w:r>
          </w:p>
        </w:tc>
      </w:tr>
      <w:tr w:rsidR="00050E07" w:rsidRPr="006C7EFA" w14:paraId="01823BBF" w14:textId="77777777" w:rsidTr="00654BAF">
        <w:trPr>
          <w:cantSplit/>
        </w:trPr>
        <w:tc>
          <w:tcPr>
            <w:tcW w:w="583" w:type="pct"/>
            <w:vMerge/>
            <w:shd w:val="clear" w:color="auto" w:fill="auto"/>
            <w:vAlign w:val="center"/>
          </w:tcPr>
          <w:p w14:paraId="00F830F1"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4C7A3A6F" w14:textId="77777777" w:rsidR="00050E07" w:rsidRPr="00A8072E" w:rsidRDefault="00050E07" w:rsidP="00654BAF">
            <w:pPr>
              <w:spacing w:before="60" w:after="60"/>
              <w:ind w:left="370"/>
              <w:rPr>
                <w:rFonts w:ascii="Arial" w:eastAsia="Calibri" w:hAnsi="Arial"/>
                <w:sz w:val="20"/>
                <w:szCs w:val="20"/>
              </w:rPr>
            </w:pPr>
          </w:p>
        </w:tc>
        <w:tc>
          <w:tcPr>
            <w:tcW w:w="2568" w:type="pct"/>
            <w:shd w:val="clear" w:color="auto" w:fill="auto"/>
            <w:vAlign w:val="center"/>
          </w:tcPr>
          <w:p w14:paraId="0820869A" w14:textId="77777777" w:rsidR="00050E07" w:rsidRPr="00A8072E" w:rsidRDefault="00050E07" w:rsidP="00050E07">
            <w:pPr>
              <w:numPr>
                <w:ilvl w:val="1"/>
                <w:numId w:val="17"/>
              </w:numPr>
              <w:spacing w:before="60" w:after="60" w:line="240" w:lineRule="auto"/>
              <w:ind w:left="567" w:hanging="567"/>
              <w:rPr>
                <w:rFonts w:ascii="Arial" w:eastAsia="Calibri" w:hAnsi="Arial"/>
                <w:sz w:val="20"/>
                <w:szCs w:val="20"/>
              </w:rPr>
            </w:pPr>
            <w:r>
              <w:rPr>
                <w:rFonts w:ascii="Arial" w:hAnsi="Arial"/>
                <w:sz w:val="20"/>
              </w:rPr>
              <w:t>Las modalidades y los métodos de transmisión del PCI reconocidos por las comunidades, los grupos y los individuos se aprenden o se refuerzan y se incluyen en los programas de educación tanto formal como no formal.</w:t>
            </w:r>
          </w:p>
        </w:tc>
        <w:tc>
          <w:tcPr>
            <w:tcW w:w="118" w:type="pct"/>
            <w:tcBorders>
              <w:top w:val="nil"/>
              <w:bottom w:val="nil"/>
            </w:tcBorders>
            <w:shd w:val="clear" w:color="auto" w:fill="auto"/>
            <w:vAlign w:val="center"/>
          </w:tcPr>
          <w:p w14:paraId="62D86B7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39F331C"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 Artículo 14(a)(ii)</w:t>
            </w:r>
          </w:p>
          <w:p w14:paraId="2D787737"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180(a)(iii)</w:t>
            </w:r>
          </w:p>
        </w:tc>
      </w:tr>
      <w:tr w:rsidR="00050E07" w:rsidRPr="00A8072E" w14:paraId="6C75887F" w14:textId="77777777" w:rsidTr="00654BAF">
        <w:trPr>
          <w:cantSplit/>
        </w:trPr>
        <w:tc>
          <w:tcPr>
            <w:tcW w:w="583" w:type="pct"/>
            <w:vMerge/>
            <w:shd w:val="clear" w:color="auto" w:fill="auto"/>
            <w:vAlign w:val="center"/>
          </w:tcPr>
          <w:p w14:paraId="7C3ABBCA" w14:textId="77777777" w:rsidR="00050E07" w:rsidRPr="006C7EFA" w:rsidRDefault="00050E07" w:rsidP="00654BAF">
            <w:pPr>
              <w:spacing w:before="60" w:after="60"/>
              <w:rPr>
                <w:rFonts w:ascii="Arial" w:hAnsi="Arial"/>
                <w:b/>
                <w:sz w:val="20"/>
                <w:szCs w:val="20"/>
                <w:lang w:val="pt-PT"/>
              </w:rPr>
            </w:pPr>
          </w:p>
        </w:tc>
        <w:tc>
          <w:tcPr>
            <w:tcW w:w="1118" w:type="pct"/>
            <w:vMerge/>
            <w:shd w:val="clear" w:color="auto" w:fill="auto"/>
            <w:vAlign w:val="center"/>
          </w:tcPr>
          <w:p w14:paraId="7443376E" w14:textId="77777777" w:rsidR="00050E07" w:rsidRPr="006C7EFA" w:rsidRDefault="00050E07" w:rsidP="00654BAF">
            <w:pPr>
              <w:spacing w:before="60" w:after="60"/>
              <w:rPr>
                <w:rFonts w:ascii="Arial" w:eastAsia="Calibri" w:hAnsi="Arial"/>
                <w:sz w:val="20"/>
                <w:szCs w:val="20"/>
                <w:lang w:val="pt-PT"/>
              </w:rPr>
            </w:pPr>
          </w:p>
        </w:tc>
        <w:tc>
          <w:tcPr>
            <w:tcW w:w="2568" w:type="pct"/>
            <w:shd w:val="clear" w:color="auto" w:fill="auto"/>
            <w:vAlign w:val="center"/>
          </w:tcPr>
          <w:p w14:paraId="51B276DD" w14:textId="77777777" w:rsidR="00050E07" w:rsidRPr="00A8072E" w:rsidRDefault="00050E07" w:rsidP="00050E07">
            <w:pPr>
              <w:numPr>
                <w:ilvl w:val="1"/>
                <w:numId w:val="17"/>
              </w:numPr>
              <w:spacing w:before="60" w:after="60" w:line="240" w:lineRule="auto"/>
              <w:ind w:left="567" w:hanging="567"/>
              <w:rPr>
                <w:rFonts w:ascii="Arial" w:eastAsia="Calibri" w:hAnsi="Arial"/>
                <w:sz w:val="20"/>
                <w:szCs w:val="20"/>
              </w:rPr>
            </w:pPr>
            <w:r>
              <w:rPr>
                <w:rFonts w:ascii="Arial" w:hAnsi="Arial"/>
                <w:sz w:val="20"/>
              </w:rPr>
              <w:t>Los programas educativos o actividades extracurriculares relacionadas con el PCI y con su transmisión, llevadas a cabo por las comunidades, los grupos, las ONG o instituciones encargadas del patrimonio existen y se promueven</w:t>
            </w:r>
          </w:p>
        </w:tc>
        <w:tc>
          <w:tcPr>
            <w:tcW w:w="118" w:type="pct"/>
            <w:tcBorders>
              <w:top w:val="nil"/>
              <w:bottom w:val="nil"/>
            </w:tcBorders>
            <w:shd w:val="clear" w:color="auto" w:fill="auto"/>
            <w:vAlign w:val="center"/>
          </w:tcPr>
          <w:p w14:paraId="4686D886"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E2D5729" w14:textId="77777777" w:rsidR="00050E07" w:rsidRPr="00A8072E" w:rsidRDefault="00050E07" w:rsidP="00654BAF">
            <w:pPr>
              <w:spacing w:before="60" w:after="60"/>
              <w:rPr>
                <w:rFonts w:ascii="Arial" w:hAnsi="Arial"/>
                <w:sz w:val="20"/>
                <w:szCs w:val="20"/>
              </w:rPr>
            </w:pPr>
            <w:r>
              <w:rPr>
                <w:rFonts w:ascii="Arial" w:hAnsi="Arial"/>
                <w:sz w:val="20"/>
              </w:rPr>
              <w:t>DO 109</w:t>
            </w:r>
          </w:p>
        </w:tc>
      </w:tr>
      <w:tr w:rsidR="00050E07" w:rsidRPr="00B86AF3" w14:paraId="6D8B7848" w14:textId="77777777" w:rsidTr="00654BAF">
        <w:trPr>
          <w:cantSplit/>
        </w:trPr>
        <w:tc>
          <w:tcPr>
            <w:tcW w:w="583" w:type="pct"/>
            <w:vMerge/>
            <w:shd w:val="clear" w:color="auto" w:fill="auto"/>
            <w:vAlign w:val="center"/>
          </w:tcPr>
          <w:p w14:paraId="740270B6"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1CAAEAA2" w14:textId="77777777" w:rsidR="00050E07" w:rsidRPr="00A8072E" w:rsidRDefault="00050E07" w:rsidP="00654BAF">
            <w:pPr>
              <w:spacing w:before="60" w:after="60"/>
              <w:rPr>
                <w:rFonts w:ascii="Arial" w:eastAsia="Calibri" w:hAnsi="Arial"/>
                <w:sz w:val="20"/>
                <w:szCs w:val="20"/>
              </w:rPr>
            </w:pPr>
          </w:p>
        </w:tc>
        <w:tc>
          <w:tcPr>
            <w:tcW w:w="2568" w:type="pct"/>
            <w:shd w:val="clear" w:color="auto" w:fill="auto"/>
            <w:vAlign w:val="center"/>
          </w:tcPr>
          <w:p w14:paraId="63F80DB5" w14:textId="77777777" w:rsidR="00050E07" w:rsidRPr="00A8072E" w:rsidRDefault="00050E07" w:rsidP="00050E07">
            <w:pPr>
              <w:numPr>
                <w:ilvl w:val="1"/>
                <w:numId w:val="17"/>
              </w:numPr>
              <w:spacing w:before="60" w:after="60" w:line="240" w:lineRule="auto"/>
              <w:ind w:left="567" w:hanging="567"/>
              <w:rPr>
                <w:rFonts w:ascii="Arial" w:eastAsia="Calibri" w:hAnsi="Arial"/>
                <w:sz w:val="20"/>
                <w:szCs w:val="20"/>
              </w:rPr>
            </w:pPr>
            <w:r>
              <w:rPr>
                <w:rFonts w:ascii="Arial" w:hAnsi="Arial"/>
                <w:sz w:val="20"/>
              </w:rPr>
              <w:t>Los programas de formación de profesores y los programas para educadores en el ámbito no formal, incluyen enfoques para integrar el PCI y su salvaguardia en la educación.</w:t>
            </w:r>
          </w:p>
        </w:tc>
        <w:tc>
          <w:tcPr>
            <w:tcW w:w="118" w:type="pct"/>
            <w:tcBorders>
              <w:top w:val="nil"/>
              <w:bottom w:val="nil"/>
            </w:tcBorders>
            <w:shd w:val="clear" w:color="auto" w:fill="auto"/>
            <w:vAlign w:val="center"/>
          </w:tcPr>
          <w:p w14:paraId="3E32D62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F4FA576" w14:textId="77777777" w:rsidR="00050E07" w:rsidRPr="00A8072E" w:rsidRDefault="00050E07" w:rsidP="00654BAF">
            <w:pPr>
              <w:spacing w:before="60" w:after="60"/>
              <w:rPr>
                <w:rFonts w:ascii="Arial" w:hAnsi="Arial"/>
                <w:sz w:val="20"/>
                <w:szCs w:val="20"/>
              </w:rPr>
            </w:pPr>
          </w:p>
        </w:tc>
      </w:tr>
      <w:tr w:rsidR="00050E07" w:rsidRPr="006C7EFA" w14:paraId="638B7BEA" w14:textId="77777777" w:rsidTr="00654BAF">
        <w:trPr>
          <w:cantSplit/>
        </w:trPr>
        <w:tc>
          <w:tcPr>
            <w:tcW w:w="583" w:type="pct"/>
            <w:vMerge/>
            <w:shd w:val="clear" w:color="auto" w:fill="auto"/>
            <w:vAlign w:val="center"/>
          </w:tcPr>
          <w:p w14:paraId="1A9248E3"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7902E123"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el PCI y su salvaguardia están integrados en la educación primaria y secundaria, por ejemplo en el contenido de las materias pertinentes, y la forma en que se utilizan para fortalecer la educación y el aprendizaje del PCI y permiten respetar el PCI propio y ajeno.</w:t>
            </w:r>
          </w:p>
        </w:tc>
        <w:tc>
          <w:tcPr>
            <w:tcW w:w="2568" w:type="pct"/>
            <w:shd w:val="clear" w:color="auto" w:fill="auto"/>
            <w:vAlign w:val="center"/>
          </w:tcPr>
          <w:p w14:paraId="7E83F026" w14:textId="77777777" w:rsidR="00050E07" w:rsidRPr="00A8072E" w:rsidRDefault="00050E07" w:rsidP="00050E07">
            <w:pPr>
              <w:numPr>
                <w:ilvl w:val="1"/>
                <w:numId w:val="15"/>
              </w:numPr>
              <w:spacing w:before="60" w:after="60" w:line="240" w:lineRule="auto"/>
              <w:ind w:left="595" w:hanging="595"/>
              <w:rPr>
                <w:rFonts w:ascii="Arial" w:eastAsia="Calibri" w:hAnsi="Arial"/>
                <w:sz w:val="20"/>
                <w:szCs w:val="20"/>
              </w:rPr>
            </w:pPr>
            <w:r>
              <w:rPr>
                <w:rFonts w:ascii="Arial" w:hAnsi="Arial"/>
                <w:sz w:val="20"/>
              </w:rPr>
              <w:t>EL PCI, en toda su diversidad, es incluido en el contenido de materias pertinentes como una contribución inherente y/o como una herramienta para explicar o demostrar otros temas.</w:t>
            </w:r>
          </w:p>
        </w:tc>
        <w:tc>
          <w:tcPr>
            <w:tcW w:w="118" w:type="pct"/>
            <w:tcBorders>
              <w:top w:val="nil"/>
              <w:bottom w:val="nil"/>
            </w:tcBorders>
            <w:shd w:val="clear" w:color="auto" w:fill="auto"/>
            <w:vAlign w:val="center"/>
          </w:tcPr>
          <w:p w14:paraId="26A0EC80"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69DA65F"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w:t>
            </w:r>
          </w:p>
          <w:p w14:paraId="69044301"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107, </w:t>
            </w:r>
            <w:r w:rsidRPr="006C7EFA">
              <w:rPr>
                <w:lang w:val="pt-PT"/>
              </w:rPr>
              <w:br/>
            </w:r>
            <w:r w:rsidRPr="006C7EFA">
              <w:rPr>
                <w:rFonts w:ascii="Arial" w:hAnsi="Arial"/>
                <w:sz w:val="20"/>
                <w:lang w:val="pt-PT"/>
              </w:rPr>
              <w:t>DO 180(a)(ii)</w:t>
            </w:r>
          </w:p>
        </w:tc>
      </w:tr>
      <w:tr w:rsidR="00050E07" w:rsidRPr="00A8072E" w14:paraId="218A980C" w14:textId="77777777" w:rsidTr="00654BAF">
        <w:trPr>
          <w:cantSplit/>
        </w:trPr>
        <w:tc>
          <w:tcPr>
            <w:tcW w:w="583" w:type="pct"/>
            <w:vMerge/>
            <w:shd w:val="clear" w:color="auto" w:fill="auto"/>
            <w:vAlign w:val="center"/>
          </w:tcPr>
          <w:p w14:paraId="791DB831" w14:textId="77777777" w:rsidR="00050E07" w:rsidRPr="006C7EFA" w:rsidRDefault="00050E07" w:rsidP="00654BAF">
            <w:pPr>
              <w:spacing w:before="60" w:after="60"/>
              <w:rPr>
                <w:rFonts w:ascii="Arial" w:hAnsi="Arial"/>
                <w:sz w:val="20"/>
                <w:szCs w:val="20"/>
                <w:lang w:val="pt-PT"/>
              </w:rPr>
            </w:pPr>
          </w:p>
        </w:tc>
        <w:tc>
          <w:tcPr>
            <w:tcW w:w="1118" w:type="pct"/>
            <w:vMerge/>
            <w:shd w:val="clear" w:color="auto" w:fill="auto"/>
            <w:vAlign w:val="center"/>
          </w:tcPr>
          <w:p w14:paraId="04301722"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43F4130C" w14:textId="77777777" w:rsidR="00050E07" w:rsidRPr="00A8072E" w:rsidRDefault="00050E07" w:rsidP="00050E07">
            <w:pPr>
              <w:numPr>
                <w:ilvl w:val="1"/>
                <w:numId w:val="15"/>
              </w:numPr>
              <w:spacing w:before="60" w:after="60" w:line="240" w:lineRule="auto"/>
              <w:ind w:left="595" w:hanging="595"/>
              <w:rPr>
                <w:rFonts w:ascii="Arial" w:eastAsia="Calibri" w:hAnsi="Arial"/>
                <w:sz w:val="20"/>
                <w:szCs w:val="20"/>
              </w:rPr>
            </w:pPr>
            <w:r>
              <w:rPr>
                <w:rFonts w:ascii="Arial" w:hAnsi="Arial"/>
                <w:sz w:val="20"/>
              </w:rPr>
              <w:t>Los estudiantes de las escuelas aprender a respetar y reflejarse en el PCI de su propia comunidad o grupo o en el PCI de otros a través de programas educativos y académicos.</w:t>
            </w:r>
          </w:p>
        </w:tc>
        <w:tc>
          <w:tcPr>
            <w:tcW w:w="118" w:type="pct"/>
            <w:tcBorders>
              <w:top w:val="nil"/>
              <w:bottom w:val="nil"/>
            </w:tcBorders>
            <w:shd w:val="clear" w:color="auto" w:fill="auto"/>
            <w:vAlign w:val="center"/>
          </w:tcPr>
          <w:p w14:paraId="058B86D5"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4C05A31"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w:t>
            </w:r>
          </w:p>
          <w:p w14:paraId="7250E835"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105, </w:t>
            </w:r>
            <w:r w:rsidRPr="006C7EFA">
              <w:rPr>
                <w:lang w:val="pt-PT"/>
              </w:rPr>
              <w:br/>
            </w:r>
            <w:r w:rsidRPr="006C7EFA">
              <w:rPr>
                <w:rFonts w:ascii="Arial" w:hAnsi="Arial"/>
                <w:sz w:val="20"/>
                <w:lang w:val="pt-PT"/>
              </w:rPr>
              <w:t>DO 180(a)(i)</w:t>
            </w:r>
          </w:p>
          <w:p w14:paraId="24E9345D" w14:textId="77777777" w:rsidR="00050E07" w:rsidRPr="00A8072E" w:rsidRDefault="00050E07" w:rsidP="00654BAF">
            <w:pPr>
              <w:spacing w:before="60" w:after="60"/>
              <w:rPr>
                <w:rFonts w:ascii="Arial" w:hAnsi="Arial"/>
                <w:sz w:val="20"/>
                <w:szCs w:val="20"/>
              </w:rPr>
            </w:pPr>
            <w:r>
              <w:rPr>
                <w:rFonts w:ascii="Arial" w:hAnsi="Arial"/>
                <w:sz w:val="20"/>
              </w:rPr>
              <w:t>EP 11</w:t>
            </w:r>
          </w:p>
        </w:tc>
      </w:tr>
      <w:tr w:rsidR="00050E07" w:rsidRPr="00A8072E" w14:paraId="5C37D063" w14:textId="77777777" w:rsidTr="00654BAF">
        <w:trPr>
          <w:cantSplit/>
        </w:trPr>
        <w:tc>
          <w:tcPr>
            <w:tcW w:w="583" w:type="pct"/>
            <w:vMerge/>
            <w:shd w:val="clear" w:color="auto" w:fill="auto"/>
            <w:vAlign w:val="center"/>
          </w:tcPr>
          <w:p w14:paraId="5CF7CA0B"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290EDEF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A8D6554" w14:textId="77777777" w:rsidR="00050E07" w:rsidRPr="00A8072E" w:rsidRDefault="00050E07" w:rsidP="00050E07">
            <w:pPr>
              <w:numPr>
                <w:ilvl w:val="1"/>
                <w:numId w:val="15"/>
              </w:numPr>
              <w:spacing w:before="60" w:after="60" w:line="240" w:lineRule="auto"/>
              <w:ind w:left="595" w:hanging="595"/>
              <w:rPr>
                <w:rFonts w:ascii="Arial" w:eastAsia="Calibri" w:hAnsi="Arial"/>
                <w:sz w:val="20"/>
                <w:szCs w:val="20"/>
              </w:rPr>
            </w:pPr>
            <w:r>
              <w:rPr>
                <w:rFonts w:ascii="Arial" w:hAnsi="Arial"/>
                <w:sz w:val="20"/>
              </w:rPr>
              <w:t>La diversidad de los estudiantes de PCI queda reflejada a través de su lengua materna o su educación multilingüe o a través de la inclusión de «contenidos locales» dentro de los programas académicos.</w:t>
            </w:r>
          </w:p>
        </w:tc>
        <w:tc>
          <w:tcPr>
            <w:tcW w:w="118" w:type="pct"/>
            <w:tcBorders>
              <w:top w:val="nil"/>
              <w:bottom w:val="nil"/>
            </w:tcBorders>
            <w:shd w:val="clear" w:color="auto" w:fill="auto"/>
            <w:vAlign w:val="center"/>
          </w:tcPr>
          <w:p w14:paraId="5D75240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1F4ED12" w14:textId="77777777" w:rsidR="00050E07" w:rsidRPr="00A8072E" w:rsidRDefault="00050E07" w:rsidP="00654BAF">
            <w:pPr>
              <w:spacing w:before="60" w:after="60"/>
              <w:rPr>
                <w:rFonts w:ascii="Arial" w:hAnsi="Arial"/>
                <w:sz w:val="20"/>
                <w:szCs w:val="20"/>
              </w:rPr>
            </w:pPr>
            <w:r>
              <w:rPr>
                <w:rFonts w:ascii="Arial" w:hAnsi="Arial"/>
                <w:sz w:val="20"/>
              </w:rPr>
              <w:t>DO 107</w:t>
            </w:r>
          </w:p>
        </w:tc>
      </w:tr>
      <w:tr w:rsidR="00050E07" w:rsidRPr="00B86AF3" w14:paraId="09A78B4F" w14:textId="77777777" w:rsidTr="00654BAF">
        <w:trPr>
          <w:cantSplit/>
        </w:trPr>
        <w:tc>
          <w:tcPr>
            <w:tcW w:w="583" w:type="pct"/>
            <w:vMerge/>
            <w:shd w:val="clear" w:color="auto" w:fill="auto"/>
            <w:vAlign w:val="center"/>
          </w:tcPr>
          <w:p w14:paraId="644241C0"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5CE15025"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ACC7CC6" w14:textId="77777777" w:rsidR="00050E07" w:rsidRPr="00A8072E" w:rsidRDefault="00050E07" w:rsidP="00050E07">
            <w:pPr>
              <w:numPr>
                <w:ilvl w:val="1"/>
                <w:numId w:val="15"/>
              </w:numPr>
              <w:spacing w:before="60" w:after="60" w:line="240" w:lineRule="auto"/>
              <w:ind w:left="595" w:hanging="595"/>
              <w:rPr>
                <w:rFonts w:ascii="Arial" w:eastAsia="Calibri" w:hAnsi="Arial"/>
                <w:sz w:val="20"/>
                <w:szCs w:val="20"/>
              </w:rPr>
            </w:pPr>
            <w:r>
              <w:rPr>
                <w:rFonts w:ascii="Arial" w:hAnsi="Arial"/>
                <w:sz w:val="20"/>
              </w:rPr>
              <w:t>Los programas de educación enseñan acerca de la protección de los espacios culturales y naturales así como de los espacios de memoria cuya existencia es necesaria para expresar el PCI.</w:t>
            </w:r>
          </w:p>
        </w:tc>
        <w:tc>
          <w:tcPr>
            <w:tcW w:w="118" w:type="pct"/>
            <w:tcBorders>
              <w:top w:val="nil"/>
              <w:bottom w:val="nil"/>
            </w:tcBorders>
            <w:shd w:val="clear" w:color="auto" w:fill="auto"/>
            <w:vAlign w:val="center"/>
          </w:tcPr>
          <w:p w14:paraId="21DB8FE6"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F2C2778"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14(c)</w:t>
            </w:r>
          </w:p>
          <w:p w14:paraId="5BF31A48"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155(e), </w:t>
            </w:r>
            <w:r w:rsidRPr="006C7EFA">
              <w:rPr>
                <w:lang w:val="pt-PT"/>
              </w:rPr>
              <w:br/>
            </w:r>
            <w:r w:rsidRPr="006C7EFA">
              <w:rPr>
                <w:rFonts w:ascii="Arial" w:hAnsi="Arial"/>
                <w:sz w:val="20"/>
                <w:lang w:val="pt-PT"/>
              </w:rPr>
              <w:t>DO 180(d)</w:t>
            </w:r>
          </w:p>
          <w:p w14:paraId="18442762" w14:textId="77777777" w:rsidR="00050E07" w:rsidRPr="00A8072E" w:rsidRDefault="00050E07" w:rsidP="00654BAF">
            <w:pPr>
              <w:spacing w:before="60" w:after="60"/>
              <w:rPr>
                <w:rFonts w:ascii="Arial" w:hAnsi="Arial"/>
                <w:sz w:val="20"/>
                <w:szCs w:val="20"/>
              </w:rPr>
            </w:pPr>
            <w:r>
              <w:rPr>
                <w:rFonts w:ascii="Arial" w:hAnsi="Arial"/>
                <w:sz w:val="20"/>
              </w:rPr>
              <w:t>EP 5</w:t>
            </w:r>
          </w:p>
        </w:tc>
      </w:tr>
      <w:tr w:rsidR="00050E07" w:rsidRPr="00B86AF3" w14:paraId="370A223A" w14:textId="77777777" w:rsidTr="00654BAF">
        <w:trPr>
          <w:cantSplit/>
        </w:trPr>
        <w:tc>
          <w:tcPr>
            <w:tcW w:w="583" w:type="pct"/>
            <w:vMerge/>
            <w:shd w:val="clear" w:color="auto" w:fill="auto"/>
            <w:vAlign w:val="center"/>
          </w:tcPr>
          <w:p w14:paraId="7B980BB8"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130690A0"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 en</w:t>
            </w:r>
            <w:r>
              <w:rPr>
                <w:rFonts w:ascii="Arial" w:hAnsi="Arial"/>
                <w:sz w:val="20"/>
              </w:rPr>
              <w:t xml:space="preserve"> el que la educación superior apoya la práctica y la transmisión del PCI y el estudio de sus dimensiones sociales, culturales y de otra índole</w:t>
            </w:r>
          </w:p>
        </w:tc>
        <w:tc>
          <w:tcPr>
            <w:tcW w:w="2568" w:type="pct"/>
            <w:shd w:val="clear" w:color="auto" w:fill="auto"/>
            <w:vAlign w:val="center"/>
          </w:tcPr>
          <w:p w14:paraId="7DE70A7C" w14:textId="77777777" w:rsidR="00050E07" w:rsidRPr="00A8072E" w:rsidRDefault="00050E07" w:rsidP="00752E90">
            <w:pPr>
              <w:numPr>
                <w:ilvl w:val="1"/>
                <w:numId w:val="18"/>
              </w:numPr>
              <w:spacing w:before="60" w:after="60" w:line="240" w:lineRule="auto"/>
              <w:ind w:left="567" w:hanging="567"/>
              <w:rPr>
                <w:rFonts w:ascii="Arial" w:eastAsia="Calibri" w:hAnsi="Arial"/>
                <w:sz w:val="20"/>
                <w:szCs w:val="20"/>
              </w:rPr>
            </w:pPr>
            <w:r>
              <w:rPr>
                <w:rFonts w:ascii="Arial" w:hAnsi="Arial"/>
                <w:sz w:val="20"/>
              </w:rPr>
              <w:t>Las instituciones de educación superior ofrecen programas académicos y licenciaturas —en ámbitos como la música, el arte, la artesanía así como</w:t>
            </w:r>
            <w:r>
              <w:rPr>
                <w:rStyle w:val="Accentuation"/>
                <w:rFonts w:ascii="Arial" w:hAnsi="Arial"/>
                <w:i w:val="0"/>
                <w:sz w:val="20"/>
              </w:rPr>
              <w:t xml:space="preserve"> formación y educación técnica y profesional</w:t>
            </w:r>
            <w:r>
              <w:rPr>
                <w:rFonts w:ascii="Arial" w:hAnsi="Arial"/>
                <w:sz w:val="20"/>
              </w:rPr>
              <w:t>, etc.— que refuerzan la práctica y transmisión del PCI.</w:t>
            </w:r>
          </w:p>
        </w:tc>
        <w:tc>
          <w:tcPr>
            <w:tcW w:w="118" w:type="pct"/>
            <w:tcBorders>
              <w:top w:val="nil"/>
              <w:bottom w:val="nil"/>
            </w:tcBorders>
            <w:shd w:val="clear" w:color="auto" w:fill="auto"/>
            <w:vAlign w:val="center"/>
          </w:tcPr>
          <w:p w14:paraId="238A3860"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8A18223" w14:textId="77777777" w:rsidR="00050E07" w:rsidRPr="00A8072E" w:rsidRDefault="00050E07" w:rsidP="00654BAF">
            <w:pPr>
              <w:spacing w:before="60" w:after="60"/>
              <w:rPr>
                <w:rFonts w:ascii="Arial" w:hAnsi="Arial"/>
                <w:sz w:val="20"/>
                <w:szCs w:val="20"/>
              </w:rPr>
            </w:pPr>
          </w:p>
        </w:tc>
      </w:tr>
      <w:tr w:rsidR="00050E07" w:rsidRPr="00B86AF3" w14:paraId="5F665490" w14:textId="77777777" w:rsidTr="00654BAF">
        <w:trPr>
          <w:cantSplit/>
        </w:trPr>
        <w:tc>
          <w:tcPr>
            <w:tcW w:w="583" w:type="pct"/>
            <w:vMerge/>
            <w:shd w:val="clear" w:color="auto" w:fill="auto"/>
            <w:vAlign w:val="center"/>
          </w:tcPr>
          <w:p w14:paraId="1ACFD6AD"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326B68E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5DA3B596" w14:textId="77777777" w:rsidR="00050E07" w:rsidRPr="00A8072E" w:rsidRDefault="00050E07" w:rsidP="00050E07">
            <w:pPr>
              <w:numPr>
                <w:ilvl w:val="1"/>
                <w:numId w:val="18"/>
              </w:numPr>
              <w:spacing w:before="60" w:after="60" w:line="240" w:lineRule="auto"/>
              <w:ind w:left="567" w:hanging="567"/>
              <w:rPr>
                <w:rFonts w:ascii="Arial" w:eastAsia="Calibri" w:hAnsi="Arial"/>
                <w:sz w:val="20"/>
                <w:szCs w:val="20"/>
              </w:rPr>
            </w:pPr>
            <w:r>
              <w:rPr>
                <w:rFonts w:ascii="Arial" w:hAnsi="Arial"/>
                <w:sz w:val="20"/>
              </w:rPr>
              <w:t>Las instituciones de educación superior ofrecen programas académicos y licenciaturas para estudiar el PCI así como sus dimensiones sociales, culturales y de otra índole.</w:t>
            </w:r>
          </w:p>
        </w:tc>
        <w:tc>
          <w:tcPr>
            <w:tcW w:w="118" w:type="pct"/>
            <w:tcBorders>
              <w:top w:val="nil"/>
              <w:bottom w:val="nil"/>
            </w:tcBorders>
            <w:shd w:val="clear" w:color="auto" w:fill="auto"/>
            <w:vAlign w:val="center"/>
          </w:tcPr>
          <w:p w14:paraId="6C7A359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76817D0" w14:textId="77777777" w:rsidR="00050E07" w:rsidRPr="00A8072E" w:rsidRDefault="00050E07" w:rsidP="00654BAF">
            <w:pPr>
              <w:spacing w:before="60" w:after="60"/>
              <w:rPr>
                <w:rFonts w:ascii="Arial" w:hAnsi="Arial"/>
                <w:sz w:val="20"/>
                <w:szCs w:val="20"/>
              </w:rPr>
            </w:pPr>
          </w:p>
        </w:tc>
      </w:tr>
      <w:tr w:rsidR="00050E07" w:rsidRPr="00A8072E" w14:paraId="0716D029" w14:textId="77777777" w:rsidTr="00654BAF">
        <w:trPr>
          <w:cantSplit/>
        </w:trPr>
        <w:tc>
          <w:tcPr>
            <w:tcW w:w="583" w:type="pct"/>
            <w:vMerge w:val="restart"/>
            <w:shd w:val="clear" w:color="auto" w:fill="auto"/>
            <w:vAlign w:val="center"/>
          </w:tcPr>
          <w:p w14:paraId="73C6F585" w14:textId="77777777" w:rsidR="00050E07" w:rsidRPr="00A8072E" w:rsidRDefault="00050E07" w:rsidP="00654BAF">
            <w:pPr>
              <w:spacing w:before="60" w:after="60"/>
              <w:rPr>
                <w:rFonts w:ascii="Arial" w:hAnsi="Arial"/>
                <w:b/>
                <w:sz w:val="20"/>
                <w:szCs w:val="20"/>
              </w:rPr>
            </w:pPr>
            <w:r>
              <w:rPr>
                <w:rFonts w:ascii="Arial" w:hAnsi="Arial"/>
                <w:b/>
                <w:sz w:val="20"/>
              </w:rPr>
              <w:t>Elaboración de inventarios e investigación</w:t>
            </w:r>
          </w:p>
        </w:tc>
        <w:tc>
          <w:tcPr>
            <w:tcW w:w="1118" w:type="pct"/>
            <w:vMerge w:val="restart"/>
            <w:shd w:val="clear" w:color="auto" w:fill="auto"/>
            <w:vAlign w:val="center"/>
          </w:tcPr>
          <w:p w14:paraId="32C5EE05"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w:t>
            </w:r>
            <w:r>
              <w:rPr>
                <w:rFonts w:ascii="Arial" w:hAnsi="Arial"/>
                <w:sz w:val="20"/>
              </w:rPr>
              <w:t xml:space="preserve"> en el que los inventarios reflejan la diversidad del PCI y contribuyen a su salvaguardia</w:t>
            </w:r>
          </w:p>
        </w:tc>
        <w:tc>
          <w:tcPr>
            <w:tcW w:w="2568" w:type="pct"/>
            <w:shd w:val="clear" w:color="auto" w:fill="auto"/>
            <w:vAlign w:val="center"/>
          </w:tcPr>
          <w:p w14:paraId="6E4915A6" w14:textId="77777777" w:rsidR="00050E07" w:rsidRPr="00A8072E" w:rsidRDefault="00050E07" w:rsidP="00050E07">
            <w:pPr>
              <w:numPr>
                <w:ilvl w:val="1"/>
                <w:numId w:val="22"/>
              </w:numPr>
              <w:spacing w:before="60" w:after="60" w:line="240" w:lineRule="auto"/>
              <w:ind w:left="567" w:hanging="567"/>
              <w:rPr>
                <w:rFonts w:ascii="Arial" w:eastAsia="Calibri" w:hAnsi="Arial"/>
                <w:vanish/>
                <w:sz w:val="20"/>
                <w:szCs w:val="20"/>
              </w:rPr>
            </w:pPr>
            <w:r>
              <w:rPr>
                <w:rFonts w:ascii="Arial" w:hAnsi="Arial"/>
                <w:sz w:val="20"/>
              </w:rPr>
              <w:t>Desde la ratificación de la Convención, se han establecido o actualizado uno o más inventarios destinados a salvaguardar el PCI y reflejar su diversidad.</w:t>
            </w:r>
          </w:p>
        </w:tc>
        <w:tc>
          <w:tcPr>
            <w:tcW w:w="118" w:type="pct"/>
            <w:tcBorders>
              <w:top w:val="nil"/>
              <w:bottom w:val="nil"/>
            </w:tcBorders>
            <w:shd w:val="clear" w:color="auto" w:fill="auto"/>
            <w:vAlign w:val="center"/>
          </w:tcPr>
          <w:p w14:paraId="04D0675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A19F72F" w14:textId="77777777" w:rsidR="00050E07" w:rsidRPr="00A8072E" w:rsidRDefault="00050E07" w:rsidP="00654BAF">
            <w:pPr>
              <w:spacing w:before="60" w:after="60"/>
              <w:rPr>
                <w:rFonts w:ascii="Arial" w:hAnsi="Arial"/>
                <w:sz w:val="20"/>
                <w:szCs w:val="20"/>
              </w:rPr>
            </w:pPr>
            <w:r>
              <w:rPr>
                <w:rFonts w:ascii="Arial" w:hAnsi="Arial"/>
                <w:sz w:val="20"/>
              </w:rPr>
              <w:t>Artículos 11 y 12</w:t>
            </w:r>
          </w:p>
          <w:p w14:paraId="612C99D8" w14:textId="77777777" w:rsidR="00050E07" w:rsidRPr="00A8072E" w:rsidRDefault="00050E07" w:rsidP="00654BAF">
            <w:pPr>
              <w:spacing w:before="60" w:after="60"/>
              <w:rPr>
                <w:rFonts w:ascii="Arial" w:hAnsi="Arial"/>
                <w:sz w:val="20"/>
                <w:szCs w:val="20"/>
              </w:rPr>
            </w:pPr>
            <w:r>
              <w:rPr>
                <w:rFonts w:ascii="Arial" w:hAnsi="Arial"/>
                <w:sz w:val="20"/>
              </w:rPr>
              <w:t>DO 1, DO 2</w:t>
            </w:r>
          </w:p>
        </w:tc>
      </w:tr>
      <w:tr w:rsidR="00050E07" w:rsidRPr="00B86AF3" w14:paraId="46FCCAD4" w14:textId="77777777" w:rsidTr="00654BAF">
        <w:trPr>
          <w:cantSplit/>
        </w:trPr>
        <w:tc>
          <w:tcPr>
            <w:tcW w:w="583" w:type="pct"/>
            <w:vMerge/>
            <w:shd w:val="clear" w:color="auto" w:fill="auto"/>
            <w:vAlign w:val="center"/>
          </w:tcPr>
          <w:p w14:paraId="113C5C76"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53B3CABF"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375DDD9" w14:textId="77777777" w:rsidR="00050E07" w:rsidRPr="00A8072E" w:rsidRDefault="00050E07" w:rsidP="00050E07">
            <w:pPr>
              <w:numPr>
                <w:ilvl w:val="1"/>
                <w:numId w:val="22"/>
              </w:numPr>
              <w:spacing w:before="60" w:after="60" w:line="240" w:lineRule="auto"/>
              <w:ind w:left="567" w:hanging="567"/>
              <w:rPr>
                <w:rFonts w:ascii="Arial" w:eastAsia="Calibri" w:hAnsi="Arial"/>
                <w:sz w:val="20"/>
                <w:szCs w:val="20"/>
              </w:rPr>
            </w:pPr>
            <w:r>
              <w:rPr>
                <w:rFonts w:ascii="Arial" w:hAnsi="Arial"/>
                <w:sz w:val="20"/>
              </w:rPr>
              <w:t>Inventarios especializados o inventarios de distintos alcances reflejan la diversidad y contribuyen a salvaguardarla.</w:t>
            </w:r>
          </w:p>
        </w:tc>
        <w:tc>
          <w:tcPr>
            <w:tcW w:w="118" w:type="pct"/>
            <w:tcBorders>
              <w:top w:val="nil"/>
              <w:bottom w:val="nil"/>
            </w:tcBorders>
            <w:shd w:val="clear" w:color="auto" w:fill="auto"/>
            <w:vAlign w:val="center"/>
          </w:tcPr>
          <w:p w14:paraId="4BCCAD3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61DF997" w14:textId="77777777" w:rsidR="00050E07" w:rsidRPr="00A8072E" w:rsidRDefault="00050E07" w:rsidP="00654BAF">
            <w:pPr>
              <w:spacing w:before="60" w:after="60"/>
              <w:rPr>
                <w:rFonts w:ascii="Arial" w:hAnsi="Arial"/>
                <w:sz w:val="20"/>
                <w:szCs w:val="20"/>
              </w:rPr>
            </w:pPr>
          </w:p>
        </w:tc>
      </w:tr>
      <w:tr w:rsidR="00050E07" w:rsidRPr="00A8072E" w14:paraId="5A284635" w14:textId="77777777" w:rsidTr="00654BAF">
        <w:trPr>
          <w:cantSplit/>
        </w:trPr>
        <w:tc>
          <w:tcPr>
            <w:tcW w:w="583" w:type="pct"/>
            <w:vMerge/>
            <w:shd w:val="clear" w:color="auto" w:fill="auto"/>
            <w:vAlign w:val="center"/>
          </w:tcPr>
          <w:p w14:paraId="6AFE10F6"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2FDDA76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656CD663" w14:textId="77777777" w:rsidR="00050E07" w:rsidRPr="00A8072E" w:rsidRDefault="00050E07" w:rsidP="00050E07">
            <w:pPr>
              <w:numPr>
                <w:ilvl w:val="1"/>
                <w:numId w:val="22"/>
              </w:numPr>
              <w:spacing w:before="60" w:after="60" w:line="240" w:lineRule="auto"/>
              <w:ind w:left="567" w:hanging="567"/>
              <w:rPr>
                <w:rFonts w:ascii="Arial" w:eastAsia="Calibri" w:hAnsi="Arial"/>
                <w:sz w:val="20"/>
                <w:szCs w:val="20"/>
              </w:rPr>
            </w:pPr>
            <w:r>
              <w:rPr>
                <w:rFonts w:ascii="Arial" w:hAnsi="Arial"/>
                <w:sz w:val="20"/>
              </w:rPr>
              <w:t>El o los inventarios existentes se han actualizado durante el período de presentación de informes, en especial para reflejar la viabilidad actual de los elementos incluidos.</w:t>
            </w:r>
          </w:p>
        </w:tc>
        <w:tc>
          <w:tcPr>
            <w:tcW w:w="118" w:type="pct"/>
            <w:tcBorders>
              <w:top w:val="nil"/>
              <w:bottom w:val="nil"/>
            </w:tcBorders>
            <w:shd w:val="clear" w:color="auto" w:fill="auto"/>
            <w:vAlign w:val="center"/>
          </w:tcPr>
          <w:p w14:paraId="1B69935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C4668B7" w14:textId="77777777" w:rsidR="00050E07" w:rsidRPr="00A8072E" w:rsidRDefault="00050E07" w:rsidP="00654BAF">
            <w:pPr>
              <w:spacing w:before="60" w:after="60"/>
              <w:rPr>
                <w:rFonts w:ascii="Arial" w:hAnsi="Arial"/>
                <w:sz w:val="20"/>
                <w:szCs w:val="20"/>
              </w:rPr>
            </w:pPr>
            <w:r>
              <w:rPr>
                <w:rFonts w:ascii="Arial" w:hAnsi="Arial"/>
                <w:sz w:val="20"/>
              </w:rPr>
              <w:t>Artículo 12</w:t>
            </w:r>
          </w:p>
          <w:p w14:paraId="742C14D6" w14:textId="77777777" w:rsidR="00050E07" w:rsidRPr="00A8072E" w:rsidRDefault="00050E07" w:rsidP="00654BAF">
            <w:pPr>
              <w:spacing w:before="60" w:after="60"/>
              <w:rPr>
                <w:rFonts w:ascii="Arial" w:hAnsi="Arial"/>
                <w:sz w:val="20"/>
                <w:szCs w:val="20"/>
              </w:rPr>
            </w:pPr>
            <w:r>
              <w:rPr>
                <w:rFonts w:ascii="Arial" w:hAnsi="Arial"/>
                <w:sz w:val="20"/>
              </w:rPr>
              <w:t>DO 1, DO 2</w:t>
            </w:r>
          </w:p>
        </w:tc>
      </w:tr>
      <w:tr w:rsidR="00050E07" w:rsidRPr="00A8072E" w14:paraId="5500AE81" w14:textId="77777777" w:rsidTr="00654BAF">
        <w:trPr>
          <w:cantSplit/>
        </w:trPr>
        <w:tc>
          <w:tcPr>
            <w:tcW w:w="583" w:type="pct"/>
            <w:vMerge/>
            <w:shd w:val="clear" w:color="auto" w:fill="auto"/>
            <w:vAlign w:val="center"/>
          </w:tcPr>
          <w:p w14:paraId="561A51D1"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4AC1B4B6"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43E98A4" w14:textId="77777777" w:rsidR="00050E07" w:rsidRPr="00A8072E" w:rsidRDefault="00050E07" w:rsidP="00050E07">
            <w:pPr>
              <w:numPr>
                <w:ilvl w:val="1"/>
                <w:numId w:val="22"/>
              </w:numPr>
              <w:spacing w:before="60" w:after="60" w:line="240" w:lineRule="auto"/>
              <w:ind w:left="567" w:hanging="567"/>
              <w:rPr>
                <w:rFonts w:ascii="Arial" w:eastAsia="Calibri" w:hAnsi="Arial"/>
                <w:sz w:val="20"/>
                <w:szCs w:val="20"/>
              </w:rPr>
            </w:pPr>
            <w:r>
              <w:rPr>
                <w:rFonts w:ascii="Arial" w:hAnsi="Arial"/>
                <w:sz w:val="20"/>
              </w:rPr>
              <w:t>Se facilita el acceso a inventarios del PCI- respetando las prácticas consuetudinarias por las que se rige el acceso a determinados aspectos de dicho PCI- y se utilizan para reforzar su salvaguardia.</w:t>
            </w:r>
          </w:p>
        </w:tc>
        <w:tc>
          <w:tcPr>
            <w:tcW w:w="118" w:type="pct"/>
            <w:tcBorders>
              <w:top w:val="nil"/>
              <w:bottom w:val="nil"/>
            </w:tcBorders>
            <w:shd w:val="clear" w:color="auto" w:fill="auto"/>
            <w:vAlign w:val="center"/>
          </w:tcPr>
          <w:p w14:paraId="70727BF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30B330F" w14:textId="77777777" w:rsidR="00050E07" w:rsidRPr="00A8072E" w:rsidRDefault="00050E07" w:rsidP="00654BAF">
            <w:pPr>
              <w:spacing w:before="60" w:after="60"/>
              <w:rPr>
                <w:rFonts w:ascii="Arial" w:hAnsi="Arial"/>
                <w:sz w:val="20"/>
                <w:szCs w:val="20"/>
              </w:rPr>
            </w:pPr>
            <w:r>
              <w:rPr>
                <w:rFonts w:ascii="Arial" w:hAnsi="Arial"/>
                <w:sz w:val="20"/>
              </w:rPr>
              <w:t>Artículo 13(d)(ii)</w:t>
            </w:r>
          </w:p>
          <w:p w14:paraId="0FB2AF6D" w14:textId="77777777" w:rsidR="00050E07" w:rsidRPr="00A8072E" w:rsidRDefault="00050E07" w:rsidP="00654BAF">
            <w:pPr>
              <w:spacing w:before="60" w:after="60"/>
              <w:rPr>
                <w:rFonts w:ascii="Arial" w:hAnsi="Arial"/>
                <w:sz w:val="20"/>
                <w:szCs w:val="20"/>
              </w:rPr>
            </w:pPr>
            <w:r>
              <w:rPr>
                <w:rFonts w:ascii="Arial" w:hAnsi="Arial"/>
                <w:sz w:val="20"/>
              </w:rPr>
              <w:t>DO 85</w:t>
            </w:r>
          </w:p>
        </w:tc>
      </w:tr>
      <w:tr w:rsidR="00050E07" w:rsidRPr="006C7EFA" w14:paraId="5FFFA695" w14:textId="77777777" w:rsidTr="00654BAF">
        <w:trPr>
          <w:cantSplit/>
        </w:trPr>
        <w:tc>
          <w:tcPr>
            <w:tcW w:w="583" w:type="pct"/>
            <w:vMerge/>
            <w:shd w:val="clear" w:color="auto" w:fill="auto"/>
            <w:vAlign w:val="center"/>
          </w:tcPr>
          <w:p w14:paraId="163376C3"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4F5FDFE5"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 en</w:t>
            </w:r>
            <w:r>
              <w:rPr>
                <w:rFonts w:ascii="Arial" w:hAnsi="Arial"/>
                <w:sz w:val="20"/>
              </w:rPr>
              <w:t xml:space="preserve"> el que el proceso de inventariado es inclusivo, respeta la diversidad del PCI y de sus practicantes y fomenta la salvaguardia por parte de las comunidades, los grupos y los individuos interesados</w:t>
            </w:r>
          </w:p>
        </w:tc>
        <w:tc>
          <w:tcPr>
            <w:tcW w:w="2568" w:type="pct"/>
            <w:shd w:val="clear" w:color="auto" w:fill="auto"/>
            <w:vAlign w:val="center"/>
          </w:tcPr>
          <w:p w14:paraId="2C1D31DA" w14:textId="77777777" w:rsidR="00050E07" w:rsidRPr="00A8072E" w:rsidRDefault="00050E07" w:rsidP="00050E07">
            <w:pPr>
              <w:numPr>
                <w:ilvl w:val="1"/>
                <w:numId w:val="23"/>
              </w:numPr>
              <w:spacing w:before="60" w:after="60" w:line="240" w:lineRule="auto"/>
              <w:ind w:left="567" w:hanging="567"/>
              <w:rPr>
                <w:rFonts w:ascii="Arial" w:eastAsia="Calibri" w:hAnsi="Arial"/>
                <w:vanish/>
                <w:sz w:val="20"/>
                <w:szCs w:val="20"/>
              </w:rPr>
            </w:pPr>
            <w:r>
              <w:rPr>
                <w:rFonts w:ascii="Arial" w:hAnsi="Arial"/>
                <w:sz w:val="20"/>
              </w:rPr>
              <w:t>Las comunidades, los grupos y las ONG relevantes participan de manera inclusiva en la elaboración de inventarios, que permite informar y fortalecer los esfuerzos en materia de salvaguardia.</w:t>
            </w:r>
          </w:p>
        </w:tc>
        <w:tc>
          <w:tcPr>
            <w:tcW w:w="118" w:type="pct"/>
            <w:tcBorders>
              <w:top w:val="nil"/>
              <w:bottom w:val="nil"/>
            </w:tcBorders>
            <w:shd w:val="clear" w:color="auto" w:fill="auto"/>
            <w:vAlign w:val="center"/>
          </w:tcPr>
          <w:p w14:paraId="770E53F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BB8B193"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11</w:t>
            </w:r>
          </w:p>
          <w:p w14:paraId="77815C18"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1, DO 2</w:t>
            </w:r>
          </w:p>
          <w:p w14:paraId="38B7032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EP 1, EP 6, </w:t>
            </w:r>
            <w:r w:rsidRPr="006C7EFA">
              <w:rPr>
                <w:lang w:val="pt-PT"/>
              </w:rPr>
              <w:br/>
            </w:r>
            <w:r w:rsidRPr="006C7EFA">
              <w:rPr>
                <w:rFonts w:ascii="Arial" w:hAnsi="Arial"/>
                <w:sz w:val="20"/>
                <w:lang w:val="pt-PT"/>
              </w:rPr>
              <w:t>EP 8, EP 10</w:t>
            </w:r>
          </w:p>
        </w:tc>
      </w:tr>
      <w:tr w:rsidR="00050E07" w:rsidRPr="00B86AF3" w14:paraId="326142F8" w14:textId="77777777" w:rsidTr="00654BAF">
        <w:trPr>
          <w:cantSplit/>
        </w:trPr>
        <w:tc>
          <w:tcPr>
            <w:tcW w:w="583" w:type="pct"/>
            <w:vMerge/>
            <w:shd w:val="clear" w:color="auto" w:fill="auto"/>
            <w:vAlign w:val="center"/>
          </w:tcPr>
          <w:p w14:paraId="6DA698AA" w14:textId="77777777" w:rsidR="00050E07" w:rsidRPr="006C7EFA" w:rsidRDefault="00050E07" w:rsidP="00654BAF">
            <w:pPr>
              <w:spacing w:before="60" w:after="60"/>
              <w:rPr>
                <w:rFonts w:ascii="Arial" w:hAnsi="Arial"/>
                <w:sz w:val="20"/>
                <w:szCs w:val="20"/>
                <w:lang w:val="pt-PT"/>
              </w:rPr>
            </w:pPr>
          </w:p>
        </w:tc>
        <w:tc>
          <w:tcPr>
            <w:tcW w:w="1118" w:type="pct"/>
            <w:vMerge/>
            <w:shd w:val="clear" w:color="auto" w:fill="auto"/>
            <w:vAlign w:val="center"/>
          </w:tcPr>
          <w:p w14:paraId="2B3B993C"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287266CB" w14:textId="77777777" w:rsidR="00050E07" w:rsidRPr="00A8072E" w:rsidRDefault="00050E07" w:rsidP="00050E07">
            <w:pPr>
              <w:numPr>
                <w:ilvl w:val="1"/>
                <w:numId w:val="23"/>
              </w:numPr>
              <w:spacing w:before="60" w:after="60" w:line="240" w:lineRule="auto"/>
              <w:ind w:left="567" w:hanging="567"/>
              <w:rPr>
                <w:rFonts w:ascii="Arial" w:eastAsia="Calibri" w:hAnsi="Arial"/>
                <w:sz w:val="20"/>
                <w:szCs w:val="20"/>
              </w:rPr>
            </w:pPr>
            <w:r>
              <w:rPr>
                <w:rFonts w:ascii="Arial" w:hAnsi="Arial"/>
                <w:sz w:val="20"/>
              </w:rPr>
              <w:t>El proceso de elaboración de inventarios respeta la diversidad del PCI y de sus practicantes, incluyendo las prácticas y expresiones de todos los sectores de la sociedad, de todos los géneros y de todas las regiones.</w:t>
            </w:r>
          </w:p>
        </w:tc>
        <w:tc>
          <w:tcPr>
            <w:tcW w:w="118" w:type="pct"/>
            <w:tcBorders>
              <w:top w:val="nil"/>
              <w:bottom w:val="nil"/>
            </w:tcBorders>
            <w:shd w:val="clear" w:color="auto" w:fill="auto"/>
            <w:vAlign w:val="center"/>
          </w:tcPr>
          <w:p w14:paraId="47DE44F9"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508EC62" w14:textId="77777777" w:rsidR="00050E07" w:rsidRPr="00A8072E" w:rsidRDefault="00050E07" w:rsidP="00654BAF">
            <w:pPr>
              <w:spacing w:before="60" w:after="60"/>
              <w:rPr>
                <w:rFonts w:ascii="Arial" w:hAnsi="Arial"/>
                <w:sz w:val="20"/>
                <w:szCs w:val="20"/>
              </w:rPr>
            </w:pPr>
          </w:p>
        </w:tc>
      </w:tr>
      <w:tr w:rsidR="00050E07" w:rsidRPr="00A8072E" w14:paraId="653C3359" w14:textId="77777777" w:rsidTr="00654BAF">
        <w:trPr>
          <w:cantSplit/>
        </w:trPr>
        <w:tc>
          <w:tcPr>
            <w:tcW w:w="583" w:type="pct"/>
            <w:vMerge/>
            <w:shd w:val="clear" w:color="auto" w:fill="auto"/>
            <w:vAlign w:val="center"/>
          </w:tcPr>
          <w:p w14:paraId="5852F5FD"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01B3D935"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w:t>
            </w:r>
            <w:r>
              <w:rPr>
                <w:rFonts w:ascii="Arial" w:hAnsi="Arial"/>
                <w:sz w:val="20"/>
              </w:rPr>
              <w:t xml:space="preserve"> en el que la investigación y la documentación, incluidos los estudios científicos, técnicos y artísticos, contribuyen a la salvaguardia</w:t>
            </w:r>
          </w:p>
        </w:tc>
        <w:tc>
          <w:tcPr>
            <w:tcW w:w="2568" w:type="pct"/>
            <w:shd w:val="clear" w:color="auto" w:fill="auto"/>
            <w:vAlign w:val="center"/>
          </w:tcPr>
          <w:p w14:paraId="6BA0881D" w14:textId="77777777" w:rsidR="00050E07" w:rsidRPr="00A8072E" w:rsidRDefault="00050E07" w:rsidP="00050E07">
            <w:pPr>
              <w:numPr>
                <w:ilvl w:val="1"/>
                <w:numId w:val="24"/>
              </w:numPr>
              <w:spacing w:before="60" w:after="60" w:line="240" w:lineRule="auto"/>
              <w:ind w:left="567" w:hanging="567"/>
              <w:rPr>
                <w:rFonts w:ascii="Arial" w:eastAsia="Calibri" w:hAnsi="Arial"/>
                <w:vanish/>
                <w:sz w:val="20"/>
                <w:szCs w:val="20"/>
              </w:rPr>
            </w:pPr>
            <w:r>
              <w:rPr>
                <w:rFonts w:ascii="Arial" w:hAnsi="Arial"/>
                <w:sz w:val="20"/>
              </w:rPr>
              <w:t>Apoyos financieros y de otra índole fomentan la investigación, los estudios científicos, técnicos y artísticos, la documentación y el registro, orientados a salvaguardar el PCI y son elaborados en conformidad con los principios éticos relevantes.</w:t>
            </w:r>
          </w:p>
        </w:tc>
        <w:tc>
          <w:tcPr>
            <w:tcW w:w="118" w:type="pct"/>
            <w:tcBorders>
              <w:top w:val="nil"/>
              <w:bottom w:val="nil"/>
            </w:tcBorders>
            <w:shd w:val="clear" w:color="auto" w:fill="auto"/>
            <w:vAlign w:val="center"/>
          </w:tcPr>
          <w:p w14:paraId="0892B3C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F07B1C8" w14:textId="77777777" w:rsidR="00050E07" w:rsidRPr="00A8072E" w:rsidRDefault="00050E07" w:rsidP="00654BAF">
            <w:pPr>
              <w:spacing w:before="60" w:after="60"/>
              <w:rPr>
                <w:rFonts w:ascii="Arial" w:hAnsi="Arial"/>
                <w:sz w:val="20"/>
                <w:szCs w:val="20"/>
              </w:rPr>
            </w:pPr>
            <w:r>
              <w:rPr>
                <w:rFonts w:ascii="Arial" w:hAnsi="Arial"/>
                <w:sz w:val="20"/>
              </w:rPr>
              <w:t>DO 173, DO 175</w:t>
            </w:r>
          </w:p>
        </w:tc>
      </w:tr>
      <w:tr w:rsidR="00050E07" w:rsidRPr="00A8072E" w14:paraId="61BF34A7" w14:textId="77777777" w:rsidTr="00654BAF">
        <w:trPr>
          <w:cantSplit/>
        </w:trPr>
        <w:tc>
          <w:tcPr>
            <w:tcW w:w="583" w:type="pct"/>
            <w:vMerge/>
            <w:shd w:val="clear" w:color="auto" w:fill="auto"/>
            <w:vAlign w:val="center"/>
          </w:tcPr>
          <w:p w14:paraId="518ADA89"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56EEA79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1CA116D1" w14:textId="77777777" w:rsidR="00050E07" w:rsidRPr="004A06C2" w:rsidRDefault="00050E07" w:rsidP="00050E07">
            <w:pPr>
              <w:numPr>
                <w:ilvl w:val="1"/>
                <w:numId w:val="24"/>
              </w:numPr>
              <w:spacing w:before="60" w:after="60" w:line="240" w:lineRule="auto"/>
              <w:ind w:left="567" w:hanging="567"/>
              <w:rPr>
                <w:rFonts w:ascii="Arial" w:eastAsia="Calibri" w:hAnsi="Arial"/>
                <w:sz w:val="20"/>
                <w:szCs w:val="20"/>
              </w:rPr>
            </w:pPr>
            <w:r>
              <w:rPr>
                <w:rFonts w:ascii="Arial" w:hAnsi="Arial"/>
                <w:sz w:val="20"/>
              </w:rPr>
              <w:t>Se fomenta la investigación sobre los enfoques y sobre</w:t>
            </w:r>
            <w:r w:rsidRPr="004A06C2">
              <w:rPr>
                <w:rFonts w:ascii="Arial" w:hAnsi="Arial"/>
                <w:sz w:val="20"/>
              </w:rPr>
              <w:t xml:space="preserve"> los impactos de </w:t>
            </w:r>
            <w:r>
              <w:rPr>
                <w:rFonts w:ascii="Arial" w:hAnsi="Arial"/>
                <w:sz w:val="20"/>
              </w:rPr>
              <w:t xml:space="preserve">la </w:t>
            </w:r>
            <w:r w:rsidRPr="004A06C2">
              <w:rPr>
                <w:rFonts w:ascii="Arial" w:hAnsi="Arial"/>
                <w:sz w:val="20"/>
              </w:rPr>
              <w:t>salvaguardia del PCI en general así como</w:t>
            </w:r>
            <w:r>
              <w:rPr>
                <w:rFonts w:ascii="Arial" w:hAnsi="Arial"/>
                <w:sz w:val="20"/>
              </w:rPr>
              <w:t xml:space="preserve"> la investigación sobre</w:t>
            </w:r>
            <w:r w:rsidRPr="004A06C2">
              <w:rPr>
                <w:rFonts w:ascii="Arial" w:hAnsi="Arial"/>
                <w:sz w:val="20"/>
              </w:rPr>
              <w:t xml:space="preserve"> elementos específicos del PCI, independientemente de si están o no inscritos.</w:t>
            </w:r>
          </w:p>
        </w:tc>
        <w:tc>
          <w:tcPr>
            <w:tcW w:w="118" w:type="pct"/>
            <w:tcBorders>
              <w:top w:val="nil"/>
              <w:bottom w:val="nil"/>
            </w:tcBorders>
            <w:shd w:val="clear" w:color="auto" w:fill="auto"/>
            <w:vAlign w:val="center"/>
          </w:tcPr>
          <w:p w14:paraId="6AF50F2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653A3C9" w14:textId="77777777" w:rsidR="00050E07" w:rsidRPr="00A8072E" w:rsidRDefault="00050E07" w:rsidP="00654BAF">
            <w:pPr>
              <w:spacing w:before="60" w:after="60"/>
              <w:rPr>
                <w:rFonts w:ascii="Arial" w:hAnsi="Arial"/>
                <w:sz w:val="20"/>
                <w:szCs w:val="20"/>
              </w:rPr>
            </w:pPr>
            <w:r>
              <w:rPr>
                <w:rFonts w:ascii="Arial" w:hAnsi="Arial"/>
                <w:sz w:val="20"/>
              </w:rPr>
              <w:t>DO 162</w:t>
            </w:r>
          </w:p>
        </w:tc>
      </w:tr>
      <w:tr w:rsidR="00050E07" w:rsidRPr="00EC7F66" w14:paraId="52F010E6" w14:textId="77777777" w:rsidTr="00654BAF">
        <w:trPr>
          <w:cantSplit/>
        </w:trPr>
        <w:tc>
          <w:tcPr>
            <w:tcW w:w="583" w:type="pct"/>
            <w:vMerge/>
            <w:shd w:val="clear" w:color="auto" w:fill="auto"/>
            <w:vAlign w:val="center"/>
          </w:tcPr>
          <w:p w14:paraId="7F53D450"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4E05059C"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1B517F3" w14:textId="77777777" w:rsidR="00050E07" w:rsidRPr="00A8072E" w:rsidRDefault="00050E07" w:rsidP="00050E07">
            <w:pPr>
              <w:numPr>
                <w:ilvl w:val="1"/>
                <w:numId w:val="24"/>
              </w:numPr>
              <w:spacing w:before="60" w:after="60" w:line="240" w:lineRule="auto"/>
              <w:ind w:left="567" w:hanging="567"/>
              <w:rPr>
                <w:rFonts w:ascii="Arial" w:eastAsia="Calibri" w:hAnsi="Arial"/>
                <w:sz w:val="20"/>
                <w:szCs w:val="20"/>
              </w:rPr>
            </w:pPr>
            <w:r>
              <w:rPr>
                <w:rFonts w:ascii="Arial" w:hAnsi="Arial"/>
                <w:sz w:val="20"/>
              </w:rPr>
              <w:t>Practicantes y depositarios del PCI participan en la gestión, la implementación y la divulgación de los resultados de investigaciones así como de los estudios científicos, técnicos y artísticos, todos ellos llevados a cabo con consentimiento previo, libre, informado y continuo.</w:t>
            </w:r>
          </w:p>
        </w:tc>
        <w:tc>
          <w:tcPr>
            <w:tcW w:w="118" w:type="pct"/>
            <w:tcBorders>
              <w:top w:val="nil"/>
              <w:bottom w:val="nil"/>
            </w:tcBorders>
            <w:shd w:val="clear" w:color="auto" w:fill="auto"/>
            <w:vAlign w:val="center"/>
          </w:tcPr>
          <w:p w14:paraId="0B649CC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DDFF795"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OD 109(a), </w:t>
            </w:r>
            <w:r w:rsidRPr="006C7EFA">
              <w:rPr>
                <w:lang w:val="pt-PT"/>
              </w:rPr>
              <w:br/>
            </w:r>
            <w:r w:rsidRPr="006C7EFA">
              <w:rPr>
                <w:rFonts w:ascii="Arial" w:hAnsi="Arial"/>
                <w:sz w:val="20"/>
                <w:lang w:val="pt-PT"/>
              </w:rPr>
              <w:t xml:space="preserve">DO 109(e), </w:t>
            </w:r>
            <w:r w:rsidRPr="006C7EFA">
              <w:rPr>
                <w:lang w:val="pt-PT"/>
              </w:rPr>
              <w:br/>
            </w:r>
            <w:r w:rsidRPr="006C7EFA">
              <w:rPr>
                <w:rFonts w:ascii="Arial" w:hAnsi="Arial"/>
                <w:sz w:val="20"/>
                <w:lang w:val="pt-PT"/>
              </w:rPr>
              <w:t xml:space="preserve">DO 153(b)(ii), </w:t>
            </w:r>
            <w:r w:rsidRPr="006C7EFA">
              <w:rPr>
                <w:lang w:val="pt-PT"/>
              </w:rPr>
              <w:br/>
            </w:r>
            <w:r w:rsidRPr="006C7EFA">
              <w:rPr>
                <w:rFonts w:ascii="Arial" w:hAnsi="Arial"/>
                <w:sz w:val="20"/>
                <w:lang w:val="pt-PT"/>
              </w:rPr>
              <w:t>DO 175</w:t>
            </w:r>
          </w:p>
          <w:p w14:paraId="0429CED2" w14:textId="77777777" w:rsidR="00050E07" w:rsidRPr="00A8072E" w:rsidRDefault="00050E07" w:rsidP="00654BAF">
            <w:pPr>
              <w:spacing w:before="60" w:after="60"/>
              <w:rPr>
                <w:rFonts w:ascii="Arial" w:hAnsi="Arial"/>
                <w:sz w:val="20"/>
                <w:szCs w:val="20"/>
              </w:rPr>
            </w:pPr>
            <w:r>
              <w:rPr>
                <w:rFonts w:ascii="Arial" w:hAnsi="Arial"/>
                <w:sz w:val="20"/>
              </w:rPr>
              <w:t>EP 1, EP 7</w:t>
            </w:r>
          </w:p>
        </w:tc>
      </w:tr>
      <w:tr w:rsidR="00050E07" w:rsidRPr="00A8072E" w14:paraId="2AED73CC" w14:textId="77777777" w:rsidTr="00654BAF">
        <w:trPr>
          <w:cantSplit/>
        </w:trPr>
        <w:tc>
          <w:tcPr>
            <w:tcW w:w="583" w:type="pct"/>
            <w:vMerge/>
            <w:shd w:val="clear" w:color="auto" w:fill="auto"/>
            <w:vAlign w:val="center"/>
          </w:tcPr>
          <w:p w14:paraId="5EC533C0"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4E5F31AE"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 en</w:t>
            </w:r>
            <w:r>
              <w:rPr>
                <w:rFonts w:ascii="Arial" w:hAnsi="Arial"/>
                <w:sz w:val="20"/>
              </w:rPr>
              <w:t xml:space="preserve"> el que los resultados de las investigaciones y la documentación son accesibles y se utilizan para reforzar la elaboración de políticas y mejorar la salvaguardia</w:t>
            </w:r>
          </w:p>
        </w:tc>
        <w:tc>
          <w:tcPr>
            <w:tcW w:w="2568" w:type="pct"/>
            <w:shd w:val="clear" w:color="auto" w:fill="auto"/>
            <w:vAlign w:val="center"/>
          </w:tcPr>
          <w:p w14:paraId="3501AD63" w14:textId="77777777" w:rsidR="00050E07" w:rsidRPr="00A8072E" w:rsidRDefault="00050E07" w:rsidP="00050E07">
            <w:pPr>
              <w:numPr>
                <w:ilvl w:val="1"/>
                <w:numId w:val="25"/>
              </w:numPr>
              <w:spacing w:before="60" w:after="60" w:line="240" w:lineRule="auto"/>
              <w:ind w:left="567" w:hanging="567"/>
              <w:rPr>
                <w:rFonts w:ascii="Arial" w:eastAsia="Calibri" w:hAnsi="Arial"/>
                <w:vanish/>
                <w:sz w:val="20"/>
                <w:szCs w:val="20"/>
              </w:rPr>
            </w:pPr>
            <w:r>
              <w:rPr>
                <w:rFonts w:ascii="Arial" w:hAnsi="Arial"/>
                <w:sz w:val="20"/>
              </w:rPr>
              <w:t>La documentación y los resultados de las investigaciones están disponibles para las comunidades, los grupos y los individuos - respetando las prácticas consuetudinarias por las que se rige el acceso a determinados aspectos del PCI-.</w:t>
            </w:r>
          </w:p>
        </w:tc>
        <w:tc>
          <w:tcPr>
            <w:tcW w:w="118" w:type="pct"/>
            <w:tcBorders>
              <w:top w:val="nil"/>
              <w:bottom w:val="nil"/>
            </w:tcBorders>
            <w:shd w:val="clear" w:color="auto" w:fill="auto"/>
            <w:vAlign w:val="center"/>
          </w:tcPr>
          <w:p w14:paraId="1C658C41"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EC2528E"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13(d)(ii)</w:t>
            </w:r>
          </w:p>
          <w:p w14:paraId="7FE61395"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85, </w:t>
            </w:r>
            <w:r w:rsidRPr="006C7EFA">
              <w:rPr>
                <w:lang w:val="pt-PT"/>
              </w:rPr>
              <w:br/>
            </w:r>
            <w:r w:rsidRPr="006C7EFA">
              <w:rPr>
                <w:rFonts w:ascii="Arial" w:hAnsi="Arial"/>
                <w:sz w:val="20"/>
                <w:lang w:val="pt-PT"/>
              </w:rPr>
              <w:t xml:space="preserve">DO 101(c), </w:t>
            </w:r>
            <w:r w:rsidRPr="006C7EFA">
              <w:rPr>
                <w:lang w:val="pt-PT"/>
              </w:rPr>
              <w:br/>
            </w:r>
            <w:r w:rsidRPr="006C7EFA">
              <w:rPr>
                <w:rFonts w:ascii="Arial" w:hAnsi="Arial"/>
                <w:sz w:val="20"/>
                <w:lang w:val="pt-PT"/>
              </w:rPr>
              <w:t>DO 153(b)(iii)</w:t>
            </w:r>
          </w:p>
          <w:p w14:paraId="388A4107" w14:textId="77777777" w:rsidR="00050E07" w:rsidRPr="00A8072E" w:rsidRDefault="00050E07" w:rsidP="00654BAF">
            <w:pPr>
              <w:spacing w:before="60" w:after="60"/>
              <w:rPr>
                <w:rFonts w:ascii="Arial" w:hAnsi="Arial"/>
                <w:sz w:val="20"/>
                <w:szCs w:val="20"/>
              </w:rPr>
            </w:pPr>
            <w:r>
              <w:rPr>
                <w:rFonts w:ascii="Arial" w:hAnsi="Arial"/>
                <w:sz w:val="20"/>
              </w:rPr>
              <w:t>EP 5</w:t>
            </w:r>
          </w:p>
        </w:tc>
      </w:tr>
      <w:tr w:rsidR="00050E07" w:rsidRPr="00A8072E" w14:paraId="341EACE5" w14:textId="77777777" w:rsidTr="00654BAF">
        <w:trPr>
          <w:cantSplit/>
        </w:trPr>
        <w:tc>
          <w:tcPr>
            <w:tcW w:w="583" w:type="pct"/>
            <w:vMerge/>
            <w:shd w:val="clear" w:color="auto" w:fill="auto"/>
            <w:vAlign w:val="center"/>
          </w:tcPr>
          <w:p w14:paraId="7280332C"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3B380590"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6F3A3269" w14:textId="77777777" w:rsidR="00050E07" w:rsidRPr="00A8072E" w:rsidRDefault="00050E07" w:rsidP="00050E07">
            <w:pPr>
              <w:numPr>
                <w:ilvl w:val="1"/>
                <w:numId w:val="25"/>
              </w:numPr>
              <w:spacing w:before="60" w:after="60" w:line="240" w:lineRule="auto"/>
              <w:ind w:left="567" w:hanging="567"/>
              <w:rPr>
                <w:rFonts w:ascii="Arial" w:eastAsia="Calibri" w:hAnsi="Arial"/>
                <w:sz w:val="20"/>
                <w:szCs w:val="20"/>
              </w:rPr>
            </w:pPr>
            <w:r>
              <w:rPr>
                <w:rFonts w:ascii="Arial" w:hAnsi="Arial"/>
                <w:sz w:val="20"/>
              </w:rPr>
              <w:t>Los resultados de las investigaciones, la documentación y los estudios científicos, técnicos y artísticos sobre el PCI se utilizan con el fin de reforzar la elaboración de políticas en todos los sectores.</w:t>
            </w:r>
          </w:p>
        </w:tc>
        <w:tc>
          <w:tcPr>
            <w:tcW w:w="118" w:type="pct"/>
            <w:tcBorders>
              <w:top w:val="nil"/>
              <w:bottom w:val="nil"/>
            </w:tcBorders>
            <w:shd w:val="clear" w:color="auto" w:fill="auto"/>
            <w:vAlign w:val="center"/>
          </w:tcPr>
          <w:p w14:paraId="26ACE2D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1869C15" w14:textId="77777777" w:rsidR="00050E07" w:rsidRPr="00A8072E" w:rsidRDefault="00050E07" w:rsidP="00654BAF">
            <w:pPr>
              <w:spacing w:before="60" w:after="60"/>
              <w:rPr>
                <w:rFonts w:ascii="Arial" w:hAnsi="Arial"/>
                <w:sz w:val="20"/>
                <w:szCs w:val="20"/>
              </w:rPr>
            </w:pPr>
            <w:r>
              <w:rPr>
                <w:rFonts w:ascii="Arial" w:hAnsi="Arial"/>
                <w:sz w:val="20"/>
              </w:rPr>
              <w:t>DO 153(b)(ii)</w:t>
            </w:r>
          </w:p>
        </w:tc>
      </w:tr>
      <w:tr w:rsidR="00050E07" w:rsidRPr="009C5096" w14:paraId="0605A0E8" w14:textId="77777777" w:rsidTr="00654BAF">
        <w:trPr>
          <w:cantSplit/>
        </w:trPr>
        <w:tc>
          <w:tcPr>
            <w:tcW w:w="583" w:type="pct"/>
            <w:vMerge/>
            <w:shd w:val="clear" w:color="auto" w:fill="auto"/>
            <w:vAlign w:val="center"/>
          </w:tcPr>
          <w:p w14:paraId="17DB89D0"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5C42A20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34E48CD" w14:textId="77777777" w:rsidR="00050E07" w:rsidRPr="00A8072E" w:rsidRDefault="00050E07" w:rsidP="00050E07">
            <w:pPr>
              <w:numPr>
                <w:ilvl w:val="1"/>
                <w:numId w:val="25"/>
              </w:numPr>
              <w:spacing w:before="60" w:after="60" w:line="240" w:lineRule="auto"/>
              <w:ind w:left="567" w:hanging="567"/>
              <w:rPr>
                <w:rFonts w:ascii="Arial" w:eastAsia="Calibri" w:hAnsi="Arial"/>
                <w:sz w:val="20"/>
                <w:szCs w:val="20"/>
              </w:rPr>
            </w:pPr>
            <w:r>
              <w:rPr>
                <w:rFonts w:ascii="Arial" w:hAnsi="Arial"/>
                <w:sz w:val="20"/>
              </w:rPr>
              <w:t>Los resultados de las investigaciones, la documentación y los estudios científicos, técnicos y artísticos sobre el PCI se utilizan para mejorar la salvaguardia.</w:t>
            </w:r>
          </w:p>
        </w:tc>
        <w:tc>
          <w:tcPr>
            <w:tcW w:w="118" w:type="pct"/>
            <w:tcBorders>
              <w:top w:val="nil"/>
              <w:bottom w:val="nil"/>
            </w:tcBorders>
            <w:shd w:val="clear" w:color="auto" w:fill="auto"/>
            <w:vAlign w:val="center"/>
          </w:tcPr>
          <w:p w14:paraId="6D4B8FA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6D3CA54" w14:textId="77777777" w:rsidR="00050E07" w:rsidRPr="00A8072E" w:rsidRDefault="00050E07" w:rsidP="00654BAF">
            <w:pPr>
              <w:spacing w:before="60" w:after="60"/>
              <w:rPr>
                <w:rFonts w:ascii="Arial" w:hAnsi="Arial"/>
                <w:sz w:val="20"/>
                <w:szCs w:val="20"/>
              </w:rPr>
            </w:pPr>
          </w:p>
        </w:tc>
      </w:tr>
      <w:tr w:rsidR="00050E07" w:rsidRPr="00545DF2" w14:paraId="606AB29F" w14:textId="77777777" w:rsidTr="00654BAF">
        <w:trPr>
          <w:cantSplit/>
        </w:trPr>
        <w:tc>
          <w:tcPr>
            <w:tcW w:w="583" w:type="pct"/>
            <w:vMerge w:val="restart"/>
            <w:shd w:val="clear" w:color="auto" w:fill="auto"/>
            <w:vAlign w:val="center"/>
          </w:tcPr>
          <w:p w14:paraId="20FA9416" w14:textId="77777777" w:rsidR="00050E07" w:rsidRPr="00A8072E" w:rsidRDefault="00050E07" w:rsidP="00654BAF">
            <w:pPr>
              <w:spacing w:before="60" w:after="60"/>
              <w:rPr>
                <w:rFonts w:ascii="Arial" w:hAnsi="Arial"/>
                <w:b/>
                <w:sz w:val="20"/>
                <w:szCs w:val="20"/>
              </w:rPr>
            </w:pPr>
            <w:r>
              <w:rPr>
                <w:rFonts w:ascii="Arial" w:hAnsi="Arial"/>
                <w:b/>
                <w:sz w:val="20"/>
              </w:rPr>
              <w:t>Políticas y medidas administrativas y legales</w:t>
            </w:r>
          </w:p>
        </w:tc>
        <w:tc>
          <w:tcPr>
            <w:tcW w:w="1118" w:type="pct"/>
            <w:vMerge w:val="restart"/>
            <w:shd w:val="clear" w:color="auto" w:fill="auto"/>
            <w:vAlign w:val="center"/>
          </w:tcPr>
          <w:p w14:paraId="480FE57C"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 en</w:t>
            </w:r>
            <w:r>
              <w:rPr>
                <w:rFonts w:ascii="Arial" w:hAnsi="Arial"/>
                <w:sz w:val="20"/>
              </w:rPr>
              <w:t xml:space="preserve"> el que las políticas y las medidas legales y administrativas en el ámbito de la cultura reflejan la diversidad del PCI y la importancia de su </w:t>
            </w:r>
            <w:r w:rsidRPr="000F1B3A">
              <w:rPr>
                <w:rFonts w:ascii="Arial" w:hAnsi="Arial"/>
                <w:sz w:val="20"/>
              </w:rPr>
              <w:t>salvaguardia y grado en el que</w:t>
            </w:r>
            <w:r w:rsidRPr="00D42CFA">
              <w:rPr>
                <w:rFonts w:ascii="Arial" w:hAnsi="Arial"/>
                <w:sz w:val="20"/>
              </w:rPr>
              <w:t xml:space="preserve"> se</w:t>
            </w:r>
            <w:r>
              <w:rPr>
                <w:rFonts w:ascii="Arial" w:hAnsi="Arial"/>
                <w:sz w:val="20"/>
              </w:rPr>
              <w:t xml:space="preserve"> ponen en práctica</w:t>
            </w:r>
          </w:p>
        </w:tc>
        <w:tc>
          <w:tcPr>
            <w:tcW w:w="2568" w:type="pct"/>
            <w:shd w:val="clear" w:color="auto" w:fill="auto"/>
            <w:vAlign w:val="center"/>
          </w:tcPr>
          <w:p w14:paraId="24E3A98E" w14:textId="77777777" w:rsidR="00050E07" w:rsidRPr="00A8072E" w:rsidRDefault="00050E07" w:rsidP="00050E07">
            <w:pPr>
              <w:numPr>
                <w:ilvl w:val="1"/>
                <w:numId w:val="26"/>
              </w:numPr>
              <w:spacing w:before="60" w:after="60" w:line="240" w:lineRule="auto"/>
              <w:ind w:left="567" w:hanging="567"/>
              <w:rPr>
                <w:rFonts w:ascii="Arial" w:eastAsia="Calibri" w:hAnsi="Arial"/>
                <w:vanish/>
                <w:sz w:val="20"/>
                <w:szCs w:val="20"/>
              </w:rPr>
            </w:pPr>
            <w:r>
              <w:rPr>
                <w:rFonts w:ascii="Arial" w:hAnsi="Arial"/>
                <w:sz w:val="20"/>
              </w:rPr>
              <w:t>Se han creado o revisado políticas culturales y/o medidas legales y administrativas que integran el PCI y su salvaguardia, reflejan su diversidad y se ponen en práctica.</w:t>
            </w:r>
          </w:p>
        </w:tc>
        <w:tc>
          <w:tcPr>
            <w:tcW w:w="118" w:type="pct"/>
            <w:tcBorders>
              <w:top w:val="nil"/>
              <w:bottom w:val="nil"/>
            </w:tcBorders>
            <w:shd w:val="clear" w:color="auto" w:fill="auto"/>
            <w:vAlign w:val="center"/>
          </w:tcPr>
          <w:p w14:paraId="4CEC687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470090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13(a)</w:t>
            </w:r>
          </w:p>
          <w:p w14:paraId="79161D3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153(b)(i), </w:t>
            </w:r>
            <w:r w:rsidRPr="006C7EFA">
              <w:rPr>
                <w:lang w:val="pt-PT"/>
              </w:rPr>
              <w:br/>
            </w:r>
            <w:r w:rsidRPr="006C7EFA">
              <w:rPr>
                <w:rFonts w:ascii="Arial" w:hAnsi="Arial"/>
                <w:sz w:val="20"/>
                <w:lang w:val="pt-PT"/>
              </w:rPr>
              <w:t>DO 171(d)</w:t>
            </w:r>
          </w:p>
        </w:tc>
      </w:tr>
      <w:tr w:rsidR="00050E07" w:rsidRPr="00A8072E" w14:paraId="0A04D225" w14:textId="77777777" w:rsidTr="00654BAF">
        <w:trPr>
          <w:cantSplit/>
        </w:trPr>
        <w:tc>
          <w:tcPr>
            <w:tcW w:w="583" w:type="pct"/>
            <w:vMerge/>
            <w:shd w:val="clear" w:color="auto" w:fill="auto"/>
            <w:vAlign w:val="center"/>
          </w:tcPr>
          <w:p w14:paraId="78536516" w14:textId="77777777" w:rsidR="00050E07" w:rsidRPr="006C7EFA" w:rsidRDefault="00050E07" w:rsidP="00654BAF">
            <w:pPr>
              <w:spacing w:before="60" w:after="60"/>
              <w:ind w:left="360"/>
              <w:rPr>
                <w:rFonts w:ascii="Arial" w:hAnsi="Arial"/>
                <w:sz w:val="20"/>
                <w:szCs w:val="20"/>
                <w:lang w:val="pt-PT"/>
              </w:rPr>
            </w:pPr>
          </w:p>
        </w:tc>
        <w:tc>
          <w:tcPr>
            <w:tcW w:w="1118" w:type="pct"/>
            <w:vMerge/>
            <w:shd w:val="clear" w:color="auto" w:fill="auto"/>
            <w:vAlign w:val="center"/>
          </w:tcPr>
          <w:p w14:paraId="3259E957"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3E597B42" w14:textId="77777777" w:rsidR="00050E07" w:rsidRPr="00A8072E" w:rsidRDefault="00050E07" w:rsidP="00050E07">
            <w:pPr>
              <w:numPr>
                <w:ilvl w:val="1"/>
                <w:numId w:val="26"/>
              </w:numPr>
              <w:spacing w:before="60" w:after="60" w:line="240" w:lineRule="auto"/>
              <w:ind w:left="567" w:hanging="567"/>
              <w:rPr>
                <w:rFonts w:ascii="Arial" w:eastAsia="Calibri" w:hAnsi="Arial"/>
                <w:sz w:val="20"/>
                <w:szCs w:val="20"/>
              </w:rPr>
            </w:pPr>
            <w:r>
              <w:rPr>
                <w:rFonts w:ascii="Arial" w:hAnsi="Arial"/>
                <w:sz w:val="20"/>
              </w:rPr>
              <w:t>Se han creado o actualizado estrategias nacionales o subregionales, o planes de acción para la salvaguardia del PCI, mismos que se implementan, entre ellos se incluyen los planes de salvaguardia de elementos específicos, independientemente de si están o no inscritos.</w:t>
            </w:r>
          </w:p>
        </w:tc>
        <w:tc>
          <w:tcPr>
            <w:tcW w:w="118" w:type="pct"/>
            <w:tcBorders>
              <w:top w:val="nil"/>
              <w:bottom w:val="nil"/>
            </w:tcBorders>
            <w:shd w:val="clear" w:color="auto" w:fill="auto"/>
            <w:vAlign w:val="center"/>
          </w:tcPr>
          <w:p w14:paraId="09DA65D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A820BA1" w14:textId="77777777" w:rsidR="00050E07" w:rsidRPr="00A8072E" w:rsidRDefault="00050E07" w:rsidP="00654BAF">
            <w:pPr>
              <w:spacing w:before="60" w:after="60"/>
              <w:rPr>
                <w:rFonts w:ascii="Arial" w:hAnsi="Arial"/>
                <w:sz w:val="20"/>
                <w:szCs w:val="20"/>
              </w:rPr>
            </w:pPr>
            <w:r>
              <w:rPr>
                <w:rFonts w:ascii="Arial" w:hAnsi="Arial"/>
                <w:sz w:val="20"/>
              </w:rPr>
              <w:t>DO 1, DO 2</w:t>
            </w:r>
          </w:p>
        </w:tc>
      </w:tr>
      <w:tr w:rsidR="00050E07" w:rsidRPr="009C5096" w14:paraId="3CBBB126" w14:textId="77777777" w:rsidTr="00654BAF">
        <w:trPr>
          <w:cantSplit/>
        </w:trPr>
        <w:tc>
          <w:tcPr>
            <w:tcW w:w="583" w:type="pct"/>
            <w:vMerge/>
            <w:shd w:val="clear" w:color="auto" w:fill="auto"/>
            <w:vAlign w:val="center"/>
          </w:tcPr>
          <w:p w14:paraId="75FE80D2"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3FA0FF03" w14:textId="77777777" w:rsidR="00050E07" w:rsidRPr="00A8072E" w:rsidRDefault="00050E07" w:rsidP="00654BAF">
            <w:pPr>
              <w:spacing w:before="60" w:after="60"/>
              <w:rPr>
                <w:rFonts w:ascii="Arial" w:eastAsia="Calibri" w:hAnsi="Arial"/>
                <w:sz w:val="20"/>
                <w:szCs w:val="20"/>
              </w:rPr>
            </w:pPr>
          </w:p>
        </w:tc>
        <w:tc>
          <w:tcPr>
            <w:tcW w:w="2568" w:type="pct"/>
            <w:shd w:val="clear" w:color="auto" w:fill="auto"/>
            <w:vAlign w:val="center"/>
          </w:tcPr>
          <w:p w14:paraId="1E63E059" w14:textId="77777777" w:rsidR="00050E07" w:rsidRPr="00A8072E" w:rsidRDefault="00050E07" w:rsidP="00050E07">
            <w:pPr>
              <w:numPr>
                <w:ilvl w:val="1"/>
                <w:numId w:val="26"/>
              </w:numPr>
              <w:spacing w:before="60" w:after="60" w:line="240" w:lineRule="auto"/>
              <w:ind w:left="567" w:hanging="567"/>
              <w:rPr>
                <w:rFonts w:ascii="Arial" w:eastAsia="Calibri" w:hAnsi="Arial"/>
                <w:sz w:val="20"/>
                <w:szCs w:val="20"/>
              </w:rPr>
            </w:pPr>
            <w:r>
              <w:rPr>
                <w:rFonts w:ascii="Arial" w:hAnsi="Arial"/>
                <w:sz w:val="20"/>
              </w:rPr>
              <w:t>Se proporcionan asistencia técnicas o financiación pública para la salvaguardia de elementos del PCI, independientemente de si están o no inscritos, sobre una base equitativa en comparación con todas las ayudas para la cultura y el patrimonio en general, a la vez que se da prioridad a aquellos elementos que requieren medidas de salvaguardia urgente.</w:t>
            </w:r>
          </w:p>
        </w:tc>
        <w:tc>
          <w:tcPr>
            <w:tcW w:w="118" w:type="pct"/>
            <w:tcBorders>
              <w:top w:val="nil"/>
              <w:bottom w:val="nil"/>
            </w:tcBorders>
            <w:shd w:val="clear" w:color="auto" w:fill="auto"/>
            <w:vAlign w:val="center"/>
          </w:tcPr>
          <w:p w14:paraId="78A26A0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9CA9B7D" w14:textId="77777777" w:rsidR="00050E07" w:rsidRPr="00A8072E" w:rsidRDefault="00050E07" w:rsidP="00654BAF">
            <w:pPr>
              <w:spacing w:before="60" w:after="60"/>
              <w:rPr>
                <w:rFonts w:ascii="Arial" w:hAnsi="Arial"/>
                <w:sz w:val="20"/>
                <w:szCs w:val="20"/>
              </w:rPr>
            </w:pPr>
          </w:p>
        </w:tc>
      </w:tr>
      <w:tr w:rsidR="00050E07" w:rsidRPr="00B86AF3" w14:paraId="7551A544" w14:textId="77777777" w:rsidTr="00654BAF">
        <w:trPr>
          <w:cantSplit/>
        </w:trPr>
        <w:tc>
          <w:tcPr>
            <w:tcW w:w="583" w:type="pct"/>
            <w:vMerge/>
            <w:shd w:val="clear" w:color="auto" w:fill="auto"/>
            <w:vAlign w:val="center"/>
          </w:tcPr>
          <w:p w14:paraId="0787D520"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0107E9B2" w14:textId="77777777" w:rsidR="00050E07" w:rsidRPr="00A8072E" w:rsidRDefault="00050E07" w:rsidP="00654BAF">
            <w:pPr>
              <w:spacing w:before="60" w:after="60"/>
              <w:rPr>
                <w:rFonts w:ascii="Arial" w:eastAsia="Calibri" w:hAnsi="Arial"/>
                <w:sz w:val="20"/>
                <w:szCs w:val="20"/>
              </w:rPr>
            </w:pPr>
          </w:p>
        </w:tc>
        <w:tc>
          <w:tcPr>
            <w:tcW w:w="2568" w:type="pct"/>
            <w:shd w:val="clear" w:color="auto" w:fill="auto"/>
            <w:vAlign w:val="center"/>
          </w:tcPr>
          <w:p w14:paraId="279D0691" w14:textId="77777777" w:rsidR="00050E07" w:rsidRPr="00A8072E" w:rsidRDefault="00050E07" w:rsidP="00050E07">
            <w:pPr>
              <w:numPr>
                <w:ilvl w:val="1"/>
                <w:numId w:val="26"/>
              </w:numPr>
              <w:spacing w:before="60" w:after="60" w:line="240" w:lineRule="auto"/>
              <w:ind w:left="567" w:hanging="567"/>
              <w:rPr>
                <w:rFonts w:ascii="Arial" w:eastAsia="Calibri" w:hAnsi="Arial"/>
                <w:sz w:val="20"/>
                <w:szCs w:val="20"/>
              </w:rPr>
            </w:pPr>
            <w:r>
              <w:rPr>
                <w:rFonts w:ascii="Arial" w:hAnsi="Arial"/>
                <w:sz w:val="20"/>
              </w:rPr>
              <w:t xml:space="preserve"> Las políticas culturales y/o las medidas legales y administrativas que incluyen el PCI y su salvaguardia se elaboran con la participación activa de comunidades, grupos e individuos.</w:t>
            </w:r>
          </w:p>
        </w:tc>
        <w:tc>
          <w:tcPr>
            <w:tcW w:w="118" w:type="pct"/>
            <w:tcBorders>
              <w:top w:val="nil"/>
              <w:bottom w:val="nil"/>
            </w:tcBorders>
            <w:shd w:val="clear" w:color="auto" w:fill="auto"/>
            <w:vAlign w:val="center"/>
          </w:tcPr>
          <w:p w14:paraId="4E11A54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5FF1191" w14:textId="77777777" w:rsidR="00050E07" w:rsidRPr="00A8072E" w:rsidRDefault="00050E07" w:rsidP="00654BAF">
            <w:pPr>
              <w:spacing w:before="60" w:after="60"/>
              <w:rPr>
                <w:rFonts w:ascii="Arial" w:hAnsi="Arial"/>
                <w:sz w:val="20"/>
                <w:szCs w:val="20"/>
              </w:rPr>
            </w:pPr>
          </w:p>
        </w:tc>
      </w:tr>
      <w:tr w:rsidR="00050E07" w:rsidRPr="00A8072E" w14:paraId="0CB00B47" w14:textId="77777777" w:rsidTr="00654BAF">
        <w:trPr>
          <w:cantSplit/>
        </w:trPr>
        <w:tc>
          <w:tcPr>
            <w:tcW w:w="583" w:type="pct"/>
            <w:vMerge/>
            <w:shd w:val="clear" w:color="auto" w:fill="auto"/>
            <w:vAlign w:val="center"/>
          </w:tcPr>
          <w:p w14:paraId="583E0761" w14:textId="77777777" w:rsidR="00050E07" w:rsidRPr="00A8072E" w:rsidRDefault="00050E07" w:rsidP="00654BAF">
            <w:pPr>
              <w:spacing w:before="60" w:after="60"/>
              <w:ind w:left="360"/>
              <w:rPr>
                <w:rFonts w:ascii="Arial" w:hAnsi="Arial"/>
                <w:sz w:val="20"/>
                <w:szCs w:val="20"/>
              </w:rPr>
            </w:pPr>
          </w:p>
        </w:tc>
        <w:tc>
          <w:tcPr>
            <w:tcW w:w="1118" w:type="pct"/>
            <w:vMerge w:val="restart"/>
            <w:shd w:val="clear" w:color="auto" w:fill="auto"/>
            <w:vAlign w:val="center"/>
          </w:tcPr>
          <w:p w14:paraId="5EAE00CF"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las políticas y las</w:t>
            </w:r>
            <w:r w:rsidR="00752E90">
              <w:rPr>
                <w:rFonts w:ascii="Arial" w:hAnsi="Arial"/>
                <w:sz w:val="20"/>
              </w:rPr>
              <w:t xml:space="preserve"> medidas legales y </w:t>
            </w:r>
            <w:r>
              <w:rPr>
                <w:rFonts w:ascii="Arial" w:hAnsi="Arial"/>
                <w:sz w:val="20"/>
              </w:rPr>
              <w:t>administrativas en el ámbito de la educación reflejan la diversidad del PCI y la importancia de su salvaguardia y se ponen en práctica</w:t>
            </w:r>
          </w:p>
        </w:tc>
        <w:tc>
          <w:tcPr>
            <w:tcW w:w="2568" w:type="pct"/>
            <w:shd w:val="clear" w:color="auto" w:fill="auto"/>
            <w:vAlign w:val="center"/>
          </w:tcPr>
          <w:p w14:paraId="5461E69B" w14:textId="77777777" w:rsidR="00050E07" w:rsidRPr="00A8072E" w:rsidRDefault="00050E07" w:rsidP="00050E07">
            <w:pPr>
              <w:numPr>
                <w:ilvl w:val="1"/>
                <w:numId w:val="27"/>
              </w:numPr>
              <w:spacing w:before="60" w:after="60" w:line="240" w:lineRule="auto"/>
              <w:ind w:left="567" w:hanging="567"/>
              <w:rPr>
                <w:rFonts w:ascii="Arial" w:eastAsia="Calibri" w:hAnsi="Arial"/>
                <w:vanish/>
                <w:sz w:val="20"/>
                <w:szCs w:val="20"/>
              </w:rPr>
            </w:pPr>
            <w:r>
              <w:rPr>
                <w:rFonts w:ascii="Arial" w:hAnsi="Arial"/>
                <w:sz w:val="20"/>
              </w:rPr>
              <w:t>Políticas y/o medidas legales y administrativas en el marco educativo se ponen en práctica o se actualizan, con el fin de garantizar el reconocimiento, el respeto y la valorización del patrimonio cultural inmaterial.</w:t>
            </w:r>
          </w:p>
        </w:tc>
        <w:tc>
          <w:tcPr>
            <w:tcW w:w="118" w:type="pct"/>
            <w:tcBorders>
              <w:top w:val="nil"/>
              <w:bottom w:val="nil"/>
            </w:tcBorders>
            <w:shd w:val="clear" w:color="auto" w:fill="auto"/>
            <w:vAlign w:val="center"/>
          </w:tcPr>
          <w:p w14:paraId="4AD8A73E"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494D4AE" w14:textId="77777777" w:rsidR="00050E07" w:rsidRPr="00A8072E" w:rsidRDefault="00050E07" w:rsidP="00654BAF">
            <w:pPr>
              <w:spacing w:before="60" w:after="60"/>
              <w:rPr>
                <w:rFonts w:ascii="Arial" w:hAnsi="Arial"/>
                <w:sz w:val="20"/>
                <w:szCs w:val="20"/>
              </w:rPr>
            </w:pPr>
            <w:r>
              <w:rPr>
                <w:rFonts w:ascii="Arial" w:hAnsi="Arial"/>
                <w:sz w:val="20"/>
              </w:rPr>
              <w:t>Artículo 14(a)(ii)</w:t>
            </w:r>
          </w:p>
        </w:tc>
      </w:tr>
      <w:tr w:rsidR="00050E07" w:rsidRPr="00A8072E" w14:paraId="03621B7C" w14:textId="77777777" w:rsidTr="00654BAF">
        <w:trPr>
          <w:cantSplit/>
        </w:trPr>
        <w:tc>
          <w:tcPr>
            <w:tcW w:w="583" w:type="pct"/>
            <w:vMerge/>
            <w:shd w:val="clear" w:color="auto" w:fill="auto"/>
            <w:vAlign w:val="center"/>
          </w:tcPr>
          <w:p w14:paraId="58AD6434"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0EEA0EB0"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44229B7" w14:textId="77777777" w:rsidR="00050E07" w:rsidRPr="00A8072E" w:rsidRDefault="00050E07" w:rsidP="00050E07">
            <w:pPr>
              <w:numPr>
                <w:ilvl w:val="1"/>
                <w:numId w:val="27"/>
              </w:numPr>
              <w:spacing w:before="60" w:after="60" w:line="240" w:lineRule="auto"/>
              <w:ind w:left="567" w:hanging="567"/>
              <w:rPr>
                <w:rFonts w:ascii="Arial" w:eastAsia="Calibri" w:hAnsi="Arial"/>
                <w:sz w:val="20"/>
                <w:szCs w:val="20"/>
              </w:rPr>
            </w:pPr>
            <w:r>
              <w:rPr>
                <w:rFonts w:ascii="Arial" w:hAnsi="Arial"/>
                <w:sz w:val="20"/>
              </w:rPr>
              <w:t>Políticas y/o medidas legales y administrativas en el marco educativo se ponen en práctica o se actualizan, con el fin de reforzar la transmisión y la práctica del PCI.</w:t>
            </w:r>
          </w:p>
        </w:tc>
        <w:tc>
          <w:tcPr>
            <w:tcW w:w="118" w:type="pct"/>
            <w:tcBorders>
              <w:top w:val="nil"/>
              <w:bottom w:val="nil"/>
            </w:tcBorders>
            <w:shd w:val="clear" w:color="auto" w:fill="auto"/>
            <w:vAlign w:val="center"/>
          </w:tcPr>
          <w:p w14:paraId="394718A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789FAA9" w14:textId="77777777" w:rsidR="00050E07" w:rsidRPr="00A8072E" w:rsidRDefault="00050E07" w:rsidP="00654BAF">
            <w:pPr>
              <w:spacing w:before="60" w:after="60"/>
              <w:rPr>
                <w:rFonts w:ascii="Arial" w:hAnsi="Arial"/>
                <w:sz w:val="20"/>
                <w:szCs w:val="20"/>
              </w:rPr>
            </w:pPr>
            <w:r>
              <w:rPr>
                <w:rFonts w:ascii="Arial" w:hAnsi="Arial"/>
                <w:sz w:val="20"/>
              </w:rPr>
              <w:t>Artículo 14(a)(ii)</w:t>
            </w:r>
          </w:p>
        </w:tc>
      </w:tr>
      <w:tr w:rsidR="00050E07" w:rsidRPr="00A8072E" w14:paraId="24FB3082" w14:textId="77777777" w:rsidTr="00654BAF">
        <w:trPr>
          <w:cantSplit/>
        </w:trPr>
        <w:tc>
          <w:tcPr>
            <w:tcW w:w="583" w:type="pct"/>
            <w:vMerge/>
            <w:shd w:val="clear" w:color="auto" w:fill="auto"/>
            <w:vAlign w:val="center"/>
          </w:tcPr>
          <w:p w14:paraId="65C521B6"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56AB2FC3"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0543438" w14:textId="77777777" w:rsidR="00050E07" w:rsidRPr="00A8072E" w:rsidRDefault="00050E07" w:rsidP="00050E07">
            <w:pPr>
              <w:numPr>
                <w:ilvl w:val="1"/>
                <w:numId w:val="27"/>
              </w:numPr>
              <w:spacing w:before="60" w:after="60" w:line="240" w:lineRule="auto"/>
              <w:ind w:left="567" w:hanging="567"/>
              <w:rPr>
                <w:rFonts w:ascii="Arial" w:eastAsia="Calibri" w:hAnsi="Arial"/>
                <w:sz w:val="20"/>
                <w:szCs w:val="20"/>
              </w:rPr>
            </w:pPr>
            <w:r>
              <w:rPr>
                <w:rFonts w:ascii="Arial" w:hAnsi="Arial"/>
                <w:sz w:val="20"/>
              </w:rPr>
              <w:t>Políticas y/o medidas legales y administrativas que promuevan la enseñanza en la lengua materna y la educación multilingüe.</w:t>
            </w:r>
          </w:p>
        </w:tc>
        <w:tc>
          <w:tcPr>
            <w:tcW w:w="118" w:type="pct"/>
            <w:tcBorders>
              <w:top w:val="nil"/>
              <w:bottom w:val="nil"/>
            </w:tcBorders>
            <w:shd w:val="clear" w:color="auto" w:fill="auto"/>
            <w:vAlign w:val="center"/>
          </w:tcPr>
          <w:p w14:paraId="3963FCC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BE5D748" w14:textId="77777777" w:rsidR="00050E07" w:rsidRPr="00A8072E" w:rsidRDefault="00050E07" w:rsidP="00654BAF">
            <w:pPr>
              <w:spacing w:before="60" w:after="60"/>
              <w:rPr>
                <w:rFonts w:ascii="Arial" w:hAnsi="Arial"/>
                <w:sz w:val="20"/>
                <w:szCs w:val="20"/>
              </w:rPr>
            </w:pPr>
            <w:r>
              <w:rPr>
                <w:rFonts w:ascii="Arial" w:hAnsi="Arial"/>
                <w:sz w:val="20"/>
              </w:rPr>
              <w:t>Artículo 14(a)(ii)</w:t>
            </w:r>
          </w:p>
          <w:p w14:paraId="4B80BDB9" w14:textId="77777777" w:rsidR="00050E07" w:rsidRPr="00A8072E" w:rsidRDefault="00050E07" w:rsidP="00654BAF">
            <w:pPr>
              <w:spacing w:before="60" w:after="60"/>
              <w:rPr>
                <w:rFonts w:ascii="Arial" w:hAnsi="Arial"/>
                <w:sz w:val="20"/>
                <w:szCs w:val="20"/>
              </w:rPr>
            </w:pPr>
            <w:r>
              <w:rPr>
                <w:rFonts w:ascii="Arial" w:hAnsi="Arial"/>
                <w:sz w:val="20"/>
              </w:rPr>
              <w:t>DO 107</w:t>
            </w:r>
          </w:p>
        </w:tc>
      </w:tr>
      <w:tr w:rsidR="00050E07" w:rsidRPr="00A8072E" w14:paraId="56FF6B1B" w14:textId="77777777" w:rsidTr="00654BAF">
        <w:trPr>
          <w:cantSplit/>
          <w:trHeight w:val="675"/>
        </w:trPr>
        <w:tc>
          <w:tcPr>
            <w:tcW w:w="583" w:type="pct"/>
            <w:vMerge/>
            <w:shd w:val="clear" w:color="auto" w:fill="auto"/>
            <w:vAlign w:val="center"/>
          </w:tcPr>
          <w:p w14:paraId="5380BDF2" w14:textId="77777777" w:rsidR="00050E07" w:rsidRPr="00A8072E" w:rsidRDefault="00050E07" w:rsidP="00654BAF">
            <w:pPr>
              <w:spacing w:before="60" w:after="60"/>
              <w:ind w:left="360"/>
              <w:rPr>
                <w:rFonts w:ascii="Arial" w:hAnsi="Arial"/>
                <w:sz w:val="20"/>
                <w:szCs w:val="20"/>
              </w:rPr>
            </w:pPr>
          </w:p>
        </w:tc>
        <w:tc>
          <w:tcPr>
            <w:tcW w:w="1118" w:type="pct"/>
            <w:vMerge w:val="restart"/>
            <w:shd w:val="clear" w:color="auto" w:fill="auto"/>
            <w:vAlign w:val="center"/>
          </w:tcPr>
          <w:p w14:paraId="0D03DB23"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las políticas y las medidas legales y administrativas en ámbitos que no sean el de la cultura y la educación, reflejen la diversidad del PCI y la importancia de su salvaguardia y grado en el que se implementen</w:t>
            </w:r>
          </w:p>
        </w:tc>
        <w:tc>
          <w:tcPr>
            <w:tcW w:w="2568" w:type="pct"/>
            <w:shd w:val="clear" w:color="auto" w:fill="auto"/>
            <w:vAlign w:val="center"/>
          </w:tcPr>
          <w:p w14:paraId="67FA889B" w14:textId="77777777" w:rsidR="00050E07" w:rsidRPr="00701CE0" w:rsidRDefault="00050E07" w:rsidP="00050E07">
            <w:pPr>
              <w:numPr>
                <w:ilvl w:val="1"/>
                <w:numId w:val="16"/>
              </w:numPr>
              <w:spacing w:before="60" w:after="60" w:line="240" w:lineRule="auto"/>
              <w:ind w:left="567" w:hanging="567"/>
              <w:rPr>
                <w:rFonts w:ascii="Arial" w:eastAsia="Calibri" w:hAnsi="Arial"/>
                <w:vanish/>
                <w:sz w:val="20"/>
                <w:szCs w:val="20"/>
              </w:rPr>
            </w:pPr>
            <w:r>
              <w:rPr>
                <w:rFonts w:ascii="Arial" w:hAnsi="Arial"/>
                <w:sz w:val="20"/>
              </w:rPr>
              <w:t>Los Principios Éticos para la Salvaguardia del Patrimonio Cultural Inmaterial son</w:t>
            </w:r>
          </w:p>
          <w:p w14:paraId="115799AC" w14:textId="77777777" w:rsidR="00050E07" w:rsidRPr="00701CE0" w:rsidRDefault="00050E07" w:rsidP="00654BAF">
            <w:pPr>
              <w:spacing w:before="60" w:after="60"/>
              <w:rPr>
                <w:rFonts w:ascii="Arial" w:hAnsi="Arial"/>
                <w:sz w:val="20"/>
              </w:rPr>
            </w:pPr>
            <w:r>
              <w:rPr>
                <w:rFonts w:ascii="Arial" w:hAnsi="Arial"/>
                <w:sz w:val="20"/>
              </w:rPr>
              <w:t xml:space="preserve"> integrados y respetados en los planes, las políticas y los programas de desarrollo.</w:t>
            </w:r>
          </w:p>
        </w:tc>
        <w:tc>
          <w:tcPr>
            <w:tcW w:w="118" w:type="pct"/>
            <w:tcBorders>
              <w:top w:val="nil"/>
              <w:bottom w:val="nil"/>
            </w:tcBorders>
            <w:shd w:val="clear" w:color="auto" w:fill="auto"/>
            <w:vAlign w:val="center"/>
          </w:tcPr>
          <w:p w14:paraId="68AF1C85" w14:textId="77777777" w:rsidR="00050E07" w:rsidRPr="00A8072E" w:rsidRDefault="00050E07" w:rsidP="00654BAF">
            <w:pPr>
              <w:spacing w:before="60" w:after="60"/>
              <w:rPr>
                <w:rFonts w:ascii="Arial" w:hAnsi="Arial"/>
                <w:sz w:val="20"/>
                <w:szCs w:val="20"/>
              </w:rPr>
            </w:pPr>
            <w:r>
              <w:rPr>
                <w:rFonts w:ascii="Arial" w:hAnsi="Arial"/>
                <w:sz w:val="20"/>
                <w:szCs w:val="20"/>
              </w:rPr>
              <w:t xml:space="preserve"> </w:t>
            </w:r>
          </w:p>
        </w:tc>
        <w:tc>
          <w:tcPr>
            <w:tcW w:w="613" w:type="pct"/>
            <w:shd w:val="clear" w:color="auto" w:fill="auto"/>
            <w:vAlign w:val="center"/>
          </w:tcPr>
          <w:p w14:paraId="20E60DA2" w14:textId="77777777" w:rsidR="00050E07" w:rsidRPr="00A8072E" w:rsidRDefault="00050E07" w:rsidP="00654BAF">
            <w:pPr>
              <w:spacing w:before="60" w:after="60"/>
              <w:rPr>
                <w:rFonts w:ascii="Arial" w:hAnsi="Arial"/>
                <w:sz w:val="20"/>
                <w:szCs w:val="20"/>
              </w:rPr>
            </w:pPr>
            <w:r>
              <w:rPr>
                <w:rFonts w:ascii="Arial" w:hAnsi="Arial"/>
                <w:sz w:val="20"/>
              </w:rPr>
              <w:t>DO 171(c)</w:t>
            </w:r>
          </w:p>
          <w:p w14:paraId="34A5C83C" w14:textId="77777777" w:rsidR="00050E07" w:rsidRPr="00A8072E" w:rsidRDefault="00050E07" w:rsidP="00654BAF">
            <w:pPr>
              <w:spacing w:before="60" w:after="60"/>
              <w:rPr>
                <w:rFonts w:ascii="Arial" w:hAnsi="Arial"/>
                <w:sz w:val="20"/>
                <w:szCs w:val="20"/>
              </w:rPr>
            </w:pPr>
            <w:r>
              <w:rPr>
                <w:rFonts w:ascii="Arial" w:hAnsi="Arial"/>
                <w:sz w:val="20"/>
              </w:rPr>
              <w:t>EP</w:t>
            </w:r>
          </w:p>
        </w:tc>
      </w:tr>
      <w:tr w:rsidR="00050E07" w:rsidRPr="00545DF2" w14:paraId="39F724B7" w14:textId="77777777" w:rsidTr="00654BAF">
        <w:trPr>
          <w:cantSplit/>
        </w:trPr>
        <w:tc>
          <w:tcPr>
            <w:tcW w:w="583" w:type="pct"/>
            <w:vMerge/>
            <w:shd w:val="clear" w:color="auto" w:fill="auto"/>
            <w:vAlign w:val="center"/>
          </w:tcPr>
          <w:p w14:paraId="1FBCC553" w14:textId="77777777" w:rsidR="00050E07" w:rsidRPr="00A8072E" w:rsidRDefault="00050E07" w:rsidP="00654BAF">
            <w:pPr>
              <w:spacing w:before="60" w:after="60"/>
              <w:rPr>
                <w:rFonts w:ascii="Arial" w:hAnsi="Arial"/>
                <w:sz w:val="20"/>
                <w:szCs w:val="20"/>
              </w:rPr>
            </w:pPr>
          </w:p>
        </w:tc>
        <w:tc>
          <w:tcPr>
            <w:tcW w:w="1118" w:type="pct"/>
            <w:vMerge/>
            <w:shd w:val="clear" w:color="auto" w:fill="auto"/>
            <w:vAlign w:val="center"/>
          </w:tcPr>
          <w:p w14:paraId="27EAC4D0"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748D3A39" w14:textId="77777777" w:rsidR="00050E07" w:rsidRPr="00A8072E" w:rsidRDefault="00050E07" w:rsidP="00050E07">
            <w:pPr>
              <w:numPr>
                <w:ilvl w:val="1"/>
                <w:numId w:val="16"/>
              </w:numPr>
              <w:spacing w:before="60" w:after="60" w:line="240" w:lineRule="auto"/>
              <w:ind w:left="567" w:hanging="567"/>
              <w:rPr>
                <w:rFonts w:ascii="Arial" w:eastAsia="Calibri" w:hAnsi="Arial"/>
                <w:sz w:val="20"/>
                <w:szCs w:val="20"/>
              </w:rPr>
            </w:pPr>
            <w:r>
              <w:rPr>
                <w:rFonts w:ascii="Arial" w:hAnsi="Arial"/>
                <w:sz w:val="20"/>
              </w:rPr>
              <w:t>Políticas y/o medidas administrativas y legales para el desarrollo social inclusivo</w:t>
            </w:r>
            <w:r>
              <w:rPr>
                <w:rFonts w:ascii="Arial" w:hAnsi="Arial"/>
                <w:sz w:val="20"/>
                <w:vertAlign w:val="superscript"/>
              </w:rPr>
              <w:footnoteReference w:id="14"/>
            </w:r>
            <w:r>
              <w:rPr>
                <w:rFonts w:ascii="Arial" w:hAnsi="Arial"/>
                <w:sz w:val="20"/>
              </w:rPr>
              <w:t xml:space="preserve"> y la sostenibilidad ambiental que incluyan el PCI y su salvaguardia se ponen en práctica o se actualizan para este fin.</w:t>
            </w:r>
          </w:p>
        </w:tc>
        <w:tc>
          <w:tcPr>
            <w:tcW w:w="118" w:type="pct"/>
            <w:tcBorders>
              <w:top w:val="nil"/>
              <w:bottom w:val="nil"/>
            </w:tcBorders>
            <w:shd w:val="clear" w:color="auto" w:fill="auto"/>
            <w:vAlign w:val="center"/>
          </w:tcPr>
          <w:p w14:paraId="68FF94A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FF7369E"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171(d), </w:t>
            </w:r>
            <w:r w:rsidRPr="006C7EFA">
              <w:rPr>
                <w:lang w:val="pt-PT"/>
              </w:rPr>
              <w:br/>
            </w:r>
            <w:r w:rsidRPr="006C7EFA">
              <w:rPr>
                <w:rFonts w:ascii="Arial" w:hAnsi="Arial"/>
                <w:sz w:val="20"/>
                <w:lang w:val="pt-PT"/>
              </w:rPr>
              <w:t xml:space="preserve">DO 178, </w:t>
            </w:r>
            <w:r w:rsidRPr="006C7EFA">
              <w:rPr>
                <w:lang w:val="pt-PT"/>
              </w:rPr>
              <w:br/>
            </w:r>
            <w:r w:rsidRPr="006C7EFA">
              <w:rPr>
                <w:rFonts w:ascii="Arial" w:hAnsi="Arial"/>
                <w:sz w:val="20"/>
                <w:lang w:val="pt-PT"/>
              </w:rPr>
              <w:t xml:space="preserve">DO 179, </w:t>
            </w:r>
            <w:r w:rsidRPr="006C7EFA">
              <w:rPr>
                <w:lang w:val="pt-PT"/>
              </w:rPr>
              <w:br/>
            </w:r>
            <w:r w:rsidRPr="006C7EFA">
              <w:rPr>
                <w:rFonts w:ascii="Arial" w:hAnsi="Arial"/>
                <w:sz w:val="20"/>
                <w:lang w:val="pt-PT"/>
              </w:rPr>
              <w:t xml:space="preserve">DO 181, </w:t>
            </w:r>
            <w:r w:rsidRPr="006C7EFA">
              <w:rPr>
                <w:lang w:val="pt-PT"/>
              </w:rPr>
              <w:br/>
            </w:r>
            <w:r w:rsidRPr="006C7EFA">
              <w:rPr>
                <w:rFonts w:ascii="Arial" w:hAnsi="Arial"/>
                <w:sz w:val="20"/>
                <w:lang w:val="pt-PT"/>
              </w:rPr>
              <w:t xml:space="preserve">DO 182, </w:t>
            </w:r>
            <w:r w:rsidRPr="006C7EFA">
              <w:rPr>
                <w:lang w:val="pt-PT"/>
              </w:rPr>
              <w:br/>
            </w:r>
            <w:r w:rsidRPr="006C7EFA">
              <w:rPr>
                <w:rFonts w:ascii="Arial" w:hAnsi="Arial"/>
                <w:sz w:val="20"/>
                <w:lang w:val="pt-PT"/>
              </w:rPr>
              <w:t xml:space="preserve">DO 188-190, </w:t>
            </w:r>
            <w:r w:rsidRPr="006C7EFA">
              <w:rPr>
                <w:lang w:val="pt-PT"/>
              </w:rPr>
              <w:br/>
            </w:r>
            <w:r w:rsidRPr="006C7EFA">
              <w:rPr>
                <w:rFonts w:ascii="Arial" w:hAnsi="Arial"/>
                <w:sz w:val="20"/>
                <w:lang w:val="pt-PT"/>
              </w:rPr>
              <w:t>DO 191</w:t>
            </w:r>
          </w:p>
        </w:tc>
      </w:tr>
      <w:tr w:rsidR="00050E07" w:rsidRPr="00B86AF3" w14:paraId="3A571120" w14:textId="77777777" w:rsidTr="00654BAF">
        <w:trPr>
          <w:cantSplit/>
        </w:trPr>
        <w:tc>
          <w:tcPr>
            <w:tcW w:w="583" w:type="pct"/>
            <w:vMerge/>
            <w:shd w:val="clear" w:color="auto" w:fill="auto"/>
            <w:vAlign w:val="center"/>
          </w:tcPr>
          <w:p w14:paraId="594847BC" w14:textId="77777777" w:rsidR="00050E07" w:rsidRPr="006C7EFA" w:rsidRDefault="00050E07" w:rsidP="00654BAF">
            <w:pPr>
              <w:spacing w:before="60" w:after="60"/>
              <w:rPr>
                <w:rFonts w:ascii="Arial" w:hAnsi="Arial"/>
                <w:sz w:val="20"/>
                <w:szCs w:val="20"/>
                <w:lang w:val="pt-PT"/>
              </w:rPr>
            </w:pPr>
          </w:p>
        </w:tc>
        <w:tc>
          <w:tcPr>
            <w:tcW w:w="1118" w:type="pct"/>
            <w:vMerge/>
            <w:shd w:val="clear" w:color="auto" w:fill="auto"/>
            <w:vAlign w:val="center"/>
          </w:tcPr>
          <w:p w14:paraId="44F4ED89"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03496C60" w14:textId="77777777" w:rsidR="00050E07" w:rsidRPr="00940C5C" w:rsidRDefault="00050E07" w:rsidP="00050E07">
            <w:pPr>
              <w:numPr>
                <w:ilvl w:val="1"/>
                <w:numId w:val="16"/>
              </w:numPr>
              <w:spacing w:before="60" w:after="60" w:line="240" w:lineRule="auto"/>
              <w:ind w:left="567" w:hanging="567"/>
              <w:rPr>
                <w:rFonts w:ascii="Arial" w:eastAsia="Calibri" w:hAnsi="Arial"/>
                <w:sz w:val="20"/>
                <w:szCs w:val="20"/>
              </w:rPr>
            </w:pPr>
            <w:r>
              <w:rPr>
                <w:rFonts w:ascii="Arial" w:hAnsi="Arial"/>
                <w:sz w:val="20"/>
              </w:rPr>
              <w:t xml:space="preserve">Políticas y/o medidas administrativas y legales para responder a situaciones de desastres naturales o de conflicto armado se ponen en práctica o se actualizan con el objetivo de que se tome en cuenta </w:t>
            </w:r>
            <w:r w:rsidRPr="00940C5C">
              <w:rPr>
                <w:rFonts w:ascii="Arial" w:hAnsi="Arial"/>
                <w:sz w:val="20"/>
              </w:rPr>
              <w:t>el PCI afectado y</w:t>
            </w:r>
            <w:r>
              <w:rPr>
                <w:rFonts w:ascii="Arial" w:hAnsi="Arial"/>
                <w:sz w:val="20"/>
              </w:rPr>
              <w:t xml:space="preserve"> se</w:t>
            </w:r>
            <w:r w:rsidRPr="00940C5C">
              <w:rPr>
                <w:rFonts w:ascii="Arial" w:hAnsi="Arial"/>
                <w:sz w:val="20"/>
              </w:rPr>
              <w:t xml:space="preserve"> recono</w:t>
            </w:r>
            <w:r>
              <w:rPr>
                <w:rFonts w:ascii="Arial" w:hAnsi="Arial"/>
                <w:sz w:val="20"/>
              </w:rPr>
              <w:t xml:space="preserve">zca </w:t>
            </w:r>
            <w:r w:rsidRPr="00940C5C">
              <w:rPr>
                <w:rFonts w:ascii="Arial" w:hAnsi="Arial"/>
                <w:sz w:val="20"/>
              </w:rPr>
              <w:t>su importancia para la resiliencia de las poblaciones afectadas</w:t>
            </w:r>
            <w:r>
              <w:rPr>
                <w:rFonts w:ascii="Arial" w:hAnsi="Arial"/>
                <w:sz w:val="20"/>
              </w:rPr>
              <w:t>,</w:t>
            </w:r>
          </w:p>
        </w:tc>
        <w:tc>
          <w:tcPr>
            <w:tcW w:w="118" w:type="pct"/>
            <w:tcBorders>
              <w:top w:val="nil"/>
              <w:bottom w:val="nil"/>
            </w:tcBorders>
            <w:shd w:val="clear" w:color="auto" w:fill="auto"/>
            <w:vAlign w:val="center"/>
          </w:tcPr>
          <w:p w14:paraId="32CF5CE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82C6622" w14:textId="77777777" w:rsidR="00050E07" w:rsidRPr="00A8072E" w:rsidRDefault="00050E07" w:rsidP="00654BAF">
            <w:pPr>
              <w:spacing w:before="60" w:after="60"/>
              <w:rPr>
                <w:rFonts w:ascii="Arial" w:hAnsi="Arial"/>
                <w:sz w:val="20"/>
                <w:szCs w:val="20"/>
              </w:rPr>
            </w:pPr>
          </w:p>
        </w:tc>
      </w:tr>
      <w:tr w:rsidR="00050E07" w:rsidRPr="00A23A64" w14:paraId="5C407FF0" w14:textId="77777777" w:rsidTr="00654BAF">
        <w:trPr>
          <w:cantSplit/>
          <w:trHeight w:val="70"/>
        </w:trPr>
        <w:tc>
          <w:tcPr>
            <w:tcW w:w="583" w:type="pct"/>
            <w:vMerge/>
            <w:shd w:val="clear" w:color="auto" w:fill="auto"/>
            <w:vAlign w:val="center"/>
          </w:tcPr>
          <w:p w14:paraId="3938CC3F"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53005BA3"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FC85262" w14:textId="77777777" w:rsidR="00050E07" w:rsidRPr="00A8072E" w:rsidRDefault="00050E07" w:rsidP="00050E07">
            <w:pPr>
              <w:numPr>
                <w:ilvl w:val="1"/>
                <w:numId w:val="16"/>
              </w:numPr>
              <w:spacing w:before="60" w:after="60" w:line="240" w:lineRule="auto"/>
              <w:ind w:left="567" w:hanging="567"/>
              <w:rPr>
                <w:rFonts w:ascii="Arial" w:eastAsia="Calibri" w:hAnsi="Arial"/>
                <w:sz w:val="20"/>
                <w:szCs w:val="20"/>
              </w:rPr>
            </w:pPr>
            <w:r>
              <w:rPr>
                <w:rFonts w:ascii="Arial" w:hAnsi="Arial"/>
                <w:sz w:val="20"/>
              </w:rPr>
              <w:t>Políticas y/o medidas administrativas y legales para el desarrollo económico inclusivo se ponen en práctica o se actualizan para incluir el PCI y su salvaguardia</w:t>
            </w:r>
            <w:r>
              <w:rPr>
                <w:rFonts w:ascii="Arial" w:hAnsi="Arial"/>
                <w:sz w:val="20"/>
                <w:vertAlign w:val="superscript"/>
              </w:rPr>
              <w:footnoteReference w:id="15"/>
            </w:r>
            <w:r>
              <w:rPr>
                <w:rFonts w:ascii="Arial" w:hAnsi="Arial"/>
                <w:sz w:val="20"/>
              </w:rPr>
              <w:t xml:space="preserve"> en ellas. </w:t>
            </w:r>
          </w:p>
        </w:tc>
        <w:tc>
          <w:tcPr>
            <w:tcW w:w="118" w:type="pct"/>
            <w:tcBorders>
              <w:top w:val="nil"/>
              <w:bottom w:val="nil"/>
            </w:tcBorders>
            <w:shd w:val="clear" w:color="auto" w:fill="auto"/>
            <w:vAlign w:val="center"/>
          </w:tcPr>
          <w:p w14:paraId="530D4F1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0A02F39" w14:textId="77777777" w:rsidR="00050E07" w:rsidRPr="00A8072E" w:rsidRDefault="00050E07" w:rsidP="00654BAF">
            <w:pPr>
              <w:spacing w:before="60" w:after="60"/>
              <w:rPr>
                <w:rFonts w:ascii="Arial" w:hAnsi="Arial"/>
                <w:sz w:val="20"/>
                <w:szCs w:val="20"/>
              </w:rPr>
            </w:pPr>
            <w:r>
              <w:rPr>
                <w:rFonts w:ascii="Arial" w:hAnsi="Arial"/>
                <w:sz w:val="20"/>
              </w:rPr>
              <w:t xml:space="preserve">DO 171(d), </w:t>
            </w:r>
            <w:r>
              <w:br/>
            </w:r>
            <w:r>
              <w:rPr>
                <w:rFonts w:ascii="Arial" w:hAnsi="Arial"/>
                <w:sz w:val="20"/>
              </w:rPr>
              <w:t>DO 183-186</w:t>
            </w:r>
          </w:p>
        </w:tc>
      </w:tr>
      <w:tr w:rsidR="00050E07" w:rsidRPr="00A23A64" w14:paraId="14108638" w14:textId="77777777" w:rsidTr="00654BAF">
        <w:trPr>
          <w:cantSplit/>
          <w:trHeight w:val="393"/>
        </w:trPr>
        <w:tc>
          <w:tcPr>
            <w:tcW w:w="583" w:type="pct"/>
            <w:vMerge/>
            <w:shd w:val="clear" w:color="auto" w:fill="auto"/>
            <w:vAlign w:val="center"/>
          </w:tcPr>
          <w:p w14:paraId="3178F90C"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08F7198E"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A9C080C" w14:textId="77777777" w:rsidR="00050E07" w:rsidRPr="00A8072E" w:rsidRDefault="00050E07" w:rsidP="00050E07">
            <w:pPr>
              <w:numPr>
                <w:ilvl w:val="1"/>
                <w:numId w:val="16"/>
              </w:numPr>
              <w:spacing w:before="60" w:after="60" w:line="240" w:lineRule="auto"/>
              <w:ind w:left="567" w:hanging="567"/>
              <w:rPr>
                <w:rFonts w:ascii="Arial" w:eastAsia="Calibri" w:hAnsi="Arial"/>
                <w:sz w:val="20"/>
                <w:szCs w:val="20"/>
              </w:rPr>
            </w:pPr>
            <w:r>
              <w:rPr>
                <w:rFonts w:ascii="Arial" w:hAnsi="Arial"/>
                <w:sz w:val="20"/>
              </w:rPr>
              <w:t>Medidas o incentivos fiscales o financieros favorables con el fin de facilitar o fomentar la práctica y la transmisión del PCI y aumentar la disponibilidad de los recursos naturales o de otra índole necesarios para su práctica.</w:t>
            </w:r>
          </w:p>
        </w:tc>
        <w:tc>
          <w:tcPr>
            <w:tcW w:w="118" w:type="pct"/>
            <w:tcBorders>
              <w:top w:val="nil"/>
              <w:bottom w:val="nil"/>
            </w:tcBorders>
            <w:shd w:val="clear" w:color="auto" w:fill="auto"/>
            <w:vAlign w:val="center"/>
          </w:tcPr>
          <w:p w14:paraId="1EED7553"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6BAB723" w14:textId="77777777" w:rsidR="00050E07" w:rsidRPr="00A8072E" w:rsidRDefault="00050E07" w:rsidP="00654BAF">
            <w:pPr>
              <w:spacing w:before="60" w:after="60"/>
              <w:rPr>
                <w:rFonts w:ascii="Arial" w:hAnsi="Arial"/>
                <w:sz w:val="20"/>
                <w:szCs w:val="20"/>
              </w:rPr>
            </w:pPr>
            <w:r>
              <w:rPr>
                <w:rFonts w:ascii="Arial" w:hAnsi="Arial"/>
                <w:sz w:val="20"/>
              </w:rPr>
              <w:t xml:space="preserve">DO 78, </w:t>
            </w:r>
            <w:r>
              <w:br/>
            </w:r>
            <w:r>
              <w:rPr>
                <w:rFonts w:ascii="Arial" w:hAnsi="Arial"/>
                <w:sz w:val="20"/>
              </w:rPr>
              <w:t>DO 186(b)</w:t>
            </w:r>
          </w:p>
        </w:tc>
      </w:tr>
      <w:tr w:rsidR="00050E07" w:rsidRPr="00A8072E" w14:paraId="55AD359E" w14:textId="77777777" w:rsidTr="00654BAF">
        <w:trPr>
          <w:cantSplit/>
        </w:trPr>
        <w:tc>
          <w:tcPr>
            <w:tcW w:w="583" w:type="pct"/>
            <w:vMerge/>
            <w:shd w:val="clear" w:color="auto" w:fill="auto"/>
            <w:vAlign w:val="center"/>
          </w:tcPr>
          <w:p w14:paraId="58F9D747" w14:textId="77777777" w:rsidR="00050E07" w:rsidRPr="00A8072E" w:rsidRDefault="00050E07" w:rsidP="00654BAF">
            <w:pPr>
              <w:spacing w:before="60" w:after="60"/>
              <w:rPr>
                <w:rFonts w:ascii="Arial" w:hAnsi="Arial"/>
                <w:sz w:val="20"/>
                <w:szCs w:val="20"/>
              </w:rPr>
            </w:pPr>
          </w:p>
        </w:tc>
        <w:tc>
          <w:tcPr>
            <w:tcW w:w="1118" w:type="pct"/>
            <w:vMerge w:val="restart"/>
            <w:shd w:val="clear" w:color="auto" w:fill="auto"/>
            <w:vAlign w:val="center"/>
          </w:tcPr>
          <w:p w14:paraId="03C49CD5"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las políticas así como las medidas legales y administrativas respetan los derechos, las prácticas y las expresiones consuetudinarias, en especial en relación a la práctica y transmisión del PCI.</w:t>
            </w:r>
          </w:p>
        </w:tc>
        <w:tc>
          <w:tcPr>
            <w:tcW w:w="2568" w:type="pct"/>
            <w:shd w:val="clear" w:color="auto" w:fill="auto"/>
            <w:vAlign w:val="center"/>
          </w:tcPr>
          <w:p w14:paraId="28C14948" w14:textId="77777777" w:rsidR="00050E07" w:rsidRPr="00A8072E" w:rsidRDefault="00050E07" w:rsidP="00050E07">
            <w:pPr>
              <w:numPr>
                <w:ilvl w:val="1"/>
                <w:numId w:val="28"/>
              </w:numPr>
              <w:spacing w:before="60" w:after="60" w:line="240" w:lineRule="auto"/>
              <w:ind w:left="567" w:hanging="567"/>
              <w:rPr>
                <w:rFonts w:ascii="Arial" w:eastAsia="Calibri" w:hAnsi="Arial"/>
                <w:vanish/>
                <w:sz w:val="20"/>
                <w:szCs w:val="20"/>
              </w:rPr>
            </w:pPr>
            <w:r>
              <w:rPr>
                <w:rFonts w:ascii="Arial" w:hAnsi="Arial"/>
                <w:sz w:val="20"/>
              </w:rPr>
              <w:t>Las formas de protección legal, como los derechos a la propiedad intelectual o de privacidad, que se proporcionen a los practicantes y depositarios del PCI y a sus comunidades en el caso de que su PCI está siendo explotado por terceros con fines comerciales o de otra índole.</w:t>
            </w:r>
          </w:p>
        </w:tc>
        <w:tc>
          <w:tcPr>
            <w:tcW w:w="118" w:type="pct"/>
            <w:tcBorders>
              <w:top w:val="nil"/>
              <w:bottom w:val="nil"/>
            </w:tcBorders>
            <w:shd w:val="clear" w:color="auto" w:fill="auto"/>
            <w:vAlign w:val="center"/>
          </w:tcPr>
          <w:p w14:paraId="1A2527F3"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E7A521F" w14:textId="77777777" w:rsidR="00050E07" w:rsidRPr="00A8072E" w:rsidRDefault="00050E07" w:rsidP="00654BAF">
            <w:pPr>
              <w:spacing w:before="60" w:after="60"/>
              <w:rPr>
                <w:rFonts w:ascii="Arial" w:hAnsi="Arial"/>
                <w:sz w:val="20"/>
                <w:szCs w:val="20"/>
              </w:rPr>
            </w:pPr>
            <w:r>
              <w:rPr>
                <w:rFonts w:ascii="Arial" w:hAnsi="Arial"/>
                <w:sz w:val="20"/>
              </w:rPr>
              <w:t xml:space="preserve">DO 104, </w:t>
            </w:r>
            <w:r>
              <w:br/>
            </w:r>
            <w:r>
              <w:rPr>
                <w:rFonts w:ascii="Arial" w:hAnsi="Arial"/>
                <w:sz w:val="20"/>
              </w:rPr>
              <w:t>DO 173</w:t>
            </w:r>
          </w:p>
        </w:tc>
      </w:tr>
      <w:tr w:rsidR="00050E07" w:rsidRPr="00A8072E" w14:paraId="09DF8AD6" w14:textId="77777777" w:rsidTr="00654BAF">
        <w:trPr>
          <w:cantSplit/>
        </w:trPr>
        <w:tc>
          <w:tcPr>
            <w:tcW w:w="583" w:type="pct"/>
            <w:vMerge/>
            <w:shd w:val="clear" w:color="auto" w:fill="auto"/>
            <w:vAlign w:val="center"/>
          </w:tcPr>
          <w:p w14:paraId="70EEDDBD"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16BD98B8"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2988478" w14:textId="77777777" w:rsidR="00050E07" w:rsidRPr="00A8072E" w:rsidRDefault="00050E07" w:rsidP="00050E07">
            <w:pPr>
              <w:numPr>
                <w:ilvl w:val="1"/>
                <w:numId w:val="28"/>
              </w:numPr>
              <w:spacing w:before="60" w:after="60" w:line="240" w:lineRule="auto"/>
              <w:ind w:left="567" w:hanging="567"/>
              <w:rPr>
                <w:rFonts w:ascii="Arial" w:eastAsia="Calibri" w:hAnsi="Arial"/>
                <w:sz w:val="20"/>
                <w:szCs w:val="20"/>
              </w:rPr>
            </w:pPr>
            <w:r>
              <w:rPr>
                <w:rFonts w:ascii="Arial" w:hAnsi="Arial"/>
                <w:sz w:val="20"/>
              </w:rPr>
              <w:t>Políticas y/o medidas legales y administrativas en las que se reconozca la importancia de los derechos consuetudinarios de las comunidades y los grupos en relación a sus ecosistemas terrestres, marítimos o forestales necesarios para la práctica y la transmisión del PCI.</w:t>
            </w:r>
          </w:p>
        </w:tc>
        <w:tc>
          <w:tcPr>
            <w:tcW w:w="118" w:type="pct"/>
            <w:tcBorders>
              <w:top w:val="nil"/>
              <w:bottom w:val="nil"/>
            </w:tcBorders>
            <w:shd w:val="clear" w:color="auto" w:fill="auto"/>
            <w:vAlign w:val="center"/>
          </w:tcPr>
          <w:p w14:paraId="301E96D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08E304C" w14:textId="77777777" w:rsidR="00050E07" w:rsidRPr="00A8072E" w:rsidRDefault="00050E07" w:rsidP="00654BAF">
            <w:pPr>
              <w:spacing w:before="60" w:after="60"/>
              <w:rPr>
                <w:rFonts w:ascii="Arial" w:hAnsi="Arial"/>
                <w:sz w:val="20"/>
                <w:szCs w:val="20"/>
              </w:rPr>
            </w:pPr>
            <w:r>
              <w:rPr>
                <w:rFonts w:ascii="Arial" w:hAnsi="Arial"/>
                <w:sz w:val="20"/>
              </w:rPr>
              <w:t>DO 178(c)</w:t>
            </w:r>
          </w:p>
        </w:tc>
      </w:tr>
      <w:tr w:rsidR="00050E07" w:rsidRPr="00A8072E" w14:paraId="5E05D25D" w14:textId="77777777" w:rsidTr="00654BAF">
        <w:trPr>
          <w:cantSplit/>
        </w:trPr>
        <w:tc>
          <w:tcPr>
            <w:tcW w:w="583" w:type="pct"/>
            <w:vMerge/>
            <w:shd w:val="clear" w:color="auto" w:fill="auto"/>
            <w:vAlign w:val="center"/>
          </w:tcPr>
          <w:p w14:paraId="5FDDE232" w14:textId="77777777" w:rsidR="00050E07" w:rsidRPr="00A8072E" w:rsidRDefault="00050E07" w:rsidP="00654BAF">
            <w:pPr>
              <w:spacing w:before="60" w:after="60"/>
              <w:ind w:left="360"/>
              <w:rPr>
                <w:rFonts w:ascii="Arial" w:hAnsi="Arial"/>
                <w:sz w:val="20"/>
                <w:szCs w:val="20"/>
              </w:rPr>
            </w:pPr>
          </w:p>
        </w:tc>
        <w:tc>
          <w:tcPr>
            <w:tcW w:w="1118" w:type="pct"/>
            <w:vMerge/>
            <w:shd w:val="clear" w:color="auto" w:fill="auto"/>
            <w:vAlign w:val="center"/>
          </w:tcPr>
          <w:p w14:paraId="5E3B89AE"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2D1DB92B" w14:textId="77777777" w:rsidR="00050E07" w:rsidRPr="00A8072E" w:rsidRDefault="00050E07" w:rsidP="00050E07">
            <w:pPr>
              <w:numPr>
                <w:ilvl w:val="1"/>
                <w:numId w:val="28"/>
              </w:numPr>
              <w:spacing w:before="60" w:after="60" w:line="240" w:lineRule="auto"/>
              <w:ind w:left="567" w:hanging="567"/>
              <w:rPr>
                <w:rFonts w:ascii="Arial" w:eastAsia="Calibri" w:hAnsi="Arial"/>
                <w:sz w:val="20"/>
                <w:szCs w:val="20"/>
              </w:rPr>
            </w:pPr>
            <w:r>
              <w:rPr>
                <w:rFonts w:ascii="Arial" w:hAnsi="Arial"/>
                <w:sz w:val="20"/>
              </w:rPr>
              <w:t>Políticas y/o medidas legales y administrativas que reconozcan las expresiones, las prácticas y las representaciones del patrimonio cultural inmaterial que contribuyan a la prevención de conflicto y a la resolución pacífica de conflictos.</w:t>
            </w:r>
          </w:p>
        </w:tc>
        <w:tc>
          <w:tcPr>
            <w:tcW w:w="118" w:type="pct"/>
            <w:tcBorders>
              <w:top w:val="nil"/>
              <w:bottom w:val="nil"/>
            </w:tcBorders>
            <w:shd w:val="clear" w:color="auto" w:fill="auto"/>
            <w:vAlign w:val="center"/>
          </w:tcPr>
          <w:p w14:paraId="6855821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36D3DB2" w14:textId="77777777" w:rsidR="00050E07" w:rsidRDefault="00050E07" w:rsidP="00654BAF">
            <w:pPr>
              <w:spacing w:before="60" w:after="60"/>
              <w:rPr>
                <w:rFonts w:ascii="Arial" w:hAnsi="Arial"/>
                <w:sz w:val="20"/>
              </w:rPr>
            </w:pPr>
            <w:r>
              <w:rPr>
                <w:rFonts w:ascii="Arial" w:hAnsi="Arial"/>
                <w:sz w:val="20"/>
              </w:rPr>
              <w:t xml:space="preserve">DO 194, </w:t>
            </w:r>
          </w:p>
          <w:p w14:paraId="00E4A11F" w14:textId="77777777" w:rsidR="00050E07" w:rsidRPr="00A8072E" w:rsidRDefault="00050E07" w:rsidP="00654BAF">
            <w:pPr>
              <w:spacing w:before="60" w:after="60"/>
              <w:rPr>
                <w:rFonts w:ascii="Arial" w:hAnsi="Arial"/>
                <w:sz w:val="20"/>
                <w:szCs w:val="20"/>
              </w:rPr>
            </w:pPr>
            <w:r>
              <w:rPr>
                <w:rFonts w:ascii="Arial" w:hAnsi="Arial"/>
                <w:sz w:val="20"/>
              </w:rPr>
              <w:t>DO 195</w:t>
            </w:r>
          </w:p>
        </w:tc>
      </w:tr>
      <w:tr w:rsidR="00050E07" w:rsidRPr="00B86AF3" w14:paraId="12BA6836" w14:textId="77777777" w:rsidTr="00654BAF">
        <w:trPr>
          <w:cantSplit/>
        </w:trPr>
        <w:tc>
          <w:tcPr>
            <w:tcW w:w="583" w:type="pct"/>
            <w:vMerge w:val="restart"/>
            <w:shd w:val="clear" w:color="auto" w:fill="auto"/>
            <w:vAlign w:val="center"/>
          </w:tcPr>
          <w:p w14:paraId="20642B28" w14:textId="77777777" w:rsidR="00050E07" w:rsidRPr="00A8072E" w:rsidRDefault="00050E07" w:rsidP="00654BAF">
            <w:pPr>
              <w:spacing w:before="60" w:after="60"/>
              <w:rPr>
                <w:rFonts w:ascii="Arial" w:hAnsi="Arial"/>
                <w:sz w:val="20"/>
                <w:szCs w:val="20"/>
              </w:rPr>
            </w:pPr>
            <w:r>
              <w:rPr>
                <w:rFonts w:ascii="Arial" w:hAnsi="Arial"/>
                <w:b/>
                <w:sz w:val="20"/>
              </w:rPr>
              <w:t>Función del patrimonio cultural inmaterial y su salvaguardia en la sociedad</w:t>
            </w:r>
          </w:p>
        </w:tc>
        <w:tc>
          <w:tcPr>
            <w:tcW w:w="1118" w:type="pct"/>
            <w:vMerge w:val="restart"/>
            <w:shd w:val="clear" w:color="auto" w:fill="auto"/>
            <w:vAlign w:val="center"/>
          </w:tcPr>
          <w:p w14:paraId="3DD855A7"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0F1B3A">
              <w:rPr>
                <w:rFonts w:ascii="Arial" w:hAnsi="Arial"/>
                <w:sz w:val="20"/>
              </w:rPr>
              <w:t>Grado en</w:t>
            </w:r>
            <w:r>
              <w:rPr>
                <w:rFonts w:ascii="Arial" w:hAnsi="Arial"/>
                <w:sz w:val="20"/>
              </w:rPr>
              <w:t xml:space="preserve"> el que se reconoce la importancia del PCI y de su salvaguardia en la sociedad tanto por parte de las comunidades, los grupos y los individuos interesados como de la sociedad en general</w:t>
            </w:r>
          </w:p>
        </w:tc>
        <w:tc>
          <w:tcPr>
            <w:tcW w:w="2568" w:type="pct"/>
            <w:shd w:val="clear" w:color="auto" w:fill="auto"/>
            <w:vAlign w:val="center"/>
          </w:tcPr>
          <w:p w14:paraId="2F5AC362" w14:textId="77777777" w:rsidR="00050E07" w:rsidRPr="00A8072E" w:rsidRDefault="00050E07" w:rsidP="00050E07">
            <w:pPr>
              <w:numPr>
                <w:ilvl w:val="1"/>
                <w:numId w:val="29"/>
              </w:numPr>
              <w:spacing w:before="60" w:after="60" w:line="240" w:lineRule="auto"/>
              <w:ind w:left="567" w:hanging="567"/>
              <w:rPr>
                <w:rFonts w:ascii="Arial" w:eastAsia="Calibri" w:hAnsi="Arial"/>
                <w:vanish/>
                <w:sz w:val="20"/>
                <w:szCs w:val="20"/>
              </w:rPr>
            </w:pPr>
            <w:r>
              <w:rPr>
                <w:rFonts w:ascii="Arial" w:hAnsi="Arial"/>
                <w:sz w:val="20"/>
              </w:rPr>
              <w:t>Las comunidades, los grupos y los individuos que utilicen su PCI para su bienestar, incluido el contexto de los programas de desarrollo sostenible.</w:t>
            </w:r>
          </w:p>
        </w:tc>
        <w:tc>
          <w:tcPr>
            <w:tcW w:w="118" w:type="pct"/>
            <w:tcBorders>
              <w:top w:val="nil"/>
              <w:bottom w:val="nil"/>
            </w:tcBorders>
            <w:shd w:val="clear" w:color="auto" w:fill="auto"/>
            <w:vAlign w:val="center"/>
          </w:tcPr>
          <w:p w14:paraId="480646A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3D1CD36" w14:textId="77777777" w:rsidR="00050E07" w:rsidRPr="00A8072E" w:rsidRDefault="00050E07" w:rsidP="00654BAF">
            <w:pPr>
              <w:spacing w:before="60" w:after="60"/>
              <w:rPr>
                <w:rFonts w:ascii="Arial" w:hAnsi="Arial"/>
                <w:sz w:val="20"/>
                <w:szCs w:val="20"/>
              </w:rPr>
            </w:pPr>
          </w:p>
        </w:tc>
      </w:tr>
      <w:tr w:rsidR="00050E07" w:rsidRPr="009C5096" w14:paraId="716DCCD1" w14:textId="77777777" w:rsidTr="00654BAF">
        <w:trPr>
          <w:cantSplit/>
        </w:trPr>
        <w:tc>
          <w:tcPr>
            <w:tcW w:w="583" w:type="pct"/>
            <w:vMerge/>
            <w:shd w:val="clear" w:color="auto" w:fill="auto"/>
            <w:vAlign w:val="center"/>
          </w:tcPr>
          <w:p w14:paraId="143CA00F"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74D51B0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2E7A51CE" w14:textId="77777777" w:rsidR="00050E07" w:rsidRPr="00A8072E" w:rsidRDefault="00050E07" w:rsidP="00050E07">
            <w:pPr>
              <w:numPr>
                <w:ilvl w:val="1"/>
                <w:numId w:val="29"/>
              </w:numPr>
              <w:spacing w:before="60" w:after="60" w:line="240" w:lineRule="auto"/>
              <w:ind w:left="567" w:hanging="567"/>
              <w:rPr>
                <w:rFonts w:ascii="Arial" w:eastAsia="Calibri" w:hAnsi="Arial"/>
                <w:sz w:val="20"/>
                <w:szCs w:val="20"/>
              </w:rPr>
            </w:pPr>
            <w:r>
              <w:rPr>
                <w:rFonts w:ascii="Arial" w:hAnsi="Arial"/>
                <w:sz w:val="20"/>
              </w:rPr>
              <w:t>Las comunidades, los grupos y los individuos que utilicen su PCI para el diálogo con el fin de promover el respeto mutuo, la resolución de conflictos y la construcción de la paz.</w:t>
            </w:r>
          </w:p>
        </w:tc>
        <w:tc>
          <w:tcPr>
            <w:tcW w:w="118" w:type="pct"/>
            <w:tcBorders>
              <w:top w:val="nil"/>
              <w:bottom w:val="nil"/>
            </w:tcBorders>
            <w:shd w:val="clear" w:color="auto" w:fill="auto"/>
            <w:vAlign w:val="center"/>
          </w:tcPr>
          <w:p w14:paraId="25A10E4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EAE57DF" w14:textId="77777777" w:rsidR="00050E07" w:rsidRPr="00A8072E" w:rsidRDefault="00050E07" w:rsidP="00654BAF">
            <w:pPr>
              <w:spacing w:before="60" w:after="60"/>
              <w:rPr>
                <w:rFonts w:ascii="Arial" w:hAnsi="Arial"/>
                <w:sz w:val="20"/>
                <w:szCs w:val="20"/>
              </w:rPr>
            </w:pPr>
          </w:p>
        </w:tc>
      </w:tr>
      <w:tr w:rsidR="00050E07" w:rsidRPr="00A23A64" w14:paraId="6B1A5D4D" w14:textId="77777777" w:rsidTr="00654BAF">
        <w:trPr>
          <w:cantSplit/>
          <w:trHeight w:val="1000"/>
        </w:trPr>
        <w:tc>
          <w:tcPr>
            <w:tcW w:w="583" w:type="pct"/>
            <w:vMerge/>
            <w:shd w:val="clear" w:color="auto" w:fill="auto"/>
            <w:vAlign w:val="center"/>
          </w:tcPr>
          <w:p w14:paraId="1C5760B8"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5F2630CF"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572B575B" w14:textId="77777777" w:rsidR="00050E07" w:rsidRPr="00A8072E" w:rsidRDefault="00050E07" w:rsidP="00752E90">
            <w:pPr>
              <w:numPr>
                <w:ilvl w:val="1"/>
                <w:numId w:val="29"/>
              </w:numPr>
              <w:spacing w:before="60" w:after="60" w:line="240" w:lineRule="auto"/>
              <w:ind w:left="567" w:hanging="567"/>
              <w:rPr>
                <w:rFonts w:ascii="Arial" w:eastAsia="Calibri" w:hAnsi="Arial"/>
                <w:sz w:val="20"/>
                <w:szCs w:val="20"/>
              </w:rPr>
            </w:pPr>
            <w:r>
              <w:rPr>
                <w:rFonts w:ascii="Arial" w:hAnsi="Arial"/>
                <w:sz w:val="20"/>
              </w:rPr>
              <w:t>Las intervenciones de desarrollo que reconozcan la importancia del PCI en la sociedad como una fuente de identidad, de continuidad, de conocimiento y de habilidades, y que refuercen su función con el fin de fomentar el desarrollo sostenible.</w:t>
            </w:r>
          </w:p>
        </w:tc>
        <w:tc>
          <w:tcPr>
            <w:tcW w:w="118" w:type="pct"/>
            <w:tcBorders>
              <w:top w:val="nil"/>
              <w:bottom w:val="nil"/>
            </w:tcBorders>
            <w:shd w:val="clear" w:color="auto" w:fill="auto"/>
            <w:vAlign w:val="center"/>
          </w:tcPr>
          <w:p w14:paraId="34C315F3"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B2DE797" w14:textId="77777777" w:rsidR="00050E07" w:rsidRPr="00A8072E" w:rsidRDefault="00050E07" w:rsidP="00654BAF">
            <w:pPr>
              <w:spacing w:before="60" w:after="60"/>
              <w:rPr>
                <w:rFonts w:ascii="Arial" w:hAnsi="Arial"/>
                <w:sz w:val="20"/>
                <w:szCs w:val="20"/>
              </w:rPr>
            </w:pPr>
            <w:r>
              <w:rPr>
                <w:rFonts w:ascii="Arial" w:hAnsi="Arial"/>
                <w:sz w:val="20"/>
              </w:rPr>
              <w:t xml:space="preserve">DO 170, </w:t>
            </w:r>
            <w:r>
              <w:br/>
            </w:r>
            <w:r>
              <w:rPr>
                <w:rFonts w:ascii="Arial" w:hAnsi="Arial"/>
                <w:sz w:val="20"/>
              </w:rPr>
              <w:t>DO 173</w:t>
            </w:r>
          </w:p>
        </w:tc>
      </w:tr>
      <w:tr w:rsidR="00050E07" w:rsidRPr="00545DF2" w14:paraId="4D3C4461" w14:textId="77777777" w:rsidTr="00654BAF">
        <w:trPr>
          <w:cantSplit/>
        </w:trPr>
        <w:tc>
          <w:tcPr>
            <w:tcW w:w="583" w:type="pct"/>
            <w:vMerge/>
            <w:shd w:val="clear" w:color="auto" w:fill="auto"/>
            <w:vAlign w:val="center"/>
          </w:tcPr>
          <w:p w14:paraId="6D7A3DD1"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05A27C08" w14:textId="77777777" w:rsidR="00050E07" w:rsidRPr="00125AC4" w:rsidRDefault="00050E07" w:rsidP="00050E07">
            <w:pPr>
              <w:numPr>
                <w:ilvl w:val="0"/>
                <w:numId w:val="14"/>
              </w:numPr>
              <w:spacing w:before="60" w:after="60" w:line="240" w:lineRule="auto"/>
              <w:ind w:left="370" w:hanging="370"/>
              <w:rPr>
                <w:rFonts w:ascii="Arial" w:eastAsia="Calibri" w:hAnsi="Arial"/>
                <w:sz w:val="20"/>
                <w:szCs w:val="20"/>
              </w:rPr>
            </w:pPr>
            <w:r w:rsidRPr="00995F7C">
              <w:rPr>
                <w:rFonts w:ascii="Arial" w:hAnsi="Arial"/>
                <w:sz w:val="20"/>
              </w:rPr>
              <w:t>Grado en el que se reconoce la importancia</w:t>
            </w:r>
            <w:r>
              <w:rPr>
                <w:rFonts w:ascii="Arial" w:hAnsi="Arial"/>
                <w:sz w:val="20"/>
              </w:rPr>
              <w:t xml:space="preserve"> del PCI en los planes y programas inclusivos que fomentan el respeto de sí mismo y el respeto mutuo</w:t>
            </w:r>
          </w:p>
        </w:tc>
        <w:tc>
          <w:tcPr>
            <w:tcW w:w="2568" w:type="pct"/>
            <w:shd w:val="clear" w:color="auto" w:fill="auto"/>
            <w:vAlign w:val="center"/>
          </w:tcPr>
          <w:p w14:paraId="457CF12F" w14:textId="77777777" w:rsidR="00050E07" w:rsidRPr="00A8072E" w:rsidRDefault="00050E07" w:rsidP="00050E07">
            <w:pPr>
              <w:numPr>
                <w:ilvl w:val="1"/>
                <w:numId w:val="30"/>
              </w:numPr>
              <w:spacing w:before="60" w:after="60" w:line="240" w:lineRule="auto"/>
              <w:ind w:left="567" w:hanging="567"/>
              <w:rPr>
                <w:rFonts w:ascii="Arial" w:eastAsia="Calibri" w:hAnsi="Arial"/>
                <w:vanish/>
                <w:sz w:val="20"/>
                <w:szCs w:val="20"/>
              </w:rPr>
            </w:pPr>
            <w:r>
              <w:rPr>
                <w:rFonts w:ascii="Arial" w:hAnsi="Arial"/>
                <w:sz w:val="20"/>
              </w:rPr>
              <w:t>Los programas y planes de salvaguardia del PCI que incluyan a todos los sectores y estratos de la sociedad, incluyendo pero no limitándose solo a:</w:t>
            </w:r>
          </w:p>
          <w:p w14:paraId="653D6D57"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poblaciones indígenas;</w:t>
            </w:r>
          </w:p>
          <w:p w14:paraId="00989793"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grupos con distintas identidades étnicas;</w:t>
            </w:r>
          </w:p>
          <w:p w14:paraId="78FB8444"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inmigrantes, migrantes y refugiados;</w:t>
            </w:r>
          </w:p>
          <w:p w14:paraId="640E28CD"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personas de distintas edades;</w:t>
            </w:r>
          </w:p>
          <w:p w14:paraId="0E402ED8"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personas de distintos géneros;</w:t>
            </w:r>
          </w:p>
          <w:p w14:paraId="4F51DD4C"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personas con discapacidades;</w:t>
            </w:r>
          </w:p>
          <w:p w14:paraId="12A39BBB" w14:textId="77777777" w:rsidR="00050E07" w:rsidRPr="00A8072E" w:rsidRDefault="00050E07" w:rsidP="00050E07">
            <w:pPr>
              <w:numPr>
                <w:ilvl w:val="0"/>
                <w:numId w:val="13"/>
              </w:numPr>
              <w:spacing w:before="60" w:after="60" w:line="240" w:lineRule="auto"/>
              <w:ind w:left="971" w:hanging="283"/>
              <w:rPr>
                <w:rFonts w:ascii="Arial" w:eastAsia="Calibri" w:hAnsi="Arial"/>
                <w:sz w:val="20"/>
                <w:szCs w:val="20"/>
              </w:rPr>
            </w:pPr>
            <w:r>
              <w:rPr>
                <w:rFonts w:ascii="Arial" w:hAnsi="Arial"/>
                <w:sz w:val="20"/>
              </w:rPr>
              <w:t>miembros de grupos vulnerables.</w:t>
            </w:r>
          </w:p>
        </w:tc>
        <w:tc>
          <w:tcPr>
            <w:tcW w:w="118" w:type="pct"/>
            <w:tcBorders>
              <w:top w:val="nil"/>
              <w:bottom w:val="nil"/>
            </w:tcBorders>
            <w:shd w:val="clear" w:color="auto" w:fill="auto"/>
            <w:vAlign w:val="center"/>
          </w:tcPr>
          <w:p w14:paraId="299A16B9"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7667D1E" w14:textId="77777777" w:rsidR="00050E07" w:rsidRPr="00A8072E" w:rsidRDefault="00050E07" w:rsidP="00654BAF">
            <w:pPr>
              <w:spacing w:before="60" w:after="60"/>
              <w:rPr>
                <w:rFonts w:ascii="Arial" w:hAnsi="Arial"/>
                <w:sz w:val="20"/>
                <w:szCs w:val="20"/>
              </w:rPr>
            </w:pPr>
            <w:r>
              <w:rPr>
                <w:rFonts w:ascii="Arial" w:hAnsi="Arial"/>
                <w:sz w:val="20"/>
              </w:rPr>
              <w:t xml:space="preserve">DO 100, </w:t>
            </w:r>
            <w:r>
              <w:br/>
            </w:r>
            <w:r>
              <w:rPr>
                <w:rFonts w:ascii="Arial" w:hAnsi="Arial"/>
                <w:sz w:val="20"/>
              </w:rPr>
              <w:t xml:space="preserve">DO 102, </w:t>
            </w:r>
            <w:r>
              <w:br/>
            </w:r>
            <w:r>
              <w:rPr>
                <w:rFonts w:ascii="Arial" w:hAnsi="Arial"/>
                <w:sz w:val="20"/>
              </w:rPr>
              <w:t xml:space="preserve">DO 174, </w:t>
            </w:r>
            <w:r>
              <w:br/>
            </w:r>
            <w:r>
              <w:rPr>
                <w:rFonts w:ascii="Arial" w:hAnsi="Arial"/>
                <w:sz w:val="20"/>
              </w:rPr>
              <w:t>DO 194</w:t>
            </w:r>
          </w:p>
          <w:p w14:paraId="51DAAD6E" w14:textId="77777777" w:rsidR="00050E07" w:rsidRPr="00866388" w:rsidRDefault="00050E07" w:rsidP="00654BAF">
            <w:pPr>
              <w:spacing w:before="60" w:after="60"/>
              <w:rPr>
                <w:rFonts w:ascii="Arial" w:hAnsi="Arial"/>
                <w:sz w:val="20"/>
                <w:szCs w:val="20"/>
                <w:lang w:val="en-US"/>
              </w:rPr>
            </w:pPr>
            <w:r w:rsidRPr="00866388">
              <w:rPr>
                <w:rFonts w:ascii="Arial" w:hAnsi="Arial"/>
                <w:sz w:val="20"/>
                <w:lang w:val="en-US"/>
              </w:rPr>
              <w:t xml:space="preserve">EP 1, EP 2, </w:t>
            </w:r>
            <w:r w:rsidRPr="00866388">
              <w:rPr>
                <w:lang w:val="en-US"/>
              </w:rPr>
              <w:br/>
            </w:r>
            <w:r w:rsidRPr="00866388">
              <w:rPr>
                <w:rFonts w:ascii="Arial" w:hAnsi="Arial"/>
                <w:sz w:val="20"/>
                <w:lang w:val="en-US"/>
              </w:rPr>
              <w:t xml:space="preserve">EP 4, EP 9, </w:t>
            </w:r>
            <w:r w:rsidRPr="00866388">
              <w:rPr>
                <w:lang w:val="en-US"/>
              </w:rPr>
              <w:br/>
            </w:r>
            <w:r w:rsidRPr="00866388">
              <w:rPr>
                <w:rFonts w:ascii="Arial" w:hAnsi="Arial"/>
                <w:sz w:val="20"/>
                <w:lang w:val="en-US"/>
              </w:rPr>
              <w:t>EP 10</w:t>
            </w:r>
          </w:p>
        </w:tc>
      </w:tr>
      <w:tr w:rsidR="00050E07" w:rsidRPr="006C7EFA" w14:paraId="6F73D113" w14:textId="77777777" w:rsidTr="00654BAF">
        <w:trPr>
          <w:cantSplit/>
        </w:trPr>
        <w:tc>
          <w:tcPr>
            <w:tcW w:w="583" w:type="pct"/>
            <w:vMerge/>
            <w:shd w:val="clear" w:color="auto" w:fill="auto"/>
            <w:vAlign w:val="center"/>
          </w:tcPr>
          <w:p w14:paraId="1C181AE7" w14:textId="77777777" w:rsidR="00050E07" w:rsidRPr="00866388" w:rsidRDefault="00050E07" w:rsidP="00654BAF">
            <w:pPr>
              <w:spacing w:before="60" w:after="60"/>
              <w:rPr>
                <w:rFonts w:ascii="Arial" w:hAnsi="Arial"/>
                <w:b/>
                <w:sz w:val="20"/>
                <w:szCs w:val="20"/>
                <w:lang w:val="en-US"/>
              </w:rPr>
            </w:pPr>
          </w:p>
        </w:tc>
        <w:tc>
          <w:tcPr>
            <w:tcW w:w="1118" w:type="pct"/>
            <w:vMerge/>
            <w:shd w:val="clear" w:color="auto" w:fill="auto"/>
            <w:vAlign w:val="center"/>
          </w:tcPr>
          <w:p w14:paraId="63CCC557" w14:textId="77777777" w:rsidR="00050E07" w:rsidRPr="00866388" w:rsidRDefault="00050E07" w:rsidP="00050E07">
            <w:pPr>
              <w:numPr>
                <w:ilvl w:val="0"/>
                <w:numId w:val="14"/>
              </w:numPr>
              <w:spacing w:before="60" w:after="60" w:line="240" w:lineRule="auto"/>
              <w:ind w:left="370" w:hanging="370"/>
              <w:rPr>
                <w:rFonts w:ascii="Arial" w:eastAsia="Calibri" w:hAnsi="Arial"/>
                <w:sz w:val="20"/>
                <w:szCs w:val="20"/>
                <w:lang w:val="en-US"/>
              </w:rPr>
            </w:pPr>
          </w:p>
        </w:tc>
        <w:tc>
          <w:tcPr>
            <w:tcW w:w="2568" w:type="pct"/>
            <w:shd w:val="clear" w:color="auto" w:fill="auto"/>
            <w:vAlign w:val="center"/>
          </w:tcPr>
          <w:p w14:paraId="41BB8800" w14:textId="77777777" w:rsidR="00050E07" w:rsidRPr="00A8072E" w:rsidRDefault="00050E07" w:rsidP="00050E07">
            <w:pPr>
              <w:numPr>
                <w:ilvl w:val="1"/>
                <w:numId w:val="30"/>
              </w:numPr>
              <w:spacing w:before="60" w:after="60" w:line="240" w:lineRule="auto"/>
              <w:ind w:left="567" w:hanging="567"/>
              <w:rPr>
                <w:rFonts w:ascii="Arial" w:eastAsia="Calibri" w:hAnsi="Arial"/>
                <w:sz w:val="20"/>
                <w:szCs w:val="20"/>
              </w:rPr>
            </w:pPr>
            <w:r>
              <w:rPr>
                <w:rFonts w:ascii="Arial" w:hAnsi="Arial"/>
                <w:sz w:val="20"/>
              </w:rPr>
              <w:t>Se fomenta el respeto de sí mismo y el respeto mutuo en las comunidades, los grupos y los individuos a través de los planes y programas de salvaguardia del PCI en general o de elementos específicos del PCI, independientemente de si están o no inscritos.</w:t>
            </w:r>
          </w:p>
        </w:tc>
        <w:tc>
          <w:tcPr>
            <w:tcW w:w="118" w:type="pct"/>
            <w:tcBorders>
              <w:top w:val="nil"/>
              <w:bottom w:val="nil"/>
            </w:tcBorders>
            <w:shd w:val="clear" w:color="auto" w:fill="auto"/>
            <w:vAlign w:val="center"/>
          </w:tcPr>
          <w:p w14:paraId="525D4955"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FD319D8"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Artículo 1, </w:t>
            </w:r>
            <w:r w:rsidRPr="006C7EFA">
              <w:rPr>
                <w:lang w:val="pt-PT"/>
              </w:rPr>
              <w:br/>
            </w:r>
            <w:r w:rsidRPr="006C7EFA">
              <w:rPr>
                <w:rFonts w:ascii="Arial" w:hAnsi="Arial"/>
                <w:sz w:val="20"/>
                <w:lang w:val="pt-PT"/>
              </w:rPr>
              <w:t xml:space="preserve">Artículo 2, </w:t>
            </w:r>
            <w:r w:rsidRPr="006C7EFA">
              <w:rPr>
                <w:lang w:val="pt-PT"/>
              </w:rPr>
              <w:br/>
            </w:r>
            <w:r w:rsidRPr="006C7EFA">
              <w:rPr>
                <w:rFonts w:ascii="Arial" w:hAnsi="Arial"/>
                <w:sz w:val="20"/>
                <w:lang w:val="pt-PT"/>
              </w:rPr>
              <w:t>Artículo 14(a)</w:t>
            </w:r>
          </w:p>
          <w:p w14:paraId="409356C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100, </w:t>
            </w:r>
            <w:r w:rsidRPr="006C7EFA">
              <w:rPr>
                <w:lang w:val="pt-PT"/>
              </w:rPr>
              <w:br/>
            </w:r>
            <w:r w:rsidRPr="006C7EFA">
              <w:rPr>
                <w:rFonts w:ascii="Arial" w:hAnsi="Arial"/>
                <w:sz w:val="20"/>
                <w:lang w:val="pt-PT"/>
              </w:rPr>
              <w:t>DO 107, DO 155</w:t>
            </w:r>
          </w:p>
        </w:tc>
      </w:tr>
      <w:tr w:rsidR="00050E07" w:rsidRPr="00A8072E" w14:paraId="61B8D991" w14:textId="77777777" w:rsidTr="00654BAF">
        <w:trPr>
          <w:cantSplit/>
        </w:trPr>
        <w:tc>
          <w:tcPr>
            <w:tcW w:w="583" w:type="pct"/>
            <w:vMerge w:val="restart"/>
            <w:shd w:val="clear" w:color="auto" w:fill="auto"/>
            <w:vAlign w:val="center"/>
          </w:tcPr>
          <w:p w14:paraId="4928B120" w14:textId="77777777" w:rsidR="00050E07" w:rsidRPr="00A8072E" w:rsidRDefault="00050E07" w:rsidP="00654BAF">
            <w:pPr>
              <w:spacing w:before="60" w:after="60"/>
              <w:rPr>
                <w:rFonts w:ascii="Arial" w:hAnsi="Arial"/>
                <w:b/>
                <w:sz w:val="20"/>
                <w:szCs w:val="20"/>
              </w:rPr>
            </w:pPr>
            <w:r>
              <w:rPr>
                <w:rFonts w:ascii="Arial" w:hAnsi="Arial"/>
                <w:b/>
                <w:sz w:val="20"/>
              </w:rPr>
              <w:t>Sensibilización</w:t>
            </w:r>
          </w:p>
        </w:tc>
        <w:tc>
          <w:tcPr>
            <w:tcW w:w="1118" w:type="pct"/>
            <w:vMerge w:val="restart"/>
            <w:shd w:val="clear" w:color="auto" w:fill="auto"/>
            <w:vAlign w:val="center"/>
          </w:tcPr>
          <w:p w14:paraId="391FEFC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que las comunidades, los grupos y los individuos participan en la sensibilización acerca de la importancia del PCI y de su salvaguardia</w:t>
            </w:r>
          </w:p>
        </w:tc>
        <w:tc>
          <w:tcPr>
            <w:tcW w:w="2568" w:type="pct"/>
            <w:shd w:val="clear" w:color="auto" w:fill="auto"/>
            <w:vAlign w:val="center"/>
          </w:tcPr>
          <w:p w14:paraId="193E1590" w14:textId="77777777" w:rsidR="00050E07" w:rsidRPr="00A8072E" w:rsidRDefault="00050E07" w:rsidP="00050E07">
            <w:pPr>
              <w:numPr>
                <w:ilvl w:val="1"/>
                <w:numId w:val="31"/>
              </w:numPr>
              <w:spacing w:before="60" w:after="60" w:line="240" w:lineRule="auto"/>
              <w:ind w:left="567" w:hanging="567"/>
              <w:rPr>
                <w:rFonts w:ascii="Arial" w:eastAsia="Calibri" w:hAnsi="Arial"/>
                <w:vanish/>
                <w:sz w:val="20"/>
                <w:szCs w:val="20"/>
              </w:rPr>
            </w:pPr>
            <w:r>
              <w:rPr>
                <w:rFonts w:ascii="Arial" w:hAnsi="Arial"/>
                <w:sz w:val="20"/>
              </w:rPr>
              <w:t>Las acciones de sensibilización reflejan la participación inclusiva, lo más amplia posible de las comunidades, de los grupos y de los individuos.</w:t>
            </w:r>
          </w:p>
        </w:tc>
        <w:tc>
          <w:tcPr>
            <w:tcW w:w="118" w:type="pct"/>
            <w:tcBorders>
              <w:top w:val="nil"/>
              <w:bottom w:val="nil"/>
            </w:tcBorders>
            <w:shd w:val="clear" w:color="auto" w:fill="auto"/>
            <w:vAlign w:val="center"/>
          </w:tcPr>
          <w:p w14:paraId="7DCDE33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E93A8A0" w14:textId="77777777" w:rsidR="00050E07" w:rsidRPr="00A8072E" w:rsidRDefault="00050E07" w:rsidP="00654BAF">
            <w:pPr>
              <w:spacing w:before="60" w:after="60"/>
              <w:rPr>
                <w:rFonts w:ascii="Arial" w:hAnsi="Arial"/>
                <w:sz w:val="20"/>
                <w:szCs w:val="20"/>
              </w:rPr>
            </w:pPr>
            <w:r>
              <w:rPr>
                <w:rFonts w:ascii="Arial" w:hAnsi="Arial"/>
                <w:sz w:val="20"/>
              </w:rPr>
              <w:t>DO 101</w:t>
            </w:r>
          </w:p>
        </w:tc>
      </w:tr>
      <w:tr w:rsidR="00050E07" w:rsidRPr="00A8072E" w14:paraId="22542E6D" w14:textId="77777777" w:rsidTr="00654BAF">
        <w:trPr>
          <w:cantSplit/>
        </w:trPr>
        <w:tc>
          <w:tcPr>
            <w:tcW w:w="583" w:type="pct"/>
            <w:vMerge/>
            <w:shd w:val="clear" w:color="auto" w:fill="auto"/>
            <w:vAlign w:val="center"/>
          </w:tcPr>
          <w:p w14:paraId="0B7F688B"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1DA604F"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21AD78F0" w14:textId="77777777" w:rsidR="00050E07" w:rsidRPr="00A8072E" w:rsidRDefault="00050E07" w:rsidP="00050E07">
            <w:pPr>
              <w:numPr>
                <w:ilvl w:val="1"/>
                <w:numId w:val="31"/>
              </w:numPr>
              <w:spacing w:before="60" w:after="60" w:line="240" w:lineRule="auto"/>
              <w:ind w:left="567" w:hanging="567"/>
              <w:rPr>
                <w:rFonts w:ascii="Arial" w:eastAsia="Calibri" w:hAnsi="Arial"/>
                <w:sz w:val="20"/>
                <w:szCs w:val="20"/>
              </w:rPr>
            </w:pPr>
            <w:r>
              <w:rPr>
                <w:rFonts w:ascii="Arial" w:hAnsi="Arial"/>
                <w:sz w:val="20"/>
              </w:rPr>
              <w:t>Se garantiza el consentimiento libre, previo e informado y continuo de las comunidades, los grupos y los individuos interesados para llevar a cabo actividades de sensibilización sobre elementos específicos de su patrimonio cultural inmaterial.</w:t>
            </w:r>
          </w:p>
        </w:tc>
        <w:tc>
          <w:tcPr>
            <w:tcW w:w="118" w:type="pct"/>
            <w:tcBorders>
              <w:top w:val="nil"/>
              <w:bottom w:val="nil"/>
            </w:tcBorders>
            <w:shd w:val="clear" w:color="auto" w:fill="auto"/>
            <w:vAlign w:val="center"/>
          </w:tcPr>
          <w:p w14:paraId="1705588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3229FAB" w14:textId="77777777" w:rsidR="00050E07" w:rsidRPr="00A8072E" w:rsidRDefault="00050E07" w:rsidP="00654BAF">
            <w:pPr>
              <w:spacing w:before="60" w:after="60"/>
              <w:rPr>
                <w:rFonts w:ascii="Arial" w:hAnsi="Arial"/>
                <w:sz w:val="20"/>
                <w:szCs w:val="20"/>
              </w:rPr>
            </w:pPr>
            <w:r>
              <w:rPr>
                <w:rFonts w:ascii="Arial" w:hAnsi="Arial"/>
                <w:sz w:val="20"/>
              </w:rPr>
              <w:t>DO 101</w:t>
            </w:r>
          </w:p>
        </w:tc>
      </w:tr>
      <w:tr w:rsidR="00050E07" w:rsidRPr="00A8072E" w14:paraId="28C80C81" w14:textId="77777777" w:rsidTr="00654BAF">
        <w:trPr>
          <w:cantSplit/>
        </w:trPr>
        <w:tc>
          <w:tcPr>
            <w:tcW w:w="583" w:type="pct"/>
            <w:vMerge/>
            <w:shd w:val="clear" w:color="auto" w:fill="auto"/>
            <w:vAlign w:val="center"/>
          </w:tcPr>
          <w:p w14:paraId="1285D422"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327C93C"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185FD512" w14:textId="77777777" w:rsidR="00050E07" w:rsidRPr="00A8072E" w:rsidRDefault="00050E07" w:rsidP="00050E07">
            <w:pPr>
              <w:numPr>
                <w:ilvl w:val="1"/>
                <w:numId w:val="31"/>
              </w:numPr>
              <w:spacing w:before="60" w:after="60" w:line="240" w:lineRule="auto"/>
              <w:ind w:left="567" w:hanging="567"/>
              <w:rPr>
                <w:rFonts w:ascii="Arial" w:eastAsia="Calibri" w:hAnsi="Arial"/>
                <w:sz w:val="20"/>
                <w:szCs w:val="20"/>
              </w:rPr>
            </w:pPr>
            <w:r>
              <w:rPr>
                <w:rFonts w:ascii="Arial" w:hAnsi="Arial"/>
                <w:sz w:val="20"/>
              </w:rPr>
              <w:t>Los derechos de las comunidades, de los grupos y de los individuos y sus intereses morales y materiales están debidamente protegidos cuando se lleven a cabo actividades de sensibilización sobre su PCI.</w:t>
            </w:r>
          </w:p>
        </w:tc>
        <w:tc>
          <w:tcPr>
            <w:tcW w:w="118" w:type="pct"/>
            <w:tcBorders>
              <w:top w:val="nil"/>
              <w:bottom w:val="nil"/>
            </w:tcBorders>
            <w:shd w:val="clear" w:color="auto" w:fill="auto"/>
            <w:vAlign w:val="center"/>
          </w:tcPr>
          <w:p w14:paraId="2F7DD7F3"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9D258E7"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101(b), </w:t>
            </w:r>
            <w:r w:rsidRPr="006C7EFA">
              <w:rPr>
                <w:lang w:val="pt-PT"/>
              </w:rPr>
              <w:br/>
            </w:r>
            <w:r w:rsidRPr="006C7EFA">
              <w:rPr>
                <w:rFonts w:ascii="Arial" w:hAnsi="Arial"/>
                <w:sz w:val="20"/>
                <w:lang w:val="pt-PT"/>
              </w:rPr>
              <w:t xml:space="preserve">DO 101(d), </w:t>
            </w:r>
            <w:r w:rsidRPr="006C7EFA">
              <w:rPr>
                <w:lang w:val="pt-PT"/>
              </w:rPr>
              <w:br/>
            </w:r>
            <w:r w:rsidRPr="006C7EFA">
              <w:rPr>
                <w:rFonts w:ascii="Arial" w:hAnsi="Arial"/>
                <w:sz w:val="20"/>
                <w:lang w:val="pt-PT"/>
              </w:rPr>
              <w:t xml:space="preserve">DO 104, </w:t>
            </w:r>
            <w:r w:rsidRPr="006C7EFA">
              <w:rPr>
                <w:lang w:val="pt-PT"/>
              </w:rPr>
              <w:br/>
            </w:r>
            <w:r w:rsidRPr="006C7EFA">
              <w:rPr>
                <w:rFonts w:ascii="Arial" w:hAnsi="Arial"/>
                <w:sz w:val="20"/>
                <w:lang w:val="pt-PT"/>
              </w:rPr>
              <w:t>DO 171</w:t>
            </w:r>
          </w:p>
          <w:p w14:paraId="65A93E4D" w14:textId="77777777" w:rsidR="00050E07" w:rsidRPr="00A8072E" w:rsidRDefault="00050E07" w:rsidP="00654BAF">
            <w:pPr>
              <w:spacing w:before="60" w:after="60"/>
              <w:rPr>
                <w:rFonts w:ascii="Arial" w:hAnsi="Arial"/>
                <w:sz w:val="20"/>
                <w:szCs w:val="20"/>
              </w:rPr>
            </w:pPr>
            <w:r>
              <w:rPr>
                <w:rFonts w:ascii="Arial" w:hAnsi="Arial"/>
                <w:sz w:val="20"/>
              </w:rPr>
              <w:t>EP 7</w:t>
            </w:r>
          </w:p>
        </w:tc>
      </w:tr>
      <w:tr w:rsidR="00050E07" w:rsidRPr="006C7EFA" w14:paraId="5CDA2ABC" w14:textId="77777777" w:rsidTr="00654BAF">
        <w:trPr>
          <w:cantSplit/>
        </w:trPr>
        <w:tc>
          <w:tcPr>
            <w:tcW w:w="583" w:type="pct"/>
            <w:vMerge/>
            <w:shd w:val="clear" w:color="auto" w:fill="auto"/>
            <w:vAlign w:val="center"/>
          </w:tcPr>
          <w:p w14:paraId="1D94865C"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65F33490"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E345A8B" w14:textId="77777777" w:rsidR="00050E07" w:rsidRPr="00940C5C" w:rsidRDefault="00050E07" w:rsidP="00050E07">
            <w:pPr>
              <w:numPr>
                <w:ilvl w:val="1"/>
                <w:numId w:val="31"/>
              </w:numPr>
              <w:spacing w:before="60" w:after="60" w:line="240" w:lineRule="auto"/>
              <w:ind w:left="567" w:hanging="567"/>
              <w:rPr>
                <w:rFonts w:ascii="Arial" w:eastAsia="Calibri" w:hAnsi="Arial"/>
                <w:sz w:val="20"/>
                <w:szCs w:val="20"/>
              </w:rPr>
            </w:pPr>
            <w:r>
              <w:rPr>
                <w:rFonts w:ascii="Arial" w:hAnsi="Arial"/>
                <w:sz w:val="20"/>
              </w:rPr>
              <w:t>L</w:t>
            </w:r>
            <w:r w:rsidRPr="00940C5C">
              <w:rPr>
                <w:rFonts w:ascii="Arial" w:hAnsi="Arial"/>
                <w:sz w:val="20"/>
              </w:rPr>
              <w:t>os jóvenes</w:t>
            </w:r>
            <w:r>
              <w:rPr>
                <w:rFonts w:ascii="Arial" w:hAnsi="Arial"/>
                <w:sz w:val="20"/>
              </w:rPr>
              <w:t xml:space="preserve"> participan activamente</w:t>
            </w:r>
            <w:r w:rsidRPr="00940C5C">
              <w:rPr>
                <w:rFonts w:ascii="Arial" w:hAnsi="Arial"/>
                <w:sz w:val="20"/>
              </w:rPr>
              <w:t xml:space="preserve"> en las actividades de sensibilización, </w:t>
            </w:r>
            <w:r>
              <w:rPr>
                <w:rFonts w:ascii="Arial" w:hAnsi="Arial"/>
                <w:sz w:val="20"/>
              </w:rPr>
              <w:t>así como en</w:t>
            </w:r>
            <w:r w:rsidRPr="00940C5C">
              <w:rPr>
                <w:rFonts w:ascii="Arial" w:hAnsi="Arial"/>
                <w:sz w:val="20"/>
              </w:rPr>
              <w:t xml:space="preserve"> la recolección y </w:t>
            </w:r>
            <w:r>
              <w:rPr>
                <w:rFonts w:ascii="Arial" w:hAnsi="Arial"/>
                <w:sz w:val="20"/>
              </w:rPr>
              <w:t xml:space="preserve">en la </w:t>
            </w:r>
            <w:r w:rsidRPr="00940C5C">
              <w:rPr>
                <w:rFonts w:ascii="Arial" w:hAnsi="Arial"/>
                <w:sz w:val="20"/>
              </w:rPr>
              <w:t>divulgación de información sobre el patrimonio cultural inmaterial de sus comunidades o grupos.</w:t>
            </w:r>
          </w:p>
        </w:tc>
        <w:tc>
          <w:tcPr>
            <w:tcW w:w="118" w:type="pct"/>
            <w:tcBorders>
              <w:top w:val="nil"/>
              <w:bottom w:val="nil"/>
            </w:tcBorders>
            <w:shd w:val="clear" w:color="auto" w:fill="auto"/>
            <w:vAlign w:val="center"/>
          </w:tcPr>
          <w:p w14:paraId="7982655A"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A772C40"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14(a)(i)</w:t>
            </w:r>
          </w:p>
          <w:p w14:paraId="68E96525"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107(f)</w:t>
            </w:r>
          </w:p>
        </w:tc>
      </w:tr>
      <w:tr w:rsidR="00050E07" w:rsidRPr="00B86AF3" w14:paraId="23C29F85" w14:textId="77777777" w:rsidTr="00654BAF">
        <w:trPr>
          <w:cantSplit/>
        </w:trPr>
        <w:tc>
          <w:tcPr>
            <w:tcW w:w="583" w:type="pct"/>
            <w:vMerge/>
            <w:shd w:val="clear" w:color="auto" w:fill="auto"/>
            <w:vAlign w:val="center"/>
          </w:tcPr>
          <w:p w14:paraId="38A65686" w14:textId="77777777" w:rsidR="00050E07" w:rsidRPr="006C7EFA" w:rsidRDefault="00050E07" w:rsidP="00654BAF">
            <w:pPr>
              <w:spacing w:before="60" w:after="60"/>
              <w:rPr>
                <w:rFonts w:ascii="Arial" w:hAnsi="Arial"/>
                <w:b/>
                <w:sz w:val="20"/>
                <w:szCs w:val="20"/>
                <w:lang w:val="pt-PT"/>
              </w:rPr>
            </w:pPr>
          </w:p>
        </w:tc>
        <w:tc>
          <w:tcPr>
            <w:tcW w:w="1118" w:type="pct"/>
            <w:vMerge/>
            <w:shd w:val="clear" w:color="auto" w:fill="auto"/>
            <w:vAlign w:val="center"/>
          </w:tcPr>
          <w:p w14:paraId="60521F8E" w14:textId="77777777" w:rsidR="00050E07" w:rsidRPr="006C7EFA" w:rsidRDefault="00050E07" w:rsidP="00654BAF">
            <w:pPr>
              <w:spacing w:before="60" w:after="60"/>
              <w:rPr>
                <w:rFonts w:ascii="Arial" w:eastAsia="Calibri" w:hAnsi="Arial"/>
                <w:sz w:val="20"/>
                <w:szCs w:val="20"/>
                <w:lang w:val="pt-PT"/>
              </w:rPr>
            </w:pPr>
          </w:p>
        </w:tc>
        <w:tc>
          <w:tcPr>
            <w:tcW w:w="2568" w:type="pct"/>
            <w:shd w:val="clear" w:color="auto" w:fill="auto"/>
            <w:vAlign w:val="center"/>
          </w:tcPr>
          <w:p w14:paraId="4991725D" w14:textId="77777777" w:rsidR="00050E07" w:rsidRPr="00A8072E" w:rsidRDefault="00050E07" w:rsidP="00050E07">
            <w:pPr>
              <w:numPr>
                <w:ilvl w:val="1"/>
                <w:numId w:val="31"/>
              </w:numPr>
              <w:spacing w:before="60" w:after="60" w:line="240" w:lineRule="auto"/>
              <w:ind w:left="567" w:hanging="567"/>
              <w:rPr>
                <w:rFonts w:ascii="Arial" w:eastAsia="Calibri" w:hAnsi="Arial"/>
                <w:sz w:val="20"/>
                <w:szCs w:val="20"/>
              </w:rPr>
            </w:pPr>
            <w:r>
              <w:rPr>
                <w:rFonts w:ascii="Arial" w:hAnsi="Arial"/>
                <w:sz w:val="20"/>
              </w:rPr>
              <w:t>Las comunidades, los grupos y los individuos utilizan las tecnologías de la información y de la comunicación así como todos los medios de comunicación, en especial los nuevos medios, para sensibilizar acerca de la importancia del PCI y de su salvaguardia.</w:t>
            </w:r>
          </w:p>
        </w:tc>
        <w:tc>
          <w:tcPr>
            <w:tcW w:w="118" w:type="pct"/>
            <w:tcBorders>
              <w:top w:val="nil"/>
              <w:bottom w:val="nil"/>
            </w:tcBorders>
            <w:shd w:val="clear" w:color="auto" w:fill="auto"/>
            <w:vAlign w:val="center"/>
          </w:tcPr>
          <w:p w14:paraId="6BDD2336"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D9CCF1F" w14:textId="77777777" w:rsidR="00050E07" w:rsidRPr="00A8072E" w:rsidRDefault="00050E07" w:rsidP="00654BAF">
            <w:pPr>
              <w:spacing w:before="60" w:after="60"/>
              <w:rPr>
                <w:rFonts w:ascii="Arial" w:hAnsi="Arial"/>
                <w:sz w:val="20"/>
                <w:szCs w:val="20"/>
              </w:rPr>
            </w:pPr>
          </w:p>
        </w:tc>
      </w:tr>
      <w:tr w:rsidR="00050E07" w:rsidRPr="00A23A64" w14:paraId="613FB6C1" w14:textId="77777777" w:rsidTr="00654BAF">
        <w:trPr>
          <w:cantSplit/>
        </w:trPr>
        <w:tc>
          <w:tcPr>
            <w:tcW w:w="583" w:type="pct"/>
            <w:vMerge/>
            <w:shd w:val="clear" w:color="auto" w:fill="auto"/>
            <w:vAlign w:val="center"/>
          </w:tcPr>
          <w:p w14:paraId="7C6E8130"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365F0068"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995F7C">
              <w:rPr>
                <w:rFonts w:ascii="Arial" w:hAnsi="Arial"/>
                <w:sz w:val="20"/>
              </w:rPr>
              <w:t>Grado en</w:t>
            </w:r>
            <w:r>
              <w:rPr>
                <w:rFonts w:ascii="Arial" w:hAnsi="Arial"/>
                <w:sz w:val="20"/>
              </w:rPr>
              <w:t xml:space="preserve"> el que se incluyen los medios de comunicación para sensibilizar acerca de la importancia del PCI y de su salvaguardia así como para promover la comprensión y el respeto mutuo</w:t>
            </w:r>
          </w:p>
        </w:tc>
        <w:tc>
          <w:tcPr>
            <w:tcW w:w="2568" w:type="pct"/>
            <w:shd w:val="clear" w:color="auto" w:fill="auto"/>
            <w:vAlign w:val="center"/>
          </w:tcPr>
          <w:p w14:paraId="759F53E5" w14:textId="77777777" w:rsidR="00050E07" w:rsidRPr="00A8072E" w:rsidRDefault="00050E07" w:rsidP="00050E07">
            <w:pPr>
              <w:numPr>
                <w:ilvl w:val="1"/>
                <w:numId w:val="32"/>
              </w:numPr>
              <w:spacing w:before="60" w:after="60" w:line="240" w:lineRule="auto"/>
              <w:ind w:left="567" w:hanging="567"/>
              <w:rPr>
                <w:rFonts w:ascii="Arial" w:eastAsia="Calibri" w:hAnsi="Arial"/>
                <w:vanish/>
                <w:sz w:val="20"/>
                <w:szCs w:val="20"/>
              </w:rPr>
            </w:pPr>
            <w:r>
              <w:rPr>
                <w:rFonts w:ascii="Arial" w:hAnsi="Arial"/>
                <w:sz w:val="20"/>
              </w:rPr>
              <w:t>La cobertura mediática sensibiliza acerca de la importancia del PCI y de su salvaguardia y promueve la comprensión y el respeto mutuo entre las comunidades, los grupos y los individuos.</w:t>
            </w:r>
          </w:p>
        </w:tc>
        <w:tc>
          <w:tcPr>
            <w:tcW w:w="118" w:type="pct"/>
            <w:tcBorders>
              <w:top w:val="nil"/>
              <w:bottom w:val="nil"/>
            </w:tcBorders>
            <w:shd w:val="clear" w:color="auto" w:fill="auto"/>
            <w:vAlign w:val="center"/>
          </w:tcPr>
          <w:p w14:paraId="7C62684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647882B" w14:textId="77777777" w:rsidR="00050E07" w:rsidRPr="00A8072E" w:rsidRDefault="00050E07" w:rsidP="00654BAF">
            <w:pPr>
              <w:spacing w:before="60" w:after="60"/>
              <w:rPr>
                <w:rFonts w:ascii="Arial" w:hAnsi="Arial"/>
                <w:sz w:val="20"/>
                <w:szCs w:val="20"/>
              </w:rPr>
            </w:pPr>
            <w:r>
              <w:rPr>
                <w:rFonts w:ascii="Arial" w:hAnsi="Arial"/>
                <w:sz w:val="20"/>
              </w:rPr>
              <w:t xml:space="preserve">DO111, </w:t>
            </w:r>
            <w:r>
              <w:br/>
            </w:r>
            <w:r>
              <w:rPr>
                <w:rFonts w:ascii="Arial" w:hAnsi="Arial"/>
                <w:sz w:val="20"/>
              </w:rPr>
              <w:t xml:space="preserve">DO112, </w:t>
            </w:r>
            <w:r>
              <w:br/>
            </w:r>
            <w:r>
              <w:rPr>
                <w:rFonts w:ascii="Arial" w:hAnsi="Arial"/>
                <w:sz w:val="20"/>
              </w:rPr>
              <w:t>DO 113</w:t>
            </w:r>
          </w:p>
        </w:tc>
      </w:tr>
      <w:tr w:rsidR="00050E07" w:rsidRPr="00B86AF3" w14:paraId="58BA7590" w14:textId="77777777" w:rsidTr="00654BAF">
        <w:trPr>
          <w:cantSplit/>
        </w:trPr>
        <w:tc>
          <w:tcPr>
            <w:tcW w:w="583" w:type="pct"/>
            <w:vMerge/>
            <w:shd w:val="clear" w:color="auto" w:fill="auto"/>
            <w:vAlign w:val="center"/>
          </w:tcPr>
          <w:p w14:paraId="645301D9"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5F7AC5B6"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03FFB5D5" w14:textId="77777777" w:rsidR="00050E07" w:rsidRPr="00A8072E" w:rsidRDefault="00050E07" w:rsidP="00050E07">
            <w:pPr>
              <w:numPr>
                <w:ilvl w:val="1"/>
                <w:numId w:val="32"/>
              </w:numPr>
              <w:spacing w:before="60" w:after="60" w:line="240" w:lineRule="auto"/>
              <w:ind w:left="567" w:hanging="567"/>
              <w:rPr>
                <w:rFonts w:ascii="Arial" w:eastAsia="Calibri" w:hAnsi="Arial"/>
                <w:sz w:val="20"/>
                <w:szCs w:val="20"/>
              </w:rPr>
            </w:pPr>
            <w:r>
              <w:rPr>
                <w:rFonts w:ascii="Arial" w:hAnsi="Arial"/>
                <w:sz w:val="20"/>
              </w:rPr>
              <w:t>Actividades o programas de cooperación sobre el PCI entre varios actores del PCI y los medios de comunicación que se lleven a cabo, incluyendo actividades de fortalecimiento de capacidades.</w:t>
            </w:r>
          </w:p>
        </w:tc>
        <w:tc>
          <w:tcPr>
            <w:tcW w:w="118" w:type="pct"/>
            <w:tcBorders>
              <w:top w:val="nil"/>
              <w:bottom w:val="nil"/>
            </w:tcBorders>
            <w:shd w:val="clear" w:color="auto" w:fill="auto"/>
            <w:vAlign w:val="center"/>
          </w:tcPr>
          <w:p w14:paraId="03EF5046"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EE74122" w14:textId="77777777" w:rsidR="00050E07" w:rsidRPr="00A8072E" w:rsidRDefault="00050E07" w:rsidP="00654BAF">
            <w:pPr>
              <w:spacing w:before="60" w:after="60"/>
              <w:rPr>
                <w:rFonts w:ascii="Arial" w:hAnsi="Arial"/>
                <w:sz w:val="20"/>
                <w:szCs w:val="20"/>
              </w:rPr>
            </w:pPr>
          </w:p>
        </w:tc>
      </w:tr>
      <w:tr w:rsidR="00050E07" w:rsidRPr="00A8072E" w14:paraId="6D1F1F34" w14:textId="77777777" w:rsidTr="00654BAF">
        <w:trPr>
          <w:cantSplit/>
        </w:trPr>
        <w:tc>
          <w:tcPr>
            <w:tcW w:w="583" w:type="pct"/>
            <w:vMerge/>
            <w:shd w:val="clear" w:color="auto" w:fill="auto"/>
            <w:vAlign w:val="center"/>
          </w:tcPr>
          <w:p w14:paraId="043D08B5"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483B0BE"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B202A36" w14:textId="77777777" w:rsidR="00050E07" w:rsidRPr="00A8072E" w:rsidRDefault="00050E07" w:rsidP="00050E07">
            <w:pPr>
              <w:numPr>
                <w:ilvl w:val="1"/>
                <w:numId w:val="32"/>
              </w:numPr>
              <w:spacing w:before="60" w:after="60" w:line="240" w:lineRule="auto"/>
              <w:ind w:left="567" w:hanging="567"/>
              <w:rPr>
                <w:rFonts w:ascii="Arial" w:eastAsia="Calibri" w:hAnsi="Arial"/>
                <w:sz w:val="20"/>
                <w:szCs w:val="20"/>
              </w:rPr>
            </w:pPr>
            <w:r>
              <w:rPr>
                <w:rFonts w:ascii="Arial" w:hAnsi="Arial"/>
                <w:sz w:val="20"/>
              </w:rPr>
              <w:t>La programación de los medios de comunicación sobre el PCI es inclusiva y utiliza la lengua de las comunidades y los grupos interesados y/o se dirige a distintos públicos objetivos.</w:t>
            </w:r>
          </w:p>
        </w:tc>
        <w:tc>
          <w:tcPr>
            <w:tcW w:w="118" w:type="pct"/>
            <w:tcBorders>
              <w:top w:val="nil"/>
              <w:bottom w:val="nil"/>
            </w:tcBorders>
            <w:shd w:val="clear" w:color="auto" w:fill="auto"/>
            <w:vAlign w:val="center"/>
          </w:tcPr>
          <w:p w14:paraId="5C003481"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EEB1F5E" w14:textId="77777777" w:rsidR="00050E07" w:rsidRPr="00A8072E" w:rsidRDefault="00050E07" w:rsidP="00654BAF">
            <w:pPr>
              <w:spacing w:before="60" w:after="60"/>
              <w:rPr>
                <w:rFonts w:ascii="Arial" w:hAnsi="Arial"/>
                <w:sz w:val="20"/>
                <w:szCs w:val="20"/>
              </w:rPr>
            </w:pPr>
            <w:r>
              <w:rPr>
                <w:rFonts w:ascii="Arial" w:hAnsi="Arial"/>
                <w:sz w:val="20"/>
              </w:rPr>
              <w:t>DO 112, DO 113</w:t>
            </w:r>
          </w:p>
        </w:tc>
      </w:tr>
      <w:tr w:rsidR="00050E07" w:rsidRPr="00B86AF3" w14:paraId="669918E9" w14:textId="77777777" w:rsidTr="00654BAF">
        <w:trPr>
          <w:cantSplit/>
        </w:trPr>
        <w:tc>
          <w:tcPr>
            <w:tcW w:w="583" w:type="pct"/>
            <w:vMerge/>
            <w:shd w:val="clear" w:color="auto" w:fill="auto"/>
            <w:vAlign w:val="center"/>
          </w:tcPr>
          <w:p w14:paraId="5DFD07B9"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4F1E2B88" w14:textId="77777777" w:rsidR="00050E07" w:rsidRPr="00A8072E" w:rsidRDefault="00050E07" w:rsidP="00654BAF">
            <w:pPr>
              <w:spacing w:before="60" w:after="60"/>
              <w:ind w:left="370"/>
              <w:rPr>
                <w:rFonts w:ascii="Arial" w:eastAsia="Calibri" w:hAnsi="Arial"/>
                <w:sz w:val="20"/>
                <w:szCs w:val="20"/>
              </w:rPr>
            </w:pPr>
          </w:p>
        </w:tc>
        <w:tc>
          <w:tcPr>
            <w:tcW w:w="2568" w:type="pct"/>
            <w:shd w:val="clear" w:color="auto" w:fill="auto"/>
            <w:vAlign w:val="center"/>
          </w:tcPr>
          <w:p w14:paraId="5378ECC0" w14:textId="77777777" w:rsidR="00050E07" w:rsidRPr="00A8072E" w:rsidRDefault="00050E07" w:rsidP="00050E07">
            <w:pPr>
              <w:numPr>
                <w:ilvl w:val="1"/>
                <w:numId w:val="32"/>
              </w:numPr>
              <w:spacing w:before="60" w:after="60" w:line="240" w:lineRule="auto"/>
              <w:ind w:left="567" w:hanging="567"/>
              <w:rPr>
                <w:rFonts w:ascii="Arial" w:eastAsia="Calibri" w:hAnsi="Arial"/>
                <w:sz w:val="20"/>
                <w:szCs w:val="20"/>
              </w:rPr>
            </w:pPr>
            <w:r>
              <w:rPr>
                <w:rFonts w:ascii="Arial" w:hAnsi="Arial"/>
                <w:sz w:val="20"/>
              </w:rPr>
              <w:t xml:space="preserve">La cobertura mediática del patrimonio cultural inmaterial y de su salvaguardia está en conformidad con los conceptos y la terminología de la Convención. </w:t>
            </w:r>
          </w:p>
        </w:tc>
        <w:tc>
          <w:tcPr>
            <w:tcW w:w="118" w:type="pct"/>
            <w:tcBorders>
              <w:top w:val="nil"/>
              <w:bottom w:val="nil"/>
            </w:tcBorders>
            <w:shd w:val="clear" w:color="auto" w:fill="auto"/>
            <w:vAlign w:val="center"/>
          </w:tcPr>
          <w:p w14:paraId="611F749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EC99656" w14:textId="77777777" w:rsidR="00050E07" w:rsidRPr="00A8072E" w:rsidRDefault="00050E07" w:rsidP="00654BAF">
            <w:pPr>
              <w:spacing w:before="60" w:after="60"/>
              <w:rPr>
                <w:rFonts w:ascii="Arial" w:hAnsi="Arial"/>
                <w:sz w:val="20"/>
                <w:szCs w:val="20"/>
              </w:rPr>
            </w:pPr>
          </w:p>
        </w:tc>
      </w:tr>
      <w:tr w:rsidR="00050E07" w:rsidRPr="00A8072E" w14:paraId="61BD96DD" w14:textId="77777777" w:rsidTr="00654BAF">
        <w:trPr>
          <w:cantSplit/>
        </w:trPr>
        <w:tc>
          <w:tcPr>
            <w:tcW w:w="583" w:type="pct"/>
            <w:vMerge/>
            <w:shd w:val="clear" w:color="auto" w:fill="auto"/>
            <w:vAlign w:val="center"/>
          </w:tcPr>
          <w:p w14:paraId="1A5DA147"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1500D339"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las medidas de información pública sensibilizan acerca de la importancia del PCI y de su salvaguardia y promueven la comprensión y el respeto mutuo</w:t>
            </w:r>
          </w:p>
        </w:tc>
        <w:tc>
          <w:tcPr>
            <w:tcW w:w="2568" w:type="pct"/>
            <w:shd w:val="clear" w:color="auto" w:fill="auto"/>
            <w:vAlign w:val="center"/>
          </w:tcPr>
          <w:p w14:paraId="5BB3EE8C" w14:textId="77777777" w:rsidR="00050E07" w:rsidRPr="00A8072E" w:rsidRDefault="00050E07" w:rsidP="00050E07">
            <w:pPr>
              <w:numPr>
                <w:ilvl w:val="1"/>
                <w:numId w:val="33"/>
              </w:numPr>
              <w:spacing w:before="60" w:after="60" w:line="240" w:lineRule="auto"/>
              <w:ind w:left="567" w:hanging="567"/>
              <w:rPr>
                <w:rFonts w:ascii="Arial" w:eastAsia="Calibri" w:hAnsi="Arial"/>
                <w:vanish/>
                <w:sz w:val="20"/>
                <w:szCs w:val="20"/>
              </w:rPr>
            </w:pPr>
            <w:r>
              <w:rPr>
                <w:rFonts w:ascii="Arial" w:hAnsi="Arial"/>
                <w:sz w:val="20"/>
              </w:rPr>
              <w:t>Los practicantes y depositarios del PCI son reconocidos públicamente sobre una base inclusiva a través de políticas y programas.</w:t>
            </w:r>
          </w:p>
        </w:tc>
        <w:tc>
          <w:tcPr>
            <w:tcW w:w="118" w:type="pct"/>
            <w:tcBorders>
              <w:top w:val="nil"/>
              <w:bottom w:val="nil"/>
            </w:tcBorders>
            <w:shd w:val="clear" w:color="auto" w:fill="auto"/>
            <w:vAlign w:val="center"/>
          </w:tcPr>
          <w:p w14:paraId="20D35D95"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7B9E61B" w14:textId="77777777" w:rsidR="00050E07" w:rsidRPr="00A8072E" w:rsidRDefault="00050E07" w:rsidP="00654BAF">
            <w:pPr>
              <w:spacing w:before="60" w:after="60"/>
              <w:rPr>
                <w:rFonts w:ascii="Arial" w:hAnsi="Arial"/>
                <w:sz w:val="20"/>
                <w:szCs w:val="20"/>
              </w:rPr>
            </w:pPr>
            <w:r>
              <w:rPr>
                <w:rFonts w:ascii="Arial" w:hAnsi="Arial"/>
                <w:sz w:val="20"/>
              </w:rPr>
              <w:t>DO 105(d)</w:t>
            </w:r>
          </w:p>
        </w:tc>
      </w:tr>
      <w:tr w:rsidR="00050E07" w:rsidRPr="00A8072E" w14:paraId="572DCFD5" w14:textId="77777777" w:rsidTr="00654BAF">
        <w:trPr>
          <w:cantSplit/>
        </w:trPr>
        <w:tc>
          <w:tcPr>
            <w:tcW w:w="583" w:type="pct"/>
            <w:vMerge/>
            <w:shd w:val="clear" w:color="auto" w:fill="auto"/>
            <w:vAlign w:val="center"/>
          </w:tcPr>
          <w:p w14:paraId="41517C32"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6E1650D2"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69276D24" w14:textId="77777777" w:rsidR="00050E07" w:rsidRPr="00A8072E" w:rsidRDefault="00050E07" w:rsidP="00050E07">
            <w:pPr>
              <w:numPr>
                <w:ilvl w:val="1"/>
                <w:numId w:val="33"/>
              </w:numPr>
              <w:spacing w:before="60" w:after="60" w:line="240" w:lineRule="auto"/>
              <w:ind w:left="567" w:hanging="567"/>
              <w:rPr>
                <w:rFonts w:ascii="Arial" w:eastAsia="Calibri" w:hAnsi="Arial"/>
                <w:sz w:val="20"/>
                <w:szCs w:val="20"/>
              </w:rPr>
            </w:pPr>
            <w:r>
              <w:rPr>
                <w:rFonts w:ascii="Arial" w:hAnsi="Arial"/>
                <w:sz w:val="20"/>
              </w:rPr>
              <w:t>Los eventos públicos sobre el PCI, sobre la importancia de la salvaguardia y sobre la Convención que se organicen para las comunidades, los grupos e individuos, el público general, investigadores, medios de comunicación y otros actores interesados.</w:t>
            </w:r>
          </w:p>
        </w:tc>
        <w:tc>
          <w:tcPr>
            <w:tcW w:w="118" w:type="pct"/>
            <w:tcBorders>
              <w:top w:val="nil"/>
              <w:bottom w:val="nil"/>
            </w:tcBorders>
            <w:shd w:val="clear" w:color="auto" w:fill="auto"/>
            <w:vAlign w:val="center"/>
          </w:tcPr>
          <w:p w14:paraId="2892EAC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7468374" w14:textId="77777777" w:rsidR="00050E07" w:rsidRPr="00A8072E" w:rsidRDefault="00050E07" w:rsidP="00654BAF">
            <w:pPr>
              <w:spacing w:before="60" w:after="60"/>
              <w:rPr>
                <w:rFonts w:ascii="Arial" w:hAnsi="Arial"/>
                <w:sz w:val="20"/>
                <w:szCs w:val="20"/>
              </w:rPr>
            </w:pPr>
            <w:r>
              <w:rPr>
                <w:rFonts w:ascii="Arial" w:hAnsi="Arial"/>
                <w:sz w:val="20"/>
              </w:rPr>
              <w:t>DO 105(b)</w:t>
            </w:r>
          </w:p>
        </w:tc>
      </w:tr>
      <w:tr w:rsidR="00050E07" w:rsidRPr="00A8072E" w14:paraId="59BAEC24" w14:textId="77777777" w:rsidTr="00654BAF">
        <w:trPr>
          <w:cantSplit/>
        </w:trPr>
        <w:tc>
          <w:tcPr>
            <w:tcW w:w="583" w:type="pct"/>
            <w:vMerge/>
            <w:shd w:val="clear" w:color="auto" w:fill="auto"/>
            <w:vAlign w:val="center"/>
          </w:tcPr>
          <w:p w14:paraId="138AFE4A"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564A238A"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754249FC" w14:textId="77777777" w:rsidR="00050E07" w:rsidRPr="00A8072E" w:rsidRDefault="00050E07" w:rsidP="00050E07">
            <w:pPr>
              <w:numPr>
                <w:ilvl w:val="1"/>
                <w:numId w:val="33"/>
              </w:numPr>
              <w:spacing w:before="60" w:after="60" w:line="240" w:lineRule="auto"/>
              <w:ind w:left="567" w:hanging="567"/>
              <w:rPr>
                <w:rFonts w:ascii="Arial" w:eastAsia="Calibri" w:hAnsi="Arial"/>
                <w:sz w:val="20"/>
                <w:szCs w:val="20"/>
              </w:rPr>
            </w:pPr>
            <w:r>
              <w:rPr>
                <w:rFonts w:ascii="Arial" w:hAnsi="Arial"/>
                <w:sz w:val="20"/>
              </w:rPr>
              <w:t>Se fomentan y se apoyan programas para la promoción y la divulgación de las buenas prácticas de salvaguardia.</w:t>
            </w:r>
          </w:p>
        </w:tc>
        <w:tc>
          <w:tcPr>
            <w:tcW w:w="118" w:type="pct"/>
            <w:tcBorders>
              <w:top w:val="nil"/>
              <w:bottom w:val="nil"/>
            </w:tcBorders>
            <w:shd w:val="clear" w:color="auto" w:fill="auto"/>
            <w:vAlign w:val="center"/>
          </w:tcPr>
          <w:p w14:paraId="0B1D351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A8BA160" w14:textId="77777777" w:rsidR="00050E07" w:rsidRPr="00A8072E" w:rsidRDefault="00050E07" w:rsidP="00654BAF">
            <w:pPr>
              <w:spacing w:before="60" w:after="60"/>
              <w:rPr>
                <w:rFonts w:ascii="Arial" w:hAnsi="Arial"/>
                <w:sz w:val="20"/>
                <w:szCs w:val="20"/>
              </w:rPr>
            </w:pPr>
            <w:r>
              <w:rPr>
                <w:rFonts w:ascii="Arial" w:hAnsi="Arial"/>
                <w:sz w:val="20"/>
              </w:rPr>
              <w:t>DO 106</w:t>
            </w:r>
          </w:p>
        </w:tc>
      </w:tr>
      <w:tr w:rsidR="00050E07" w:rsidRPr="00B86AF3" w14:paraId="0E2CA37A" w14:textId="77777777" w:rsidTr="00654BAF">
        <w:trPr>
          <w:cantSplit/>
        </w:trPr>
        <w:tc>
          <w:tcPr>
            <w:tcW w:w="583" w:type="pct"/>
            <w:vMerge/>
            <w:shd w:val="clear" w:color="auto" w:fill="auto"/>
            <w:vAlign w:val="center"/>
          </w:tcPr>
          <w:p w14:paraId="7301FC1D"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2E31D8FA"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95DACC9" w14:textId="77777777" w:rsidR="00050E07" w:rsidRPr="00A8072E" w:rsidRDefault="00050E07" w:rsidP="00050E07">
            <w:pPr>
              <w:numPr>
                <w:ilvl w:val="1"/>
                <w:numId w:val="33"/>
              </w:numPr>
              <w:spacing w:before="60" w:after="60" w:line="240" w:lineRule="auto"/>
              <w:ind w:left="567" w:hanging="567"/>
              <w:rPr>
                <w:rFonts w:ascii="Arial" w:eastAsia="Calibri" w:hAnsi="Arial"/>
                <w:sz w:val="20"/>
                <w:szCs w:val="20"/>
              </w:rPr>
            </w:pPr>
            <w:r>
              <w:rPr>
                <w:rFonts w:ascii="Arial" w:hAnsi="Arial"/>
                <w:sz w:val="20"/>
              </w:rPr>
              <w:t>La información pública sobre el PCI que promueva el respeto mutuo y el reconocimiento entre las comunidades y los grupos.</w:t>
            </w:r>
          </w:p>
        </w:tc>
        <w:tc>
          <w:tcPr>
            <w:tcW w:w="118" w:type="pct"/>
            <w:tcBorders>
              <w:top w:val="nil"/>
              <w:bottom w:val="nil"/>
            </w:tcBorders>
            <w:shd w:val="clear" w:color="auto" w:fill="auto"/>
            <w:vAlign w:val="center"/>
          </w:tcPr>
          <w:p w14:paraId="29BA7D2D"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260FF3C" w14:textId="77777777" w:rsidR="00050E07" w:rsidRPr="00A8072E" w:rsidRDefault="00050E07" w:rsidP="00654BAF">
            <w:pPr>
              <w:spacing w:before="60" w:after="60"/>
              <w:rPr>
                <w:rFonts w:ascii="Arial" w:hAnsi="Arial"/>
                <w:sz w:val="20"/>
                <w:szCs w:val="20"/>
              </w:rPr>
            </w:pPr>
          </w:p>
        </w:tc>
      </w:tr>
      <w:tr w:rsidR="00050E07" w:rsidRPr="00A8072E" w14:paraId="53AB8657" w14:textId="77777777" w:rsidTr="00654BAF">
        <w:trPr>
          <w:cantSplit/>
          <w:trHeight w:val="683"/>
        </w:trPr>
        <w:tc>
          <w:tcPr>
            <w:tcW w:w="583" w:type="pct"/>
            <w:vMerge/>
            <w:shd w:val="clear" w:color="auto" w:fill="auto"/>
            <w:vAlign w:val="center"/>
          </w:tcPr>
          <w:p w14:paraId="61882A67"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3FCF9C44"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los programas de sensibilización sobre el PCI respetan los principios éticos relevantes</w:t>
            </w:r>
          </w:p>
        </w:tc>
        <w:tc>
          <w:tcPr>
            <w:tcW w:w="2568" w:type="pct"/>
            <w:shd w:val="clear" w:color="auto" w:fill="auto"/>
            <w:vAlign w:val="center"/>
          </w:tcPr>
          <w:p w14:paraId="1AAAB74B" w14:textId="77777777" w:rsidR="00050E07" w:rsidRPr="00A8072E" w:rsidRDefault="00050E07" w:rsidP="00050E07">
            <w:pPr>
              <w:numPr>
                <w:ilvl w:val="1"/>
                <w:numId w:val="34"/>
              </w:numPr>
              <w:spacing w:before="60" w:after="60" w:line="240" w:lineRule="auto"/>
              <w:ind w:left="567" w:hanging="567"/>
              <w:rPr>
                <w:rFonts w:ascii="Arial" w:eastAsia="Calibri" w:hAnsi="Arial"/>
                <w:vanish/>
                <w:sz w:val="20"/>
                <w:szCs w:val="20"/>
              </w:rPr>
            </w:pPr>
            <w:r>
              <w:rPr>
                <w:rFonts w:ascii="Arial" w:hAnsi="Arial"/>
                <w:sz w:val="20"/>
              </w:rPr>
              <w:t>Se respetan los Principios Éticos para la Salvaguardia del Patrimonio Cultural Inmaterial en las actividades de sensibilización.</w:t>
            </w:r>
          </w:p>
        </w:tc>
        <w:tc>
          <w:tcPr>
            <w:tcW w:w="118" w:type="pct"/>
            <w:tcBorders>
              <w:top w:val="nil"/>
              <w:bottom w:val="nil"/>
            </w:tcBorders>
            <w:shd w:val="clear" w:color="auto" w:fill="auto"/>
            <w:vAlign w:val="center"/>
          </w:tcPr>
          <w:p w14:paraId="224682E0"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617A1EC" w14:textId="77777777" w:rsidR="00050E07" w:rsidRPr="00A8072E" w:rsidRDefault="00050E07" w:rsidP="00654BAF">
            <w:pPr>
              <w:spacing w:before="60" w:after="60"/>
              <w:rPr>
                <w:rFonts w:ascii="Arial" w:hAnsi="Arial"/>
                <w:sz w:val="20"/>
                <w:szCs w:val="20"/>
              </w:rPr>
            </w:pPr>
            <w:r>
              <w:rPr>
                <w:rFonts w:ascii="Arial" w:hAnsi="Arial"/>
                <w:sz w:val="20"/>
              </w:rPr>
              <w:t>EP</w:t>
            </w:r>
          </w:p>
        </w:tc>
      </w:tr>
      <w:tr w:rsidR="00050E07" w:rsidRPr="00A8072E" w14:paraId="29AAFB4D" w14:textId="77777777" w:rsidTr="00654BAF">
        <w:trPr>
          <w:cantSplit/>
          <w:trHeight w:val="692"/>
        </w:trPr>
        <w:tc>
          <w:tcPr>
            <w:tcW w:w="583" w:type="pct"/>
            <w:vMerge/>
            <w:tcBorders>
              <w:bottom w:val="single" w:sz="4" w:space="0" w:color="auto"/>
            </w:tcBorders>
            <w:shd w:val="clear" w:color="auto" w:fill="auto"/>
            <w:vAlign w:val="center"/>
          </w:tcPr>
          <w:p w14:paraId="764DACDE" w14:textId="77777777" w:rsidR="00050E07" w:rsidRPr="00A8072E" w:rsidRDefault="00050E07" w:rsidP="00654BAF">
            <w:pPr>
              <w:spacing w:before="60" w:after="60"/>
              <w:rPr>
                <w:rFonts w:ascii="Arial" w:hAnsi="Arial"/>
                <w:b/>
                <w:sz w:val="20"/>
                <w:szCs w:val="20"/>
              </w:rPr>
            </w:pPr>
          </w:p>
        </w:tc>
        <w:tc>
          <w:tcPr>
            <w:tcW w:w="1118" w:type="pct"/>
            <w:vMerge/>
            <w:tcBorders>
              <w:bottom w:val="single" w:sz="4" w:space="0" w:color="auto"/>
            </w:tcBorders>
            <w:shd w:val="clear" w:color="auto" w:fill="auto"/>
            <w:vAlign w:val="center"/>
          </w:tcPr>
          <w:p w14:paraId="1CEDA4C1"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tcBorders>
              <w:bottom w:val="single" w:sz="4" w:space="0" w:color="auto"/>
            </w:tcBorders>
            <w:shd w:val="clear" w:color="auto" w:fill="auto"/>
            <w:vAlign w:val="center"/>
          </w:tcPr>
          <w:p w14:paraId="63D64D5D" w14:textId="77777777" w:rsidR="00050E07" w:rsidRPr="00A8072E" w:rsidRDefault="00050E07" w:rsidP="00050E07">
            <w:pPr>
              <w:numPr>
                <w:ilvl w:val="1"/>
                <w:numId w:val="34"/>
              </w:numPr>
              <w:spacing w:before="60" w:after="60" w:line="240" w:lineRule="auto"/>
              <w:ind w:left="567" w:hanging="567"/>
              <w:rPr>
                <w:rFonts w:ascii="Arial" w:eastAsia="Calibri" w:hAnsi="Arial"/>
                <w:sz w:val="20"/>
                <w:szCs w:val="20"/>
              </w:rPr>
            </w:pPr>
            <w:r>
              <w:rPr>
                <w:rFonts w:ascii="Arial" w:hAnsi="Arial"/>
                <w:sz w:val="20"/>
              </w:rPr>
              <w:t>Las actividades de sensibilización respetan los principios éticos, en particular aquellos plasmados en los códigos o normas profesionales.</w:t>
            </w:r>
          </w:p>
        </w:tc>
        <w:tc>
          <w:tcPr>
            <w:tcW w:w="118" w:type="pct"/>
            <w:tcBorders>
              <w:top w:val="nil"/>
              <w:bottom w:val="nil"/>
            </w:tcBorders>
            <w:shd w:val="clear" w:color="auto" w:fill="auto"/>
            <w:vAlign w:val="center"/>
          </w:tcPr>
          <w:p w14:paraId="2F62CD0A" w14:textId="77777777" w:rsidR="00050E07" w:rsidRPr="00A8072E" w:rsidRDefault="00050E07" w:rsidP="00654BAF">
            <w:pPr>
              <w:spacing w:before="60" w:after="60"/>
              <w:rPr>
                <w:rFonts w:ascii="Arial" w:hAnsi="Arial"/>
                <w:sz w:val="20"/>
                <w:szCs w:val="20"/>
              </w:rPr>
            </w:pPr>
          </w:p>
        </w:tc>
        <w:tc>
          <w:tcPr>
            <w:tcW w:w="613" w:type="pct"/>
            <w:tcBorders>
              <w:bottom w:val="single" w:sz="4" w:space="0" w:color="auto"/>
            </w:tcBorders>
            <w:shd w:val="clear" w:color="auto" w:fill="auto"/>
            <w:vAlign w:val="center"/>
          </w:tcPr>
          <w:p w14:paraId="7C60D3D1" w14:textId="77777777" w:rsidR="00050E07" w:rsidRPr="00A8072E" w:rsidRDefault="00050E07" w:rsidP="00654BAF">
            <w:pPr>
              <w:spacing w:before="60" w:after="60"/>
              <w:rPr>
                <w:rFonts w:ascii="Arial" w:hAnsi="Arial"/>
                <w:sz w:val="20"/>
                <w:szCs w:val="20"/>
              </w:rPr>
            </w:pPr>
            <w:r>
              <w:rPr>
                <w:rFonts w:ascii="Arial" w:hAnsi="Arial"/>
                <w:sz w:val="20"/>
              </w:rPr>
              <w:t>DO 103</w:t>
            </w:r>
          </w:p>
        </w:tc>
      </w:tr>
      <w:tr w:rsidR="00050E07" w:rsidRPr="00904689" w14:paraId="310ABC35" w14:textId="77777777" w:rsidTr="00654BAF">
        <w:trPr>
          <w:cantSplit/>
        </w:trPr>
        <w:tc>
          <w:tcPr>
            <w:tcW w:w="583" w:type="pct"/>
            <w:vMerge w:val="restart"/>
            <w:shd w:val="clear" w:color="auto" w:fill="auto"/>
            <w:vAlign w:val="center"/>
          </w:tcPr>
          <w:p w14:paraId="1F7794E9" w14:textId="77777777" w:rsidR="00050E07" w:rsidRPr="00A8072E" w:rsidRDefault="00050E07" w:rsidP="00654BAF">
            <w:pPr>
              <w:spacing w:before="60" w:after="60"/>
              <w:rPr>
                <w:rFonts w:ascii="Arial" w:hAnsi="Arial"/>
                <w:b/>
                <w:sz w:val="20"/>
                <w:szCs w:val="20"/>
              </w:rPr>
            </w:pPr>
            <w:r>
              <w:rPr>
                <w:rFonts w:ascii="Arial" w:hAnsi="Arial"/>
                <w:b/>
                <w:sz w:val="20"/>
              </w:rPr>
              <w:t>Participación de las comunidades, los grupos y los individuos así como de otros actores interesados</w:t>
            </w:r>
          </w:p>
        </w:tc>
        <w:tc>
          <w:tcPr>
            <w:tcW w:w="1118" w:type="pct"/>
            <w:vMerge w:val="restart"/>
            <w:shd w:val="clear" w:color="auto" w:fill="auto"/>
            <w:vAlign w:val="center"/>
          </w:tcPr>
          <w:p w14:paraId="4998839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sidRPr="00995F7C">
              <w:rPr>
                <w:rFonts w:ascii="Arial" w:hAnsi="Arial"/>
                <w:sz w:val="20"/>
              </w:rPr>
              <w:t xml:space="preserve">Grado en el que </w:t>
            </w:r>
            <w:r w:rsidRPr="00D42CFA">
              <w:rPr>
                <w:rFonts w:ascii="Arial" w:hAnsi="Arial"/>
                <w:sz w:val="20"/>
              </w:rPr>
              <w:t>el compromiso de los actores involucrados se fortalece con miras</w:t>
            </w:r>
            <w:r w:rsidRPr="00995F7C">
              <w:rPr>
                <w:rFonts w:ascii="Arial" w:hAnsi="Arial"/>
                <w:sz w:val="20"/>
              </w:rPr>
              <w:t xml:space="preserve"> para salvaguardar el PCI</w:t>
            </w:r>
            <w:r>
              <w:rPr>
                <w:rFonts w:ascii="Arial" w:hAnsi="Arial"/>
                <w:sz w:val="20"/>
              </w:rPr>
              <w:t xml:space="preserve"> </w:t>
            </w:r>
          </w:p>
        </w:tc>
        <w:tc>
          <w:tcPr>
            <w:tcW w:w="2568" w:type="pct"/>
            <w:shd w:val="clear" w:color="auto" w:fill="auto"/>
            <w:vAlign w:val="center"/>
          </w:tcPr>
          <w:p w14:paraId="7AFDF71F" w14:textId="77777777" w:rsidR="00050E07" w:rsidRPr="00A8072E" w:rsidRDefault="00050E07" w:rsidP="00050E07">
            <w:pPr>
              <w:numPr>
                <w:ilvl w:val="1"/>
                <w:numId w:val="35"/>
              </w:numPr>
              <w:spacing w:before="60" w:after="60" w:line="240" w:lineRule="auto"/>
              <w:ind w:left="567" w:hanging="567"/>
              <w:rPr>
                <w:rFonts w:ascii="Arial" w:eastAsia="Calibri" w:hAnsi="Arial"/>
                <w:vanish/>
                <w:sz w:val="20"/>
                <w:szCs w:val="20"/>
              </w:rPr>
            </w:pPr>
            <w:r>
              <w:rPr>
                <w:rFonts w:ascii="Arial" w:hAnsi="Arial"/>
                <w:sz w:val="20"/>
              </w:rPr>
              <w:t>Las comunidades, los grupos y los individuos participan, sobre una base inclusiva y de la manera más amplia posible, en la salvaguardia del PCI de manera general así como en la salvaguardia de elementos específicos del PCI, independientemente de si están o no inscritos.</w:t>
            </w:r>
          </w:p>
        </w:tc>
        <w:tc>
          <w:tcPr>
            <w:tcW w:w="118" w:type="pct"/>
            <w:tcBorders>
              <w:top w:val="nil"/>
              <w:bottom w:val="nil"/>
            </w:tcBorders>
            <w:shd w:val="clear" w:color="auto" w:fill="auto"/>
            <w:vAlign w:val="center"/>
          </w:tcPr>
          <w:p w14:paraId="7BFE5F56"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89C68D7"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Artículo 15</w:t>
            </w:r>
          </w:p>
          <w:p w14:paraId="536EF106"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 xml:space="preserve">DO 1, DO 2, </w:t>
            </w:r>
            <w:r w:rsidRPr="006C7EFA">
              <w:rPr>
                <w:lang w:val="pt-PT"/>
              </w:rPr>
              <w:br/>
            </w:r>
            <w:r w:rsidRPr="006C7EFA">
              <w:rPr>
                <w:rFonts w:ascii="Arial" w:hAnsi="Arial"/>
                <w:sz w:val="20"/>
                <w:lang w:val="pt-PT"/>
              </w:rPr>
              <w:t>DO 7, DO 79,</w:t>
            </w:r>
            <w:r w:rsidRPr="006C7EFA">
              <w:rPr>
                <w:lang w:val="pt-PT"/>
              </w:rPr>
              <w:br/>
            </w:r>
            <w:r w:rsidRPr="006C7EFA">
              <w:rPr>
                <w:rFonts w:ascii="Arial" w:hAnsi="Arial"/>
                <w:sz w:val="20"/>
                <w:lang w:val="pt-PT"/>
              </w:rPr>
              <w:t xml:space="preserve">DO 101(b), </w:t>
            </w:r>
            <w:r w:rsidRPr="006C7EFA">
              <w:rPr>
                <w:lang w:val="pt-PT"/>
              </w:rPr>
              <w:br/>
            </w:r>
            <w:r w:rsidRPr="006C7EFA">
              <w:rPr>
                <w:rFonts w:ascii="Arial" w:hAnsi="Arial"/>
                <w:sz w:val="20"/>
                <w:lang w:val="pt-PT"/>
              </w:rPr>
              <w:t>DO 171(a)</w:t>
            </w:r>
          </w:p>
          <w:p w14:paraId="622142C0" w14:textId="77777777" w:rsidR="00050E07" w:rsidRPr="00A8072E" w:rsidRDefault="00050E07" w:rsidP="00654BAF">
            <w:pPr>
              <w:spacing w:before="60" w:after="60"/>
              <w:rPr>
                <w:rFonts w:ascii="Arial" w:hAnsi="Arial"/>
                <w:sz w:val="20"/>
                <w:szCs w:val="20"/>
              </w:rPr>
            </w:pPr>
            <w:r>
              <w:rPr>
                <w:rFonts w:ascii="Arial" w:hAnsi="Arial"/>
                <w:sz w:val="20"/>
              </w:rPr>
              <w:t>EP 1, EP 2, EP 9</w:t>
            </w:r>
          </w:p>
        </w:tc>
      </w:tr>
      <w:tr w:rsidR="00050E07" w:rsidRPr="00545DF2" w14:paraId="518C7F5A" w14:textId="77777777" w:rsidTr="00654BAF">
        <w:trPr>
          <w:cantSplit/>
        </w:trPr>
        <w:tc>
          <w:tcPr>
            <w:tcW w:w="583" w:type="pct"/>
            <w:vMerge/>
            <w:shd w:val="clear" w:color="auto" w:fill="auto"/>
            <w:vAlign w:val="center"/>
          </w:tcPr>
          <w:p w14:paraId="03E30BC8"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847B8EB"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328DF13B" w14:textId="77777777" w:rsidR="00050E07" w:rsidRPr="00A8072E" w:rsidRDefault="00050E07" w:rsidP="00050E07">
            <w:pPr>
              <w:numPr>
                <w:ilvl w:val="1"/>
                <w:numId w:val="35"/>
              </w:numPr>
              <w:spacing w:before="60" w:after="60" w:line="240" w:lineRule="auto"/>
              <w:ind w:left="567" w:hanging="567"/>
              <w:rPr>
                <w:rFonts w:ascii="Arial" w:eastAsia="Calibri" w:hAnsi="Arial"/>
                <w:sz w:val="20"/>
                <w:szCs w:val="20"/>
              </w:rPr>
            </w:pPr>
            <w:r>
              <w:rPr>
                <w:rFonts w:ascii="Arial" w:hAnsi="Arial"/>
                <w:sz w:val="20"/>
              </w:rPr>
              <w:t>ONG y otros actores de la sociedad civil participan en la salvaguardia del PCI en general y en el de elementos específicos del PCI, independientemente de si están o no inscritos.</w:t>
            </w:r>
          </w:p>
        </w:tc>
        <w:tc>
          <w:tcPr>
            <w:tcW w:w="118" w:type="pct"/>
            <w:tcBorders>
              <w:top w:val="nil"/>
              <w:bottom w:val="nil"/>
            </w:tcBorders>
            <w:shd w:val="clear" w:color="auto" w:fill="auto"/>
            <w:vAlign w:val="center"/>
          </w:tcPr>
          <w:p w14:paraId="0A6C207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125C892" w14:textId="77777777" w:rsidR="00050E07" w:rsidRPr="006C7EFA" w:rsidRDefault="00050E07" w:rsidP="00654BAF">
            <w:pPr>
              <w:spacing w:before="60" w:after="60"/>
              <w:rPr>
                <w:rFonts w:ascii="Arial" w:hAnsi="Arial"/>
                <w:sz w:val="20"/>
                <w:szCs w:val="20"/>
                <w:lang w:val="pt-PT"/>
              </w:rPr>
            </w:pPr>
            <w:r w:rsidRPr="006C7EFA">
              <w:rPr>
                <w:rFonts w:ascii="Arial" w:hAnsi="Arial"/>
                <w:sz w:val="20"/>
                <w:lang w:val="pt-PT"/>
              </w:rPr>
              <w:t>DO 90,</w:t>
            </w:r>
            <w:r w:rsidRPr="006C7EFA">
              <w:rPr>
                <w:lang w:val="pt-PT"/>
              </w:rPr>
              <w:br/>
            </w:r>
            <w:r w:rsidRPr="006C7EFA">
              <w:rPr>
                <w:rFonts w:ascii="Arial" w:hAnsi="Arial"/>
                <w:sz w:val="20"/>
                <w:lang w:val="pt-PT"/>
              </w:rPr>
              <w:t>DO 108,</w:t>
            </w:r>
            <w:r w:rsidRPr="006C7EFA">
              <w:rPr>
                <w:lang w:val="pt-PT"/>
              </w:rPr>
              <w:br/>
            </w:r>
            <w:r w:rsidRPr="006C7EFA">
              <w:rPr>
                <w:rFonts w:ascii="Arial" w:hAnsi="Arial"/>
                <w:sz w:val="20"/>
                <w:lang w:val="pt-PT"/>
              </w:rPr>
              <w:t xml:space="preserve">DO 157(e), </w:t>
            </w:r>
            <w:r w:rsidRPr="006C7EFA">
              <w:rPr>
                <w:lang w:val="pt-PT"/>
              </w:rPr>
              <w:br/>
            </w:r>
            <w:r w:rsidRPr="006C7EFA">
              <w:rPr>
                <w:rFonts w:ascii="Arial" w:hAnsi="Arial"/>
                <w:sz w:val="20"/>
                <w:lang w:val="pt-PT"/>
              </w:rPr>
              <w:t xml:space="preserve">DO 158(b), </w:t>
            </w:r>
            <w:r w:rsidRPr="006C7EFA">
              <w:rPr>
                <w:lang w:val="pt-PT"/>
              </w:rPr>
              <w:br/>
            </w:r>
            <w:r w:rsidRPr="006C7EFA">
              <w:rPr>
                <w:rFonts w:ascii="Arial" w:hAnsi="Arial"/>
                <w:sz w:val="20"/>
                <w:lang w:val="pt-PT"/>
              </w:rPr>
              <w:t xml:space="preserve">DO 162(d), </w:t>
            </w:r>
            <w:r w:rsidRPr="006C7EFA">
              <w:rPr>
                <w:lang w:val="pt-PT"/>
              </w:rPr>
              <w:br/>
            </w:r>
            <w:r w:rsidRPr="006C7EFA">
              <w:rPr>
                <w:rFonts w:ascii="Arial" w:hAnsi="Arial"/>
                <w:sz w:val="20"/>
                <w:lang w:val="pt-PT"/>
              </w:rPr>
              <w:t>DO 163(b)</w:t>
            </w:r>
          </w:p>
        </w:tc>
      </w:tr>
      <w:tr w:rsidR="00050E07" w:rsidRPr="00A8072E" w14:paraId="58F7FDE4" w14:textId="77777777" w:rsidTr="00654BAF">
        <w:trPr>
          <w:cantSplit/>
        </w:trPr>
        <w:tc>
          <w:tcPr>
            <w:tcW w:w="583" w:type="pct"/>
            <w:vMerge/>
            <w:shd w:val="clear" w:color="auto" w:fill="auto"/>
            <w:vAlign w:val="center"/>
          </w:tcPr>
          <w:p w14:paraId="15FE7258" w14:textId="77777777" w:rsidR="00050E07" w:rsidRPr="006C7EFA" w:rsidRDefault="00050E07" w:rsidP="00654BAF">
            <w:pPr>
              <w:spacing w:before="60" w:after="60"/>
              <w:rPr>
                <w:rFonts w:ascii="Arial" w:hAnsi="Arial"/>
                <w:b/>
                <w:sz w:val="20"/>
                <w:szCs w:val="20"/>
                <w:lang w:val="pt-PT"/>
              </w:rPr>
            </w:pPr>
          </w:p>
        </w:tc>
        <w:tc>
          <w:tcPr>
            <w:tcW w:w="1118" w:type="pct"/>
            <w:vMerge/>
            <w:shd w:val="clear" w:color="auto" w:fill="auto"/>
            <w:vAlign w:val="center"/>
          </w:tcPr>
          <w:p w14:paraId="5D755ADB" w14:textId="77777777" w:rsidR="00050E07" w:rsidRPr="006C7EFA" w:rsidRDefault="00050E07" w:rsidP="00050E07">
            <w:pPr>
              <w:numPr>
                <w:ilvl w:val="0"/>
                <w:numId w:val="14"/>
              </w:numPr>
              <w:spacing w:before="60" w:after="60" w:line="240" w:lineRule="auto"/>
              <w:ind w:left="370" w:hanging="370"/>
              <w:rPr>
                <w:rFonts w:ascii="Arial" w:eastAsia="Calibri" w:hAnsi="Arial"/>
                <w:sz w:val="20"/>
                <w:szCs w:val="20"/>
                <w:lang w:val="pt-PT"/>
              </w:rPr>
            </w:pPr>
          </w:p>
        </w:tc>
        <w:tc>
          <w:tcPr>
            <w:tcW w:w="2568" w:type="pct"/>
            <w:shd w:val="clear" w:color="auto" w:fill="auto"/>
            <w:vAlign w:val="center"/>
          </w:tcPr>
          <w:p w14:paraId="7A2B68EF" w14:textId="77777777" w:rsidR="00050E07" w:rsidRPr="00A8072E" w:rsidRDefault="00050E07" w:rsidP="00050E07">
            <w:pPr>
              <w:numPr>
                <w:ilvl w:val="1"/>
                <w:numId w:val="35"/>
              </w:numPr>
              <w:spacing w:before="60" w:after="60" w:line="240" w:lineRule="auto"/>
              <w:ind w:left="567" w:hanging="567"/>
              <w:rPr>
                <w:rFonts w:ascii="Arial" w:eastAsia="Calibri" w:hAnsi="Arial"/>
                <w:sz w:val="20"/>
                <w:szCs w:val="20"/>
              </w:rPr>
            </w:pPr>
            <w:r>
              <w:rPr>
                <w:rFonts w:ascii="Arial" w:hAnsi="Arial"/>
                <w:sz w:val="20"/>
              </w:rPr>
              <w:t>Entidades del sector privado participan en la salvaguardia del PCI y de elementos específicos del PCI, independientemente de si están o no inscritos, respetando los Principios Éticos de la Salvaguardia del PCI.</w:t>
            </w:r>
          </w:p>
        </w:tc>
        <w:tc>
          <w:tcPr>
            <w:tcW w:w="118" w:type="pct"/>
            <w:tcBorders>
              <w:top w:val="nil"/>
              <w:bottom w:val="nil"/>
            </w:tcBorders>
            <w:shd w:val="clear" w:color="auto" w:fill="auto"/>
            <w:vAlign w:val="center"/>
          </w:tcPr>
          <w:p w14:paraId="6E658FCF"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94AE31F" w14:textId="77777777" w:rsidR="00050E07" w:rsidRPr="00A8072E" w:rsidRDefault="00050E07" w:rsidP="00654BAF">
            <w:pPr>
              <w:spacing w:before="60" w:after="60"/>
              <w:rPr>
                <w:rFonts w:ascii="Arial" w:hAnsi="Arial"/>
                <w:sz w:val="20"/>
                <w:szCs w:val="20"/>
              </w:rPr>
            </w:pPr>
            <w:r>
              <w:rPr>
                <w:rFonts w:ascii="Arial" w:hAnsi="Arial"/>
                <w:sz w:val="20"/>
              </w:rPr>
              <w:t>DO 187</w:t>
            </w:r>
          </w:p>
        </w:tc>
      </w:tr>
      <w:tr w:rsidR="00050E07" w:rsidRPr="00B86AF3" w14:paraId="67EF40FF" w14:textId="77777777" w:rsidTr="00654BAF">
        <w:trPr>
          <w:cantSplit/>
        </w:trPr>
        <w:tc>
          <w:tcPr>
            <w:tcW w:w="583" w:type="pct"/>
            <w:vMerge/>
            <w:shd w:val="clear" w:color="auto" w:fill="auto"/>
            <w:vAlign w:val="center"/>
          </w:tcPr>
          <w:p w14:paraId="3CD407AB"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2D36FDEB"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Grado en el que la sociedad civil contribuye al monitoreo de la salvaguardia del PCI.</w:t>
            </w:r>
          </w:p>
        </w:tc>
        <w:tc>
          <w:tcPr>
            <w:tcW w:w="2568" w:type="pct"/>
            <w:shd w:val="clear" w:color="auto" w:fill="auto"/>
            <w:vAlign w:val="center"/>
          </w:tcPr>
          <w:p w14:paraId="31B7EF32" w14:textId="77777777" w:rsidR="00050E07" w:rsidRPr="00A8072E" w:rsidRDefault="00050E07" w:rsidP="00050E07">
            <w:pPr>
              <w:numPr>
                <w:ilvl w:val="1"/>
                <w:numId w:val="36"/>
              </w:numPr>
              <w:spacing w:before="60" w:after="60" w:line="240" w:lineRule="auto"/>
              <w:ind w:left="567" w:hanging="567"/>
              <w:rPr>
                <w:rFonts w:ascii="Arial" w:eastAsia="Calibri" w:hAnsi="Arial"/>
                <w:vanish/>
                <w:sz w:val="20"/>
                <w:szCs w:val="20"/>
              </w:rPr>
            </w:pPr>
            <w:r>
              <w:rPr>
                <w:rFonts w:ascii="Arial" w:hAnsi="Arial"/>
                <w:sz w:val="20"/>
              </w:rPr>
              <w:t>Entorno propicio para las comunidades, los grupos y los individuos interesados para monitorear y llevar a cabo estudios científicos, técnicos y artísticos sobre programas y medidas de salvaguardia del PCI.</w:t>
            </w:r>
          </w:p>
        </w:tc>
        <w:tc>
          <w:tcPr>
            <w:tcW w:w="118" w:type="pct"/>
            <w:tcBorders>
              <w:top w:val="nil"/>
              <w:bottom w:val="nil"/>
            </w:tcBorders>
            <w:shd w:val="clear" w:color="auto" w:fill="auto"/>
            <w:vAlign w:val="center"/>
          </w:tcPr>
          <w:p w14:paraId="78602E4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CDD1159" w14:textId="77777777" w:rsidR="00050E07" w:rsidRPr="00A8072E" w:rsidRDefault="00050E07" w:rsidP="00654BAF">
            <w:pPr>
              <w:spacing w:before="60" w:after="60"/>
              <w:rPr>
                <w:rFonts w:ascii="Arial" w:hAnsi="Arial"/>
                <w:sz w:val="20"/>
                <w:szCs w:val="20"/>
              </w:rPr>
            </w:pPr>
          </w:p>
        </w:tc>
      </w:tr>
      <w:tr w:rsidR="00050E07" w:rsidRPr="00A23A64" w14:paraId="7F48A777" w14:textId="77777777" w:rsidTr="00654BAF">
        <w:trPr>
          <w:cantSplit/>
        </w:trPr>
        <w:tc>
          <w:tcPr>
            <w:tcW w:w="583" w:type="pct"/>
            <w:vMerge/>
            <w:shd w:val="clear" w:color="auto" w:fill="auto"/>
            <w:vAlign w:val="center"/>
          </w:tcPr>
          <w:p w14:paraId="609D6348"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10F6A989"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61D2A138" w14:textId="77777777" w:rsidR="00050E07" w:rsidRPr="00A8072E" w:rsidRDefault="00050E07" w:rsidP="00050E07">
            <w:pPr>
              <w:numPr>
                <w:ilvl w:val="1"/>
                <w:numId w:val="36"/>
              </w:numPr>
              <w:spacing w:before="60" w:after="60" w:line="240" w:lineRule="auto"/>
              <w:ind w:left="567" w:hanging="567"/>
              <w:rPr>
                <w:rFonts w:ascii="Arial" w:eastAsia="Calibri" w:hAnsi="Arial"/>
                <w:sz w:val="20"/>
                <w:szCs w:val="20"/>
              </w:rPr>
            </w:pPr>
            <w:r>
              <w:rPr>
                <w:rFonts w:ascii="Arial" w:hAnsi="Arial"/>
                <w:sz w:val="20"/>
              </w:rPr>
              <w:t>Entorno propicio para ONG y otros órganos de la sociedad civil para monitorear y llevar a cabo estudios científicos, técnicos y artísticos sobre programas y medidas de salvaguardia del PCI.</w:t>
            </w:r>
          </w:p>
        </w:tc>
        <w:tc>
          <w:tcPr>
            <w:tcW w:w="118" w:type="pct"/>
            <w:tcBorders>
              <w:top w:val="nil"/>
              <w:bottom w:val="nil"/>
            </w:tcBorders>
            <w:shd w:val="clear" w:color="auto" w:fill="auto"/>
            <w:vAlign w:val="center"/>
          </w:tcPr>
          <w:p w14:paraId="687FC0E0"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81741EC" w14:textId="77777777" w:rsidR="00050E07" w:rsidRPr="00A8072E" w:rsidRDefault="00050E07" w:rsidP="00654BAF">
            <w:pPr>
              <w:spacing w:before="60" w:after="60"/>
              <w:rPr>
                <w:rFonts w:ascii="Arial" w:hAnsi="Arial"/>
                <w:sz w:val="20"/>
                <w:szCs w:val="20"/>
              </w:rPr>
            </w:pPr>
            <w:r>
              <w:rPr>
                <w:rFonts w:ascii="Arial" w:hAnsi="Arial"/>
                <w:sz w:val="20"/>
              </w:rPr>
              <w:t xml:space="preserve">DO 83, </w:t>
            </w:r>
            <w:r>
              <w:br/>
            </w:r>
            <w:r>
              <w:rPr>
                <w:rFonts w:ascii="Arial" w:hAnsi="Arial"/>
                <w:sz w:val="20"/>
              </w:rPr>
              <w:t xml:space="preserve">DO 151, </w:t>
            </w:r>
            <w:r>
              <w:br/>
            </w:r>
            <w:r>
              <w:rPr>
                <w:rFonts w:ascii="Arial" w:hAnsi="Arial"/>
                <w:sz w:val="20"/>
              </w:rPr>
              <w:t>DO 153(b)(ii)</w:t>
            </w:r>
          </w:p>
        </w:tc>
      </w:tr>
      <w:tr w:rsidR="00050E07" w:rsidRPr="00B86AF3" w14:paraId="6C3A5D9E" w14:textId="77777777" w:rsidTr="00654BAF">
        <w:trPr>
          <w:cantSplit/>
          <w:trHeight w:val="810"/>
        </w:trPr>
        <w:tc>
          <w:tcPr>
            <w:tcW w:w="583" w:type="pct"/>
            <w:vMerge/>
            <w:shd w:val="clear" w:color="auto" w:fill="auto"/>
            <w:vAlign w:val="center"/>
          </w:tcPr>
          <w:p w14:paraId="214D6AEE"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20BF91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1060A069" w14:textId="77777777" w:rsidR="00050E07" w:rsidRPr="00A8072E" w:rsidRDefault="00050E07" w:rsidP="00050E07">
            <w:pPr>
              <w:numPr>
                <w:ilvl w:val="1"/>
                <w:numId w:val="36"/>
              </w:numPr>
              <w:spacing w:before="60" w:after="60" w:line="240" w:lineRule="auto"/>
              <w:ind w:left="567" w:hanging="567"/>
              <w:rPr>
                <w:rFonts w:ascii="Arial" w:eastAsia="Calibri" w:hAnsi="Arial"/>
                <w:sz w:val="20"/>
                <w:szCs w:val="20"/>
              </w:rPr>
            </w:pPr>
            <w:r>
              <w:rPr>
                <w:rFonts w:ascii="Arial" w:hAnsi="Arial"/>
                <w:sz w:val="20"/>
              </w:rPr>
              <w:t>Entorno propicio para académicos, expertos, instituciones de investigación y centros de competencia para monitorear y llevar a cabo estudios científicos, técnicos y artísticos sobre programas y medidas de salvaguardia del PCI.</w:t>
            </w:r>
          </w:p>
        </w:tc>
        <w:tc>
          <w:tcPr>
            <w:tcW w:w="118" w:type="pct"/>
            <w:tcBorders>
              <w:top w:val="nil"/>
              <w:bottom w:val="nil"/>
            </w:tcBorders>
            <w:shd w:val="clear" w:color="auto" w:fill="auto"/>
            <w:vAlign w:val="center"/>
          </w:tcPr>
          <w:p w14:paraId="65F68B92"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3E555F6B" w14:textId="77777777" w:rsidR="00050E07" w:rsidRPr="00A8072E" w:rsidRDefault="00050E07" w:rsidP="00654BAF">
            <w:pPr>
              <w:spacing w:before="60" w:after="60"/>
              <w:rPr>
                <w:rFonts w:ascii="Arial" w:hAnsi="Arial"/>
                <w:sz w:val="20"/>
                <w:szCs w:val="20"/>
              </w:rPr>
            </w:pPr>
          </w:p>
        </w:tc>
      </w:tr>
      <w:tr w:rsidR="00050E07" w:rsidRPr="00A8072E" w14:paraId="274D4174" w14:textId="77777777" w:rsidTr="00654BAF">
        <w:trPr>
          <w:cantSplit/>
          <w:trHeight w:val="710"/>
        </w:trPr>
        <w:tc>
          <w:tcPr>
            <w:tcW w:w="583" w:type="pct"/>
            <w:vMerge w:val="restart"/>
            <w:shd w:val="clear" w:color="auto" w:fill="auto"/>
            <w:vAlign w:val="center"/>
          </w:tcPr>
          <w:p w14:paraId="162656C2" w14:textId="77777777" w:rsidR="00050E07" w:rsidRPr="00A8072E" w:rsidRDefault="00050E07" w:rsidP="00654BAF">
            <w:pPr>
              <w:spacing w:before="60" w:after="60"/>
              <w:rPr>
                <w:rFonts w:ascii="Arial" w:hAnsi="Arial"/>
                <w:b/>
                <w:sz w:val="20"/>
                <w:szCs w:val="20"/>
              </w:rPr>
            </w:pPr>
            <w:r>
              <w:rPr>
                <w:rFonts w:ascii="Arial" w:hAnsi="Arial"/>
                <w:b/>
                <w:sz w:val="20"/>
              </w:rPr>
              <w:t>Participación internacional</w:t>
            </w:r>
          </w:p>
        </w:tc>
        <w:tc>
          <w:tcPr>
            <w:tcW w:w="1118" w:type="pct"/>
            <w:vMerge w:val="restart"/>
            <w:shd w:val="clear" w:color="auto" w:fill="auto"/>
            <w:vAlign w:val="center"/>
          </w:tcPr>
          <w:p w14:paraId="57DB1ABB"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Cantidad y distribución geográfica de ONG, organismos públicos y privados y personas particulares que el Comité ha involucrado en calidad de consultores o asesores.</w:t>
            </w:r>
            <w:r>
              <w:rPr>
                <w:rFonts w:ascii="Arial" w:hAnsi="Arial"/>
                <w:sz w:val="20"/>
                <w:vertAlign w:val="superscript"/>
              </w:rPr>
              <w:footnoteReference w:id="16"/>
            </w:r>
          </w:p>
        </w:tc>
        <w:tc>
          <w:tcPr>
            <w:tcW w:w="2568" w:type="pct"/>
            <w:shd w:val="clear" w:color="auto" w:fill="auto"/>
            <w:vAlign w:val="center"/>
          </w:tcPr>
          <w:p w14:paraId="0B9D5200" w14:textId="77777777" w:rsidR="00050E07" w:rsidRPr="00A8072E" w:rsidRDefault="00050E07" w:rsidP="00050E07">
            <w:pPr>
              <w:numPr>
                <w:ilvl w:val="1"/>
                <w:numId w:val="37"/>
              </w:numPr>
              <w:spacing w:before="60" w:after="60" w:line="240" w:lineRule="auto"/>
              <w:ind w:left="567" w:hanging="567"/>
              <w:rPr>
                <w:rFonts w:ascii="Arial" w:eastAsia="Calibri" w:hAnsi="Arial"/>
                <w:vanish/>
                <w:sz w:val="20"/>
                <w:szCs w:val="20"/>
              </w:rPr>
            </w:pPr>
            <w:r>
              <w:rPr>
                <w:rFonts w:ascii="Arial" w:hAnsi="Arial"/>
                <w:sz w:val="20"/>
              </w:rPr>
              <w:t>Número de ONG acreditadas que proporcionen servicios de consultoría, su distribución geográfica y su representación de distintos ámbitos.</w:t>
            </w:r>
          </w:p>
        </w:tc>
        <w:tc>
          <w:tcPr>
            <w:tcW w:w="118" w:type="pct"/>
            <w:tcBorders>
              <w:top w:val="nil"/>
              <w:bottom w:val="nil"/>
            </w:tcBorders>
            <w:shd w:val="clear" w:color="auto" w:fill="auto"/>
            <w:vAlign w:val="center"/>
          </w:tcPr>
          <w:p w14:paraId="2D5F8A3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5462D02" w14:textId="77777777" w:rsidR="00050E07" w:rsidRPr="00A8072E" w:rsidRDefault="00050E07" w:rsidP="00654BAF">
            <w:pPr>
              <w:spacing w:before="60" w:after="60"/>
              <w:rPr>
                <w:rFonts w:ascii="Arial" w:hAnsi="Arial"/>
                <w:sz w:val="20"/>
                <w:szCs w:val="20"/>
              </w:rPr>
            </w:pPr>
            <w:r>
              <w:rPr>
                <w:rFonts w:ascii="Arial" w:hAnsi="Arial"/>
                <w:sz w:val="20"/>
              </w:rPr>
              <w:t>Artículo 9</w:t>
            </w:r>
          </w:p>
          <w:p w14:paraId="30397514" w14:textId="77777777" w:rsidR="00050E07" w:rsidRPr="00A8072E" w:rsidRDefault="00050E07" w:rsidP="00654BAF">
            <w:pPr>
              <w:spacing w:before="60" w:after="60"/>
              <w:rPr>
                <w:rFonts w:ascii="Arial" w:hAnsi="Arial"/>
                <w:sz w:val="20"/>
                <w:szCs w:val="20"/>
              </w:rPr>
            </w:pPr>
            <w:r>
              <w:rPr>
                <w:rFonts w:ascii="Arial" w:hAnsi="Arial"/>
                <w:sz w:val="20"/>
              </w:rPr>
              <w:t>DO 93</w:t>
            </w:r>
          </w:p>
        </w:tc>
      </w:tr>
      <w:tr w:rsidR="00050E07" w:rsidRPr="009C5096" w14:paraId="01F2D212" w14:textId="77777777" w:rsidTr="00654BAF">
        <w:trPr>
          <w:cantSplit/>
        </w:trPr>
        <w:tc>
          <w:tcPr>
            <w:tcW w:w="583" w:type="pct"/>
            <w:vMerge/>
            <w:shd w:val="clear" w:color="auto" w:fill="auto"/>
            <w:vAlign w:val="center"/>
          </w:tcPr>
          <w:p w14:paraId="59D4DA07"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55BD250B"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5443036B" w14:textId="77777777" w:rsidR="00050E07" w:rsidRPr="00A8072E" w:rsidRDefault="00050E07" w:rsidP="00050E07">
            <w:pPr>
              <w:numPr>
                <w:ilvl w:val="1"/>
                <w:numId w:val="37"/>
              </w:numPr>
              <w:spacing w:before="60" w:after="60" w:line="240" w:lineRule="auto"/>
              <w:ind w:left="567" w:hanging="567"/>
              <w:rPr>
                <w:rFonts w:ascii="Arial" w:eastAsia="Calibri" w:hAnsi="Arial"/>
                <w:sz w:val="20"/>
                <w:szCs w:val="20"/>
              </w:rPr>
            </w:pPr>
            <w:r>
              <w:rPr>
                <w:rFonts w:ascii="Arial" w:hAnsi="Arial"/>
                <w:sz w:val="20"/>
              </w:rPr>
              <w:t>Porcentaje de ONG acreditadas que participan en las sesiones y grupos de trabajo de los órganos rectores de la Convención y su distribución geográfica.</w:t>
            </w:r>
          </w:p>
        </w:tc>
        <w:tc>
          <w:tcPr>
            <w:tcW w:w="118" w:type="pct"/>
            <w:tcBorders>
              <w:top w:val="nil"/>
              <w:bottom w:val="nil"/>
            </w:tcBorders>
            <w:shd w:val="clear" w:color="auto" w:fill="auto"/>
            <w:vAlign w:val="center"/>
          </w:tcPr>
          <w:p w14:paraId="29E6F35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1C1237C9" w14:textId="77777777" w:rsidR="00050E07" w:rsidRPr="00A8072E" w:rsidRDefault="00050E07" w:rsidP="00654BAF">
            <w:pPr>
              <w:spacing w:before="60" w:after="60"/>
              <w:rPr>
                <w:rFonts w:ascii="Arial" w:hAnsi="Arial"/>
                <w:sz w:val="20"/>
                <w:szCs w:val="20"/>
              </w:rPr>
            </w:pPr>
          </w:p>
        </w:tc>
      </w:tr>
      <w:tr w:rsidR="00050E07" w:rsidRPr="00A8072E" w14:paraId="62F14151" w14:textId="77777777" w:rsidTr="00654BAF">
        <w:trPr>
          <w:cantSplit/>
        </w:trPr>
        <w:tc>
          <w:tcPr>
            <w:tcW w:w="583" w:type="pct"/>
            <w:vMerge/>
            <w:shd w:val="clear" w:color="auto" w:fill="auto"/>
            <w:vAlign w:val="center"/>
          </w:tcPr>
          <w:p w14:paraId="5B71AAEB"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2B6E3EC"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2D52AA74" w14:textId="77777777" w:rsidR="00050E07" w:rsidRPr="00A8072E" w:rsidRDefault="00050E07" w:rsidP="00050E07">
            <w:pPr>
              <w:numPr>
                <w:ilvl w:val="1"/>
                <w:numId w:val="37"/>
              </w:numPr>
              <w:spacing w:before="60" w:after="60" w:line="240" w:lineRule="auto"/>
              <w:ind w:left="567" w:hanging="567"/>
              <w:rPr>
                <w:rFonts w:ascii="Arial" w:eastAsia="Calibri" w:hAnsi="Arial"/>
                <w:sz w:val="20"/>
                <w:szCs w:val="20"/>
              </w:rPr>
            </w:pPr>
            <w:r>
              <w:rPr>
                <w:rFonts w:ascii="Arial" w:hAnsi="Arial"/>
                <w:sz w:val="20"/>
              </w:rPr>
              <w:t>Número de ocasiones y actividades en las que el Comité involucra a ONG acreditadas con fines consultivos, más allá de los mecanismos de evaluación.</w:t>
            </w:r>
          </w:p>
        </w:tc>
        <w:tc>
          <w:tcPr>
            <w:tcW w:w="118" w:type="pct"/>
            <w:tcBorders>
              <w:top w:val="nil"/>
              <w:bottom w:val="nil"/>
            </w:tcBorders>
            <w:shd w:val="clear" w:color="auto" w:fill="auto"/>
            <w:vAlign w:val="center"/>
          </w:tcPr>
          <w:p w14:paraId="5761F630"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42E654E" w14:textId="77777777" w:rsidR="00050E07" w:rsidRPr="00A8072E" w:rsidRDefault="00050E07" w:rsidP="00654BAF">
            <w:pPr>
              <w:spacing w:before="60" w:after="60"/>
              <w:rPr>
                <w:rFonts w:ascii="Arial" w:hAnsi="Arial"/>
                <w:sz w:val="20"/>
                <w:szCs w:val="20"/>
              </w:rPr>
            </w:pPr>
            <w:r>
              <w:rPr>
                <w:rFonts w:ascii="Arial" w:hAnsi="Arial"/>
                <w:sz w:val="20"/>
              </w:rPr>
              <w:t>Artículo 8</w:t>
            </w:r>
          </w:p>
        </w:tc>
      </w:tr>
      <w:tr w:rsidR="00050E07" w:rsidRPr="00A8072E" w14:paraId="461AEF46" w14:textId="77777777" w:rsidTr="00654BAF">
        <w:trPr>
          <w:cantSplit/>
        </w:trPr>
        <w:tc>
          <w:tcPr>
            <w:tcW w:w="583" w:type="pct"/>
            <w:vMerge/>
            <w:shd w:val="clear" w:color="auto" w:fill="auto"/>
            <w:vAlign w:val="center"/>
          </w:tcPr>
          <w:p w14:paraId="5C63B46A"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780D273D"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r>
              <w:rPr>
                <w:rFonts w:ascii="Arial" w:hAnsi="Arial"/>
                <w:sz w:val="20"/>
              </w:rPr>
              <w:t>Porcentaje de Estados Partes comprometidos de manera activa con otros Estados Partes en la cooperación para la salvaguardia</w:t>
            </w:r>
          </w:p>
        </w:tc>
        <w:tc>
          <w:tcPr>
            <w:tcW w:w="2568" w:type="pct"/>
            <w:shd w:val="clear" w:color="auto" w:fill="auto"/>
            <w:vAlign w:val="center"/>
          </w:tcPr>
          <w:p w14:paraId="2BA73C1C" w14:textId="77777777" w:rsidR="00050E07" w:rsidRPr="00A8072E" w:rsidRDefault="00050E07" w:rsidP="00050E07">
            <w:pPr>
              <w:numPr>
                <w:ilvl w:val="1"/>
                <w:numId w:val="38"/>
              </w:numPr>
              <w:spacing w:before="60" w:after="60" w:line="240" w:lineRule="auto"/>
              <w:ind w:left="567" w:hanging="567"/>
              <w:rPr>
                <w:rFonts w:ascii="Arial" w:eastAsia="Calibri" w:hAnsi="Arial"/>
                <w:vanish/>
                <w:sz w:val="20"/>
                <w:szCs w:val="20"/>
              </w:rPr>
            </w:pPr>
            <w:r>
              <w:rPr>
                <w:rFonts w:ascii="Arial" w:hAnsi="Arial"/>
                <w:sz w:val="20"/>
              </w:rPr>
              <w:t xml:space="preserve">La cooperación bilateral, multilateral, regional o internacional se lleva a cabo para aplicar medidas de salvaguardia del PCI en general </w:t>
            </w:r>
          </w:p>
        </w:tc>
        <w:tc>
          <w:tcPr>
            <w:tcW w:w="118" w:type="pct"/>
            <w:tcBorders>
              <w:top w:val="nil"/>
              <w:bottom w:val="nil"/>
            </w:tcBorders>
            <w:shd w:val="clear" w:color="auto" w:fill="auto"/>
            <w:vAlign w:val="center"/>
          </w:tcPr>
          <w:p w14:paraId="49B9B5D8"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481F7BB" w14:textId="77777777" w:rsidR="00050E07" w:rsidRPr="00A8072E" w:rsidRDefault="00050E07" w:rsidP="00654BAF">
            <w:pPr>
              <w:spacing w:before="60" w:after="60"/>
              <w:rPr>
                <w:rFonts w:ascii="Arial" w:hAnsi="Arial"/>
                <w:sz w:val="20"/>
                <w:szCs w:val="20"/>
              </w:rPr>
            </w:pPr>
            <w:r>
              <w:rPr>
                <w:rFonts w:ascii="Arial" w:hAnsi="Arial"/>
                <w:sz w:val="20"/>
              </w:rPr>
              <w:t>Artículo 19</w:t>
            </w:r>
          </w:p>
          <w:p w14:paraId="3909C016" w14:textId="77777777" w:rsidR="00050E07" w:rsidRPr="00A8072E" w:rsidRDefault="00050E07" w:rsidP="00654BAF">
            <w:pPr>
              <w:spacing w:before="60" w:after="60"/>
              <w:rPr>
                <w:rFonts w:ascii="Arial" w:hAnsi="Arial"/>
                <w:sz w:val="20"/>
                <w:szCs w:val="20"/>
              </w:rPr>
            </w:pPr>
            <w:r>
              <w:rPr>
                <w:rFonts w:ascii="Arial" w:hAnsi="Arial"/>
                <w:sz w:val="20"/>
              </w:rPr>
              <w:t>DO 86</w:t>
            </w:r>
          </w:p>
        </w:tc>
      </w:tr>
      <w:tr w:rsidR="00050E07" w:rsidRPr="00B86AF3" w14:paraId="17101D83" w14:textId="77777777" w:rsidTr="00654BAF">
        <w:trPr>
          <w:cantSplit/>
        </w:trPr>
        <w:tc>
          <w:tcPr>
            <w:tcW w:w="583" w:type="pct"/>
            <w:vMerge/>
            <w:shd w:val="clear" w:color="auto" w:fill="auto"/>
            <w:vAlign w:val="center"/>
          </w:tcPr>
          <w:p w14:paraId="125A1DC2"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26346056"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2609A4F" w14:textId="77777777" w:rsidR="00050E07" w:rsidRPr="00A8072E" w:rsidRDefault="00050E07" w:rsidP="00050E07">
            <w:pPr>
              <w:numPr>
                <w:ilvl w:val="1"/>
                <w:numId w:val="38"/>
              </w:numPr>
              <w:spacing w:before="60" w:after="60" w:line="240" w:lineRule="auto"/>
              <w:ind w:left="567" w:hanging="567"/>
              <w:rPr>
                <w:rFonts w:ascii="Arial" w:eastAsia="Calibri" w:hAnsi="Arial"/>
                <w:sz w:val="20"/>
                <w:szCs w:val="20"/>
              </w:rPr>
            </w:pPr>
            <w:r>
              <w:rPr>
                <w:rFonts w:ascii="Arial" w:hAnsi="Arial"/>
                <w:sz w:val="20"/>
              </w:rPr>
              <w:t>La cooperación bilateral, multilateral, regional o internacional se lleva a cabo para aplicar medidas de salvaguardia de elementos específicos del PCI, en especial aquellos que estén en peligro, se encuentren en territorios de más de un Estado y que sean elementos transfronterizos.</w:t>
            </w:r>
          </w:p>
        </w:tc>
        <w:tc>
          <w:tcPr>
            <w:tcW w:w="118" w:type="pct"/>
            <w:tcBorders>
              <w:top w:val="nil"/>
              <w:bottom w:val="nil"/>
            </w:tcBorders>
            <w:shd w:val="clear" w:color="auto" w:fill="auto"/>
            <w:vAlign w:val="center"/>
          </w:tcPr>
          <w:p w14:paraId="0F0CA51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3261568" w14:textId="77777777" w:rsidR="00050E07" w:rsidRPr="00A8072E" w:rsidRDefault="00050E07" w:rsidP="00654BAF">
            <w:pPr>
              <w:spacing w:before="60" w:after="60"/>
              <w:rPr>
                <w:rFonts w:ascii="Arial" w:hAnsi="Arial"/>
                <w:sz w:val="20"/>
                <w:szCs w:val="20"/>
              </w:rPr>
            </w:pPr>
          </w:p>
        </w:tc>
      </w:tr>
      <w:tr w:rsidR="00050E07" w:rsidRPr="00A23A64" w14:paraId="637F8A60" w14:textId="77777777" w:rsidTr="00654BAF">
        <w:trPr>
          <w:cantSplit/>
        </w:trPr>
        <w:tc>
          <w:tcPr>
            <w:tcW w:w="583" w:type="pct"/>
            <w:vMerge/>
            <w:shd w:val="clear" w:color="auto" w:fill="auto"/>
            <w:vAlign w:val="center"/>
          </w:tcPr>
          <w:p w14:paraId="6048DF43"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66AA01C7"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23131379" w14:textId="77777777" w:rsidR="00050E07" w:rsidRPr="00D42CFA" w:rsidRDefault="00050E07" w:rsidP="00050E07">
            <w:pPr>
              <w:numPr>
                <w:ilvl w:val="1"/>
                <w:numId w:val="38"/>
              </w:numPr>
              <w:spacing w:before="60" w:after="60" w:line="240" w:lineRule="auto"/>
              <w:ind w:left="567" w:hanging="567"/>
              <w:rPr>
                <w:rFonts w:ascii="Arial" w:eastAsia="Calibri" w:hAnsi="Arial"/>
                <w:sz w:val="20"/>
                <w:szCs w:val="20"/>
              </w:rPr>
            </w:pPr>
            <w:r>
              <w:rPr>
                <w:rFonts w:ascii="Arial" w:hAnsi="Arial"/>
                <w:sz w:val="20"/>
              </w:rPr>
              <w:t>La información y las experiencias sobre el PCI y su salvaguardia, incluidas las buenas prácticas para la salvaguardia que los Estados Partes intercambien.</w:t>
            </w:r>
          </w:p>
        </w:tc>
        <w:tc>
          <w:tcPr>
            <w:tcW w:w="118" w:type="pct"/>
            <w:tcBorders>
              <w:top w:val="nil"/>
              <w:bottom w:val="nil"/>
            </w:tcBorders>
            <w:shd w:val="clear" w:color="auto" w:fill="auto"/>
            <w:vAlign w:val="center"/>
          </w:tcPr>
          <w:p w14:paraId="2DDEDD2E"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59D7E77B" w14:textId="77777777" w:rsidR="00050E07" w:rsidRPr="00A8072E" w:rsidRDefault="00050E07" w:rsidP="00654BAF">
            <w:pPr>
              <w:spacing w:before="60" w:after="60"/>
              <w:rPr>
                <w:rFonts w:ascii="Arial" w:hAnsi="Arial"/>
                <w:sz w:val="20"/>
                <w:szCs w:val="20"/>
              </w:rPr>
            </w:pPr>
            <w:r>
              <w:rPr>
                <w:rFonts w:ascii="Arial" w:hAnsi="Arial"/>
                <w:sz w:val="20"/>
              </w:rPr>
              <w:t>Artículo 19</w:t>
            </w:r>
          </w:p>
          <w:p w14:paraId="4AD8353F" w14:textId="77777777" w:rsidR="00050E07" w:rsidRPr="00A8072E" w:rsidRDefault="00050E07" w:rsidP="00654BAF">
            <w:pPr>
              <w:spacing w:before="60" w:after="60"/>
              <w:rPr>
                <w:rFonts w:ascii="Arial" w:hAnsi="Arial"/>
                <w:sz w:val="20"/>
                <w:szCs w:val="20"/>
              </w:rPr>
            </w:pPr>
            <w:r>
              <w:rPr>
                <w:rFonts w:ascii="Arial" w:hAnsi="Arial"/>
                <w:sz w:val="20"/>
              </w:rPr>
              <w:t xml:space="preserve">DO 156, </w:t>
            </w:r>
            <w:r>
              <w:br/>
            </w:r>
            <w:r>
              <w:rPr>
                <w:rFonts w:ascii="Arial" w:hAnsi="Arial"/>
                <w:sz w:val="20"/>
              </w:rPr>
              <w:t>DO 193</w:t>
            </w:r>
          </w:p>
        </w:tc>
      </w:tr>
      <w:tr w:rsidR="00050E07" w:rsidRPr="00A8072E" w14:paraId="3F6AE10C" w14:textId="77777777" w:rsidTr="00654BAF">
        <w:trPr>
          <w:cantSplit/>
        </w:trPr>
        <w:tc>
          <w:tcPr>
            <w:tcW w:w="583" w:type="pct"/>
            <w:vMerge/>
            <w:shd w:val="clear" w:color="auto" w:fill="auto"/>
            <w:vAlign w:val="center"/>
          </w:tcPr>
          <w:p w14:paraId="2EEC7292"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FF421E2"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13C4A296" w14:textId="77777777" w:rsidR="00050E07" w:rsidRPr="00A8072E" w:rsidRDefault="00050E07" w:rsidP="00050E07">
            <w:pPr>
              <w:numPr>
                <w:ilvl w:val="1"/>
                <w:numId w:val="38"/>
              </w:numPr>
              <w:spacing w:before="60" w:after="60" w:line="240" w:lineRule="auto"/>
              <w:ind w:left="567" w:hanging="567"/>
              <w:rPr>
                <w:rFonts w:ascii="Arial" w:eastAsia="Calibri" w:hAnsi="Arial"/>
                <w:sz w:val="20"/>
                <w:szCs w:val="20"/>
              </w:rPr>
            </w:pPr>
            <w:r>
              <w:rPr>
                <w:rFonts w:ascii="Arial" w:hAnsi="Arial"/>
                <w:sz w:val="20"/>
              </w:rPr>
              <w:t>La documentación sobre un elemento del PCI presente en su territorio que el Estado Parte comparta con otro Estado.</w:t>
            </w:r>
          </w:p>
        </w:tc>
        <w:tc>
          <w:tcPr>
            <w:tcW w:w="118" w:type="pct"/>
            <w:tcBorders>
              <w:top w:val="nil"/>
              <w:bottom w:val="nil"/>
            </w:tcBorders>
            <w:shd w:val="clear" w:color="auto" w:fill="auto"/>
            <w:vAlign w:val="center"/>
          </w:tcPr>
          <w:p w14:paraId="799E12E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04833E2" w14:textId="77777777" w:rsidR="00050E07" w:rsidRPr="00A8072E" w:rsidRDefault="00050E07" w:rsidP="00654BAF">
            <w:pPr>
              <w:spacing w:before="60" w:after="60"/>
              <w:rPr>
                <w:rFonts w:ascii="Arial" w:hAnsi="Arial"/>
                <w:sz w:val="20"/>
                <w:szCs w:val="20"/>
              </w:rPr>
            </w:pPr>
            <w:r>
              <w:rPr>
                <w:rFonts w:ascii="Arial" w:hAnsi="Arial"/>
                <w:sz w:val="20"/>
              </w:rPr>
              <w:t>Artículo 19</w:t>
            </w:r>
          </w:p>
          <w:p w14:paraId="2CFB4AA2" w14:textId="77777777" w:rsidR="00050E07" w:rsidRPr="00A8072E" w:rsidRDefault="00050E07" w:rsidP="00654BAF">
            <w:pPr>
              <w:spacing w:before="60" w:after="60"/>
              <w:rPr>
                <w:rFonts w:ascii="Arial" w:hAnsi="Arial"/>
                <w:sz w:val="20"/>
                <w:szCs w:val="20"/>
              </w:rPr>
            </w:pPr>
            <w:r>
              <w:rPr>
                <w:rFonts w:ascii="Arial" w:hAnsi="Arial"/>
                <w:sz w:val="20"/>
              </w:rPr>
              <w:t>DO 87</w:t>
            </w:r>
          </w:p>
        </w:tc>
      </w:tr>
      <w:tr w:rsidR="00050E07" w:rsidRPr="00A8072E" w14:paraId="2077129E" w14:textId="77777777" w:rsidTr="00654BAF">
        <w:trPr>
          <w:cantSplit/>
        </w:trPr>
        <w:tc>
          <w:tcPr>
            <w:tcW w:w="583" w:type="pct"/>
            <w:vMerge/>
            <w:shd w:val="clear" w:color="auto" w:fill="auto"/>
            <w:vAlign w:val="center"/>
          </w:tcPr>
          <w:p w14:paraId="02486C0B"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2F659DF1" w14:textId="77777777" w:rsidR="00050E07" w:rsidRPr="00A8072E" w:rsidRDefault="00050E07" w:rsidP="00050E07">
            <w:pPr>
              <w:numPr>
                <w:ilvl w:val="0"/>
                <w:numId w:val="14"/>
              </w:numPr>
              <w:spacing w:before="60" w:after="60" w:line="240" w:lineRule="auto"/>
              <w:ind w:left="370" w:hanging="370"/>
              <w:rPr>
                <w:rFonts w:ascii="Arial" w:eastAsia="Calibri" w:hAnsi="Arial"/>
              </w:rPr>
            </w:pPr>
            <w:r>
              <w:rPr>
                <w:rFonts w:ascii="Arial" w:hAnsi="Arial"/>
                <w:sz w:val="20"/>
              </w:rPr>
              <w:t xml:space="preserve">Porcentaje de Estados Partes que participen de </w:t>
            </w:r>
            <w:r>
              <w:rPr>
                <w:rFonts w:ascii="Arial" w:hAnsi="Arial"/>
                <w:sz w:val="20"/>
              </w:rPr>
              <w:lastRenderedPageBreak/>
              <w:t>manera activa en la creación de redes internacionales y en la cooperación institucional</w:t>
            </w:r>
          </w:p>
        </w:tc>
        <w:tc>
          <w:tcPr>
            <w:tcW w:w="2568" w:type="pct"/>
            <w:shd w:val="clear" w:color="auto" w:fill="auto"/>
            <w:vAlign w:val="center"/>
          </w:tcPr>
          <w:p w14:paraId="6868E604" w14:textId="77777777" w:rsidR="00050E07" w:rsidRPr="00A8072E" w:rsidRDefault="00050E07" w:rsidP="00050E07">
            <w:pPr>
              <w:numPr>
                <w:ilvl w:val="1"/>
                <w:numId w:val="39"/>
              </w:numPr>
              <w:spacing w:before="60" w:after="60" w:line="240" w:lineRule="auto"/>
              <w:ind w:left="567" w:hanging="567"/>
              <w:rPr>
                <w:rFonts w:ascii="Arial" w:eastAsia="Calibri" w:hAnsi="Arial"/>
                <w:vanish/>
                <w:sz w:val="20"/>
                <w:szCs w:val="20"/>
              </w:rPr>
            </w:pPr>
            <w:r>
              <w:rPr>
                <w:rFonts w:ascii="Arial" w:hAnsi="Arial"/>
                <w:sz w:val="20"/>
              </w:rPr>
              <w:lastRenderedPageBreak/>
              <w:t>Las actividades del centro de categoría 2 para el PCI en las cuales el Estado Parte participe, ya sea como anfitrión o como beneficiario.</w:t>
            </w:r>
          </w:p>
        </w:tc>
        <w:tc>
          <w:tcPr>
            <w:tcW w:w="118" w:type="pct"/>
            <w:tcBorders>
              <w:top w:val="nil"/>
              <w:bottom w:val="nil"/>
            </w:tcBorders>
            <w:shd w:val="clear" w:color="auto" w:fill="auto"/>
            <w:vAlign w:val="center"/>
          </w:tcPr>
          <w:p w14:paraId="1B4D1287"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6CC8E2C" w14:textId="77777777" w:rsidR="00050E07" w:rsidRPr="00A8072E" w:rsidRDefault="00050E07" w:rsidP="00654BAF">
            <w:pPr>
              <w:spacing w:before="60" w:after="60"/>
              <w:rPr>
                <w:rFonts w:ascii="Arial" w:hAnsi="Arial"/>
                <w:sz w:val="20"/>
                <w:szCs w:val="20"/>
              </w:rPr>
            </w:pPr>
            <w:r>
              <w:rPr>
                <w:rFonts w:ascii="Arial" w:hAnsi="Arial"/>
                <w:sz w:val="20"/>
              </w:rPr>
              <w:t>DO 88</w:t>
            </w:r>
          </w:p>
        </w:tc>
      </w:tr>
      <w:tr w:rsidR="00050E07" w:rsidRPr="00B608FA" w14:paraId="467F9513" w14:textId="77777777" w:rsidTr="00654BAF">
        <w:trPr>
          <w:cantSplit/>
        </w:trPr>
        <w:tc>
          <w:tcPr>
            <w:tcW w:w="583" w:type="pct"/>
            <w:vMerge/>
            <w:shd w:val="clear" w:color="auto" w:fill="F2DBDB"/>
            <w:vAlign w:val="center"/>
          </w:tcPr>
          <w:p w14:paraId="1311E8C7"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11BE8AB"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16B9C1D0" w14:textId="77777777" w:rsidR="00050E07" w:rsidRPr="00A8072E" w:rsidRDefault="00050E07" w:rsidP="00050E07">
            <w:pPr>
              <w:numPr>
                <w:ilvl w:val="1"/>
                <w:numId w:val="39"/>
              </w:numPr>
              <w:spacing w:before="60" w:after="60" w:line="240" w:lineRule="auto"/>
              <w:ind w:left="567" w:hanging="567"/>
              <w:rPr>
                <w:rFonts w:ascii="Arial" w:eastAsia="Calibri" w:hAnsi="Arial"/>
                <w:sz w:val="20"/>
                <w:szCs w:val="20"/>
              </w:rPr>
            </w:pPr>
            <w:r>
              <w:rPr>
                <w:rFonts w:ascii="Arial" w:hAnsi="Arial"/>
                <w:sz w:val="20"/>
              </w:rPr>
              <w:t>Las redes internacionales entre comunidades, grupos e individuos, ONG, expertos, centros de competencia e institutos de investigación activos en el ámbito del PCI, que se fomenten o se creen.</w:t>
            </w:r>
          </w:p>
        </w:tc>
        <w:tc>
          <w:tcPr>
            <w:tcW w:w="118" w:type="pct"/>
            <w:tcBorders>
              <w:top w:val="nil"/>
              <w:bottom w:val="nil"/>
            </w:tcBorders>
            <w:shd w:val="clear" w:color="auto" w:fill="auto"/>
            <w:vAlign w:val="center"/>
          </w:tcPr>
          <w:p w14:paraId="6F4D0C4C"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79DDA13D" w14:textId="77777777" w:rsidR="00050E07" w:rsidRPr="00A8072E" w:rsidRDefault="00050E07" w:rsidP="00654BAF">
            <w:pPr>
              <w:spacing w:before="60" w:after="60"/>
              <w:rPr>
                <w:rFonts w:ascii="Arial" w:hAnsi="Arial"/>
                <w:sz w:val="20"/>
                <w:szCs w:val="20"/>
              </w:rPr>
            </w:pPr>
            <w:r>
              <w:rPr>
                <w:rFonts w:ascii="Arial" w:hAnsi="Arial"/>
                <w:sz w:val="20"/>
              </w:rPr>
              <w:t>DO 86</w:t>
            </w:r>
          </w:p>
        </w:tc>
      </w:tr>
      <w:tr w:rsidR="00050E07" w:rsidRPr="00B86AF3" w14:paraId="1017EDCC" w14:textId="77777777" w:rsidTr="00654BAF">
        <w:trPr>
          <w:cantSplit/>
        </w:trPr>
        <w:tc>
          <w:tcPr>
            <w:tcW w:w="583" w:type="pct"/>
            <w:vMerge/>
            <w:shd w:val="clear" w:color="auto" w:fill="auto"/>
            <w:vAlign w:val="center"/>
          </w:tcPr>
          <w:p w14:paraId="2786D3BE"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7A75F1B1" w14:textId="77777777" w:rsidR="00050E07" w:rsidRPr="00A8072E" w:rsidRDefault="00050E07" w:rsidP="00654BAF">
            <w:pPr>
              <w:spacing w:before="60" w:after="60"/>
              <w:rPr>
                <w:rFonts w:ascii="Arial" w:hAnsi="Arial"/>
              </w:rPr>
            </w:pPr>
          </w:p>
        </w:tc>
        <w:tc>
          <w:tcPr>
            <w:tcW w:w="2568" w:type="pct"/>
            <w:shd w:val="clear" w:color="auto" w:fill="auto"/>
            <w:vAlign w:val="center"/>
          </w:tcPr>
          <w:p w14:paraId="19C6130E" w14:textId="77777777" w:rsidR="00050E07" w:rsidRPr="00A8072E" w:rsidRDefault="00050E07" w:rsidP="00050E07">
            <w:pPr>
              <w:numPr>
                <w:ilvl w:val="1"/>
                <w:numId w:val="39"/>
              </w:numPr>
              <w:spacing w:before="60" w:after="60" w:line="240" w:lineRule="auto"/>
              <w:ind w:left="567" w:hanging="567"/>
              <w:rPr>
                <w:rFonts w:ascii="Arial" w:eastAsia="Calibri" w:hAnsi="Arial"/>
                <w:sz w:val="20"/>
                <w:szCs w:val="20"/>
              </w:rPr>
            </w:pPr>
            <w:r>
              <w:rPr>
                <w:rFonts w:ascii="Arial" w:hAnsi="Arial"/>
                <w:sz w:val="20"/>
              </w:rPr>
              <w:t>Los Estados Partes participan en actividades relacionadas con el PCI de órganos regionales e internacionales distintos de la UNESCO</w:t>
            </w:r>
          </w:p>
        </w:tc>
        <w:tc>
          <w:tcPr>
            <w:tcW w:w="118" w:type="pct"/>
            <w:tcBorders>
              <w:top w:val="nil"/>
              <w:bottom w:val="nil"/>
            </w:tcBorders>
            <w:shd w:val="clear" w:color="auto" w:fill="auto"/>
            <w:vAlign w:val="center"/>
          </w:tcPr>
          <w:p w14:paraId="5ED5CE62"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4B5B7EAF" w14:textId="77777777" w:rsidR="00050E07" w:rsidRPr="00A8072E" w:rsidRDefault="00050E07" w:rsidP="00654BAF">
            <w:pPr>
              <w:spacing w:before="60" w:after="60"/>
              <w:rPr>
                <w:rFonts w:ascii="Arial" w:hAnsi="Arial"/>
                <w:sz w:val="20"/>
                <w:szCs w:val="20"/>
              </w:rPr>
            </w:pPr>
          </w:p>
        </w:tc>
      </w:tr>
      <w:tr w:rsidR="00050E07" w:rsidRPr="00A23A64" w14:paraId="70285BA1" w14:textId="77777777" w:rsidTr="00654BAF">
        <w:trPr>
          <w:cantSplit/>
        </w:trPr>
        <w:tc>
          <w:tcPr>
            <w:tcW w:w="583" w:type="pct"/>
            <w:vMerge/>
            <w:shd w:val="clear" w:color="auto" w:fill="auto"/>
            <w:vAlign w:val="center"/>
          </w:tcPr>
          <w:p w14:paraId="010A6602" w14:textId="77777777" w:rsidR="00050E07" w:rsidRPr="00A8072E" w:rsidRDefault="00050E07" w:rsidP="00654BAF">
            <w:pPr>
              <w:spacing w:before="60" w:after="60"/>
              <w:rPr>
                <w:rFonts w:ascii="Arial" w:hAnsi="Arial"/>
                <w:b/>
                <w:sz w:val="20"/>
                <w:szCs w:val="20"/>
              </w:rPr>
            </w:pPr>
          </w:p>
        </w:tc>
        <w:tc>
          <w:tcPr>
            <w:tcW w:w="1118" w:type="pct"/>
            <w:vMerge w:val="restart"/>
            <w:shd w:val="clear" w:color="auto" w:fill="auto"/>
            <w:vAlign w:val="center"/>
          </w:tcPr>
          <w:p w14:paraId="06F8055D" w14:textId="77777777" w:rsidR="00050E07" w:rsidRPr="00A8072E" w:rsidRDefault="00050E07" w:rsidP="00050E07">
            <w:pPr>
              <w:numPr>
                <w:ilvl w:val="0"/>
                <w:numId w:val="14"/>
              </w:numPr>
              <w:spacing w:before="60" w:after="60" w:line="240" w:lineRule="auto"/>
              <w:ind w:left="370" w:hanging="370"/>
              <w:rPr>
                <w:rFonts w:ascii="Arial" w:eastAsia="Calibri" w:hAnsi="Arial"/>
              </w:rPr>
            </w:pPr>
            <w:r>
              <w:rPr>
                <w:rFonts w:ascii="Arial" w:hAnsi="Arial"/>
                <w:sz w:val="20"/>
              </w:rPr>
              <w:t>El Fondo del PCI apoya de manera eficaz la salvaguardia y el compromiso internacional</w:t>
            </w:r>
            <w:r>
              <w:rPr>
                <w:rFonts w:ascii="Arial" w:hAnsi="Arial"/>
                <w:sz w:val="20"/>
                <w:vertAlign w:val="superscript"/>
              </w:rPr>
              <w:footnoteReference w:id="17"/>
            </w:r>
          </w:p>
        </w:tc>
        <w:tc>
          <w:tcPr>
            <w:tcW w:w="2568" w:type="pct"/>
            <w:shd w:val="clear" w:color="auto" w:fill="auto"/>
            <w:vAlign w:val="center"/>
          </w:tcPr>
          <w:p w14:paraId="73F281D2" w14:textId="77777777" w:rsidR="00050E07" w:rsidRPr="00A8072E" w:rsidRDefault="00050E07" w:rsidP="00050E07">
            <w:pPr>
              <w:numPr>
                <w:ilvl w:val="1"/>
                <w:numId w:val="40"/>
              </w:numPr>
              <w:spacing w:before="60" w:after="60" w:line="240" w:lineRule="auto"/>
              <w:ind w:left="567" w:hanging="567"/>
              <w:rPr>
                <w:rFonts w:ascii="Arial" w:eastAsia="Calibri" w:hAnsi="Arial"/>
                <w:vanish/>
                <w:sz w:val="20"/>
                <w:szCs w:val="20"/>
              </w:rPr>
            </w:pPr>
            <w:r>
              <w:rPr>
                <w:rFonts w:ascii="Arial" w:hAnsi="Arial"/>
                <w:sz w:val="20"/>
              </w:rPr>
              <w:t>Los Estados Partes buscan asistencia técnica o financiera del Fondo del PCI e implementan programas de salvaguardia que resultan de esta asistencia.</w:t>
            </w:r>
          </w:p>
        </w:tc>
        <w:tc>
          <w:tcPr>
            <w:tcW w:w="118" w:type="pct"/>
            <w:tcBorders>
              <w:top w:val="nil"/>
              <w:bottom w:val="nil"/>
            </w:tcBorders>
            <w:shd w:val="clear" w:color="auto" w:fill="auto"/>
            <w:vAlign w:val="center"/>
          </w:tcPr>
          <w:p w14:paraId="396B541B"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658666F3" w14:textId="77777777" w:rsidR="00050E07" w:rsidRPr="00A8072E" w:rsidRDefault="00050E07" w:rsidP="00654BAF">
            <w:pPr>
              <w:spacing w:before="60" w:after="60"/>
              <w:rPr>
                <w:rFonts w:ascii="Arial" w:hAnsi="Arial"/>
                <w:sz w:val="20"/>
                <w:szCs w:val="20"/>
              </w:rPr>
            </w:pPr>
            <w:r>
              <w:rPr>
                <w:rFonts w:ascii="Arial" w:hAnsi="Arial"/>
                <w:sz w:val="20"/>
              </w:rPr>
              <w:t xml:space="preserve">Artículo 19, </w:t>
            </w:r>
            <w:r>
              <w:br/>
            </w:r>
            <w:r>
              <w:rPr>
                <w:rFonts w:ascii="Arial" w:hAnsi="Arial"/>
                <w:sz w:val="20"/>
              </w:rPr>
              <w:t>Artículo 21</w:t>
            </w:r>
          </w:p>
        </w:tc>
      </w:tr>
      <w:tr w:rsidR="00050E07" w:rsidRPr="00A8072E" w14:paraId="60C33801" w14:textId="77777777" w:rsidTr="00654BAF">
        <w:trPr>
          <w:cantSplit/>
          <w:trHeight w:val="1230"/>
        </w:trPr>
        <w:tc>
          <w:tcPr>
            <w:tcW w:w="583" w:type="pct"/>
            <w:vMerge/>
            <w:shd w:val="clear" w:color="auto" w:fill="F2DBDB"/>
            <w:vAlign w:val="center"/>
          </w:tcPr>
          <w:p w14:paraId="57502A25"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396DB49E" w14:textId="77777777" w:rsidR="00050E07" w:rsidRPr="00A8072E" w:rsidRDefault="00050E07" w:rsidP="00050E07">
            <w:pPr>
              <w:numPr>
                <w:ilvl w:val="0"/>
                <w:numId w:val="14"/>
              </w:numPr>
              <w:spacing w:before="60" w:after="60" w:line="240" w:lineRule="auto"/>
              <w:ind w:left="370" w:hanging="370"/>
              <w:rPr>
                <w:rFonts w:ascii="Arial" w:eastAsia="Calibri" w:hAnsi="Arial"/>
                <w:sz w:val="20"/>
                <w:szCs w:val="20"/>
              </w:rPr>
            </w:pPr>
          </w:p>
        </w:tc>
        <w:tc>
          <w:tcPr>
            <w:tcW w:w="2568" w:type="pct"/>
            <w:shd w:val="clear" w:color="auto" w:fill="auto"/>
            <w:vAlign w:val="center"/>
          </w:tcPr>
          <w:p w14:paraId="40B6EFCF" w14:textId="77777777" w:rsidR="00050E07" w:rsidRPr="00A8072E" w:rsidRDefault="00050E07" w:rsidP="00050E07">
            <w:pPr>
              <w:numPr>
                <w:ilvl w:val="1"/>
                <w:numId w:val="40"/>
              </w:numPr>
              <w:spacing w:before="60" w:after="60" w:line="240" w:lineRule="auto"/>
              <w:ind w:left="567" w:hanging="567"/>
              <w:rPr>
                <w:rFonts w:ascii="Arial" w:eastAsia="Calibri" w:hAnsi="Arial"/>
                <w:sz w:val="20"/>
                <w:szCs w:val="20"/>
              </w:rPr>
            </w:pPr>
            <w:r>
              <w:rPr>
                <w:rFonts w:ascii="Arial" w:hAnsi="Arial"/>
                <w:sz w:val="20"/>
              </w:rPr>
              <w:t>Los Estados Partes u otras entidades proporcionan contribuciones voluntarias complementarias al Fondo del PCI para fines generales o específicos, en especial, la estrategia global de fortalecimiento de capacidades.</w:t>
            </w:r>
          </w:p>
        </w:tc>
        <w:tc>
          <w:tcPr>
            <w:tcW w:w="118" w:type="pct"/>
            <w:tcBorders>
              <w:top w:val="nil"/>
              <w:bottom w:val="nil"/>
            </w:tcBorders>
            <w:shd w:val="clear" w:color="auto" w:fill="auto"/>
            <w:vAlign w:val="center"/>
          </w:tcPr>
          <w:p w14:paraId="451AACF1"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2B69841A" w14:textId="77777777" w:rsidR="00050E07" w:rsidRPr="00A8072E" w:rsidRDefault="00050E07" w:rsidP="00654BAF">
            <w:pPr>
              <w:spacing w:before="60" w:after="60"/>
              <w:rPr>
                <w:rFonts w:ascii="Arial" w:hAnsi="Arial"/>
                <w:sz w:val="20"/>
                <w:szCs w:val="20"/>
              </w:rPr>
            </w:pPr>
            <w:r>
              <w:rPr>
                <w:rFonts w:ascii="Arial" w:hAnsi="Arial"/>
                <w:sz w:val="20"/>
              </w:rPr>
              <w:t>Artículo 25,5, Artículo 27</w:t>
            </w:r>
          </w:p>
          <w:p w14:paraId="09FD982A" w14:textId="77777777" w:rsidR="00050E07" w:rsidRPr="00A8072E" w:rsidRDefault="00050E07" w:rsidP="00654BAF">
            <w:pPr>
              <w:spacing w:before="60" w:after="60"/>
              <w:rPr>
                <w:rFonts w:ascii="Arial" w:hAnsi="Arial"/>
                <w:sz w:val="20"/>
                <w:szCs w:val="20"/>
              </w:rPr>
            </w:pPr>
            <w:r>
              <w:rPr>
                <w:rFonts w:ascii="Arial" w:hAnsi="Arial"/>
                <w:sz w:val="20"/>
              </w:rPr>
              <w:t>DO 68-71</w:t>
            </w:r>
          </w:p>
        </w:tc>
      </w:tr>
      <w:tr w:rsidR="00050E07" w:rsidRPr="00A23A64" w14:paraId="7DE50A63" w14:textId="77777777" w:rsidTr="00654BAF">
        <w:trPr>
          <w:cantSplit/>
        </w:trPr>
        <w:tc>
          <w:tcPr>
            <w:tcW w:w="583" w:type="pct"/>
            <w:vMerge/>
            <w:shd w:val="clear" w:color="auto" w:fill="F2DBDB"/>
            <w:vAlign w:val="center"/>
          </w:tcPr>
          <w:p w14:paraId="3C4879C5" w14:textId="77777777" w:rsidR="00050E07" w:rsidRPr="00A8072E" w:rsidRDefault="00050E07" w:rsidP="00654BAF">
            <w:pPr>
              <w:spacing w:before="60" w:after="60"/>
              <w:rPr>
                <w:rFonts w:ascii="Arial" w:hAnsi="Arial"/>
                <w:b/>
                <w:sz w:val="20"/>
                <w:szCs w:val="20"/>
              </w:rPr>
            </w:pPr>
          </w:p>
        </w:tc>
        <w:tc>
          <w:tcPr>
            <w:tcW w:w="1118" w:type="pct"/>
            <w:vMerge/>
            <w:shd w:val="clear" w:color="auto" w:fill="auto"/>
            <w:vAlign w:val="center"/>
          </w:tcPr>
          <w:p w14:paraId="43745AA0" w14:textId="77777777" w:rsidR="00050E07" w:rsidRPr="00A8072E" w:rsidRDefault="00050E07" w:rsidP="00654BAF">
            <w:pPr>
              <w:spacing w:before="60" w:after="60"/>
              <w:rPr>
                <w:rFonts w:ascii="Arial" w:hAnsi="Arial"/>
                <w:sz w:val="20"/>
                <w:szCs w:val="20"/>
              </w:rPr>
            </w:pPr>
          </w:p>
        </w:tc>
        <w:tc>
          <w:tcPr>
            <w:tcW w:w="2568" w:type="pct"/>
            <w:shd w:val="clear" w:color="auto" w:fill="auto"/>
            <w:vAlign w:val="center"/>
          </w:tcPr>
          <w:p w14:paraId="61C580B8" w14:textId="77777777" w:rsidR="00050E07" w:rsidRPr="00A8072E" w:rsidRDefault="00050E07" w:rsidP="00050E07">
            <w:pPr>
              <w:numPr>
                <w:ilvl w:val="1"/>
                <w:numId w:val="40"/>
              </w:numPr>
              <w:spacing w:before="60" w:after="60" w:line="240" w:lineRule="auto"/>
              <w:ind w:left="567" w:hanging="567"/>
              <w:rPr>
                <w:rFonts w:ascii="Arial" w:eastAsia="Calibri" w:hAnsi="Arial"/>
                <w:sz w:val="20"/>
                <w:szCs w:val="20"/>
              </w:rPr>
            </w:pPr>
            <w:r>
              <w:rPr>
                <w:rFonts w:ascii="Arial" w:hAnsi="Arial"/>
                <w:sz w:val="20"/>
              </w:rPr>
              <w:t>El Fondo del PCI se utiliza para financiar los costes de participación en las reuniones de los órganos rectores de la Convención de una gran variedad de actores interesados, incluyendo a expertos en el PCI y ONG acreditadas de países en vías de desarrollo, organismos públicos y privados, así como miembros de las comunidades y grupos invitados para actuar en capacidad de consultores.</w:t>
            </w:r>
          </w:p>
        </w:tc>
        <w:tc>
          <w:tcPr>
            <w:tcW w:w="118" w:type="pct"/>
            <w:tcBorders>
              <w:top w:val="nil"/>
              <w:bottom w:val="nil"/>
            </w:tcBorders>
            <w:shd w:val="clear" w:color="auto" w:fill="auto"/>
            <w:vAlign w:val="center"/>
          </w:tcPr>
          <w:p w14:paraId="70E7EF74" w14:textId="77777777" w:rsidR="00050E07" w:rsidRPr="00A8072E" w:rsidRDefault="00050E07" w:rsidP="00654BAF">
            <w:pPr>
              <w:spacing w:before="60" w:after="60"/>
              <w:rPr>
                <w:rFonts w:ascii="Arial" w:hAnsi="Arial"/>
                <w:sz w:val="20"/>
                <w:szCs w:val="20"/>
              </w:rPr>
            </w:pPr>
          </w:p>
        </w:tc>
        <w:tc>
          <w:tcPr>
            <w:tcW w:w="613" w:type="pct"/>
            <w:shd w:val="clear" w:color="auto" w:fill="auto"/>
            <w:vAlign w:val="center"/>
          </w:tcPr>
          <w:p w14:paraId="0CDA2277" w14:textId="77777777" w:rsidR="00050E07" w:rsidRDefault="00050E07" w:rsidP="00654BAF">
            <w:pPr>
              <w:spacing w:before="60" w:after="60"/>
              <w:rPr>
                <w:rFonts w:ascii="Arial" w:hAnsi="Arial"/>
                <w:sz w:val="20"/>
                <w:szCs w:val="20"/>
              </w:rPr>
            </w:pPr>
            <w:r>
              <w:rPr>
                <w:rFonts w:ascii="Arial" w:hAnsi="Arial"/>
                <w:sz w:val="20"/>
              </w:rPr>
              <w:t xml:space="preserve">Artículo 8, </w:t>
            </w:r>
            <w:r>
              <w:br/>
            </w:r>
            <w:r>
              <w:rPr>
                <w:rFonts w:ascii="Arial" w:hAnsi="Arial"/>
                <w:sz w:val="20"/>
              </w:rPr>
              <w:t>Artículo 9</w:t>
            </w:r>
          </w:p>
          <w:p w14:paraId="2768E34F" w14:textId="77777777" w:rsidR="00050E07" w:rsidRPr="00A8072E" w:rsidRDefault="00050E07" w:rsidP="00654BAF">
            <w:pPr>
              <w:spacing w:before="60" w:after="60"/>
              <w:rPr>
                <w:rFonts w:ascii="Arial" w:hAnsi="Arial"/>
                <w:sz w:val="20"/>
                <w:szCs w:val="20"/>
              </w:rPr>
            </w:pPr>
            <w:r>
              <w:rPr>
                <w:rFonts w:ascii="Arial" w:hAnsi="Arial"/>
                <w:sz w:val="20"/>
              </w:rPr>
              <w:t>DO 67</w:t>
            </w:r>
          </w:p>
        </w:tc>
      </w:tr>
    </w:tbl>
    <w:p w14:paraId="56CC7D1D" w14:textId="77777777" w:rsidR="00CA6D23" w:rsidRDefault="00CA6D23"/>
    <w:sectPr w:rsidR="00CA6D23" w:rsidSect="00A30A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D2B7" w14:textId="77777777" w:rsidR="00654BAF" w:rsidRDefault="00654BAF" w:rsidP="00C33276">
      <w:pPr>
        <w:spacing w:after="0" w:line="240" w:lineRule="auto"/>
      </w:pPr>
      <w:r>
        <w:separator/>
      </w:r>
    </w:p>
  </w:endnote>
  <w:endnote w:type="continuationSeparator" w:id="0">
    <w:p w14:paraId="3021F75C" w14:textId="77777777" w:rsidR="00654BAF" w:rsidRDefault="00654BAF" w:rsidP="00C3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BD86" w14:textId="35E2D7E1" w:rsidR="00654BAF" w:rsidRPr="007B1C89" w:rsidRDefault="00545DF2" w:rsidP="00A52620">
    <w:pPr>
      <w:pStyle w:val="Pieddepage"/>
      <w:jc w:val="both"/>
      <w:rPr>
        <w:rFonts w:ascii="Arial" w:hAnsi="Arial"/>
        <w:sz w:val="16"/>
        <w:szCs w:val="16"/>
      </w:rPr>
    </w:pPr>
    <w:r>
      <w:rPr>
        <w:noProof/>
        <w:lang w:val="es-AR" w:eastAsia="es-AR"/>
      </w:rPr>
      <w:pict w14:anchorId="13243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191.95pt;margin-top:787.2pt;width:42.75pt;height:15pt;z-index:251658240;visibility:visible;mso-position-vertical-relative:page" wrapcoords="-379 0 -379 20520 21600 20520 21600 0 -379 0">
          <v:imagedata r:id="rId1" o:title=""/>
          <w10:wrap anchory="page"/>
        </v:shape>
      </w:pict>
    </w:r>
    <w:r>
      <w:rPr>
        <w:rFonts w:ascii="Arial" w:hAnsi="Arial"/>
        <w:noProof/>
        <w:sz w:val="16"/>
        <w:lang w:val="fr-FR" w:eastAsia="fr-FR"/>
      </w:rPr>
      <w:pict w14:anchorId="2C0D7198">
        <v:shape id="_x0000_s2051" type="#_x0000_t75" style="position:absolute;left:0;text-align:left;margin-left:368.4pt;margin-top:-4.35pt;width:58.55pt;height:42.7pt;z-index:251659264">
          <v:imagedata r:id="rId2" o:title=""/>
        </v:shape>
      </w:pict>
    </w:r>
    <w:r w:rsidR="00654BAF">
      <w:rPr>
        <w:rFonts w:ascii="Arial" w:hAnsi="Arial"/>
        <w:sz w:val="16"/>
      </w:rPr>
      <w:t>U058-v1.0-PT-ES</w:t>
    </w:r>
    <w:r w:rsidR="00654BAF">
      <w:rPr>
        <w:rFonts w:ascii="Arial" w:hAnsi="Arial"/>
        <w:sz w:val="16"/>
      </w:rPr>
      <w:tab/>
    </w:r>
    <w:r w:rsidR="00654BAF">
      <w:rPr>
        <w:rFonts w:ascii="Arial" w:hAnsi="Arial"/>
        <w:sz w:val="16"/>
      </w:rPr>
      <w:tab/>
    </w:r>
  </w:p>
  <w:p w14:paraId="7801B20A" w14:textId="76F1D0C4" w:rsidR="00654BAF" w:rsidRDefault="00654B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A303" w14:textId="77777777" w:rsidR="00654BAF" w:rsidRDefault="00654BAF" w:rsidP="00C33276">
      <w:pPr>
        <w:spacing w:after="0" w:line="240" w:lineRule="auto"/>
      </w:pPr>
      <w:r>
        <w:separator/>
      </w:r>
    </w:p>
  </w:footnote>
  <w:footnote w:type="continuationSeparator" w:id="0">
    <w:p w14:paraId="2B7206B8" w14:textId="77777777" w:rsidR="00654BAF" w:rsidRDefault="00654BAF" w:rsidP="00C33276">
      <w:pPr>
        <w:spacing w:after="0" w:line="240" w:lineRule="auto"/>
      </w:pPr>
      <w:r>
        <w:continuationSeparator/>
      </w:r>
    </w:p>
  </w:footnote>
  <w:footnote w:id="1">
    <w:p w14:paraId="6F2FD5E7" w14:textId="77777777" w:rsidR="00654BAF" w:rsidRDefault="00654BAF" w:rsidP="00345F4A">
      <w:pPr>
        <w:pStyle w:val="Notedebasdepage"/>
        <w:ind w:left="705" w:hanging="705"/>
        <w:jc w:val="both"/>
      </w:pPr>
      <w:r>
        <w:rPr>
          <w:rFonts w:ascii="Arial" w:hAnsi="Arial"/>
          <w:sz w:val="16"/>
        </w:rPr>
        <w:footnoteRef/>
      </w:r>
      <w:r>
        <w:rPr>
          <w:rFonts w:ascii="Arial" w:hAnsi="Arial"/>
          <w:sz w:val="16"/>
        </w:rPr>
        <w:t xml:space="preserve"> . </w:t>
      </w:r>
      <w:r>
        <w:rPr>
          <w:rFonts w:ascii="Arial" w:hAnsi="Arial"/>
          <w:sz w:val="16"/>
        </w:rPr>
        <w:tab/>
        <w:t xml:space="preserve">“Evaluación de la labor normativa del Sector de Cultura de la UNESCO: Parte I </w:t>
      </w:r>
      <w:r>
        <w:rPr>
          <w:rFonts w:ascii="Arial" w:hAnsi="Arial"/>
          <w:sz w:val="16"/>
          <w:cs/>
        </w:rPr>
        <w:t xml:space="preserve">– </w:t>
      </w:r>
      <w:r>
        <w:rPr>
          <w:rFonts w:ascii="Arial" w:hAnsi="Arial"/>
          <w:sz w:val="16"/>
        </w:rPr>
        <w:t>Convención de 2003 para la Salvaguardia del Patrimonio Cultural Inmaterial”</w:t>
      </w:r>
      <w:r>
        <w:rPr>
          <w:rFonts w:ascii="Arial" w:hAnsi="Arial"/>
          <w:sz w:val="16"/>
          <w:cs/>
        </w:rPr>
        <w:t xml:space="preserve"> </w:t>
      </w:r>
      <w:r>
        <w:rPr>
          <w:rFonts w:ascii="Arial" w:hAnsi="Arial"/>
          <w:sz w:val="16"/>
        </w:rPr>
        <w:t xml:space="preserve">disponible en </w:t>
      </w:r>
      <w:hyperlink r:id="rId1" w:tgtFrame="_blank" w:history="1">
        <w:r>
          <w:rPr>
            <w:rStyle w:val="Lienhypertexte"/>
            <w:rFonts w:ascii="Arial" w:hAnsi="Arial"/>
            <w:color w:val="0872CB"/>
            <w:sz w:val="16"/>
          </w:rPr>
          <w:t>árabe</w:t>
        </w:r>
      </w:hyperlink>
      <w:r>
        <w:rPr>
          <w:rFonts w:ascii="Arial" w:hAnsi="Arial"/>
          <w:color w:val="414042"/>
          <w:sz w:val="16"/>
        </w:rPr>
        <w:t>|</w:t>
      </w:r>
      <w:hyperlink r:id="rId2" w:tgtFrame="_blank" w:history="1">
        <w:r>
          <w:rPr>
            <w:rStyle w:val="Lienhypertexte"/>
            <w:rFonts w:ascii="Arial" w:hAnsi="Arial"/>
            <w:color w:val="0872CB"/>
            <w:sz w:val="16"/>
          </w:rPr>
          <w:t>español</w:t>
        </w:r>
      </w:hyperlink>
      <w:r>
        <w:rPr>
          <w:rFonts w:ascii="Arial" w:hAnsi="Arial"/>
          <w:color w:val="414042"/>
          <w:sz w:val="16"/>
        </w:rPr>
        <w:t>|</w:t>
      </w:r>
      <w:hyperlink r:id="rId3" w:tgtFrame="_blank" w:history="1">
        <w:r>
          <w:rPr>
            <w:rStyle w:val="Lienhypertexte"/>
            <w:rFonts w:ascii="Arial" w:hAnsi="Arial"/>
            <w:color w:val="0872CB"/>
            <w:sz w:val="16"/>
          </w:rPr>
          <w:t>francés</w:t>
        </w:r>
      </w:hyperlink>
      <w:r>
        <w:rPr>
          <w:rFonts w:ascii="Arial" w:hAnsi="Arial"/>
          <w:color w:val="414042"/>
          <w:sz w:val="16"/>
        </w:rPr>
        <w:t>|</w:t>
      </w:r>
      <w:hyperlink r:id="rId4" w:tgtFrame="_blank" w:history="1">
        <w:r>
          <w:rPr>
            <w:rStyle w:val="Lienhypertexte"/>
            <w:rFonts w:ascii="Arial" w:hAnsi="Arial"/>
            <w:color w:val="0872CB"/>
            <w:sz w:val="16"/>
          </w:rPr>
          <w:t>inglés</w:t>
        </w:r>
      </w:hyperlink>
      <w:r>
        <w:rPr>
          <w:rFonts w:ascii="Arial" w:hAnsi="Arial"/>
          <w:sz w:val="16"/>
        </w:rPr>
        <w:t>.</w:t>
      </w:r>
    </w:p>
  </w:footnote>
  <w:footnote w:id="2">
    <w:p w14:paraId="192DEB1E" w14:textId="77777777" w:rsidR="00654BAF" w:rsidRDefault="00654BAF" w:rsidP="009E2BB5">
      <w:pPr>
        <w:pStyle w:val="Default"/>
        <w:tabs>
          <w:tab w:val="left" w:pos="709"/>
        </w:tabs>
        <w:ind w:left="705" w:hanging="705"/>
      </w:pPr>
      <w:r>
        <w:rPr>
          <w:rFonts w:ascii="Arial" w:hAnsi="Arial"/>
          <w:sz w:val="16"/>
        </w:rPr>
        <w:footnoteRef/>
      </w:r>
      <w:r>
        <w:rPr>
          <w:rFonts w:ascii="Arial" w:hAnsi="Arial"/>
          <w:sz w:val="16"/>
        </w:rPr>
        <w:t xml:space="preserve"> .</w:t>
      </w:r>
      <w:r>
        <w:rPr>
          <w:rFonts w:ascii="Arial" w:hAnsi="Arial"/>
          <w:sz w:val="16"/>
        </w:rPr>
        <w:tab/>
        <w:t>Método de programación, gestión y seguimiento basado en los resultados (gestión basada en los resultados) y su aplicación en la UNESCO: Principios Rectores (</w:t>
      </w:r>
      <w:hyperlink r:id="rId5" w:history="1">
        <w:r>
          <w:rPr>
            <w:rStyle w:val="Lienhypertexte"/>
            <w:rFonts w:ascii="Arial" w:hAnsi="Arial"/>
            <w:sz w:val="16"/>
          </w:rPr>
          <w:t>BSP/RBM/2008/1.REV.6</w:t>
        </w:r>
      </w:hyperlink>
      <w:r>
        <w:rPr>
          <w:rFonts w:ascii="Arial" w:hAnsi="Arial"/>
          <w:sz w:val="16"/>
        </w:rPr>
        <w:t xml:space="preserve">), septiembre de 2015. </w:t>
      </w:r>
    </w:p>
  </w:footnote>
  <w:footnote w:id="3">
    <w:p w14:paraId="11A19C77" w14:textId="77777777" w:rsidR="00654BAF" w:rsidRDefault="00654BAF" w:rsidP="009E2BB5">
      <w:pPr>
        <w:pStyle w:val="Notedebasdepage"/>
        <w:ind w:left="705" w:hanging="705"/>
        <w:jc w:val="both"/>
      </w:pPr>
      <w:r>
        <w:rPr>
          <w:rFonts w:ascii="Arial" w:hAnsi="Arial"/>
          <w:sz w:val="16"/>
        </w:rPr>
        <w:footnoteRef/>
      </w:r>
      <w:r w:rsidRPr="002106EC">
        <w:rPr>
          <w:rFonts w:ascii="Arial" w:hAnsi="Arial"/>
          <w:sz w:val="16"/>
          <w:lang w:val="en-US"/>
        </w:rPr>
        <w:t xml:space="preserve"> . </w:t>
      </w:r>
      <w:r w:rsidRPr="002106EC">
        <w:rPr>
          <w:rFonts w:ascii="Arial" w:hAnsi="Arial"/>
          <w:sz w:val="16"/>
          <w:lang w:val="en-US"/>
        </w:rPr>
        <w:tab/>
        <w:t xml:space="preserve">Policy Brief: Hivos and Theory of Change 2014. </w:t>
      </w:r>
      <w:hyperlink r:id="rId6" w:history="1">
        <w:r>
          <w:rPr>
            <w:rStyle w:val="Lienhypertexte"/>
            <w:rFonts w:ascii="Arial" w:hAnsi="Arial"/>
            <w:sz w:val="16"/>
          </w:rPr>
          <w:t>http://www.theoryofchange.nl/resource/hivos-policy-brief-theory-change</w:t>
        </w:r>
      </w:hyperlink>
      <w:r>
        <w:rPr>
          <w:rFonts w:ascii="Arial" w:hAnsi="Arial"/>
          <w:sz w:val="16"/>
        </w:rPr>
        <w:t>.</w:t>
      </w:r>
    </w:p>
  </w:footnote>
  <w:footnote w:id="4">
    <w:p w14:paraId="7FFC4E67" w14:textId="77777777" w:rsidR="00654BAF" w:rsidRDefault="00654BAF" w:rsidP="0088367C">
      <w:pPr>
        <w:pStyle w:val="Notedebasdepage"/>
      </w:pPr>
      <w:r>
        <w:rPr>
          <w:rFonts w:ascii="Arial" w:hAnsi="Arial"/>
          <w:sz w:val="16"/>
        </w:rPr>
        <w:footnoteRef/>
      </w:r>
      <w:r>
        <w:rPr>
          <w:rFonts w:ascii="Arial" w:hAnsi="Arial"/>
          <w:sz w:val="16"/>
        </w:rPr>
        <w:t xml:space="preserve"> . UNESCO, </w:t>
      </w:r>
      <w:r>
        <w:rPr>
          <w:rFonts w:ascii="Arial" w:hAnsi="Arial"/>
          <w:i/>
          <w:sz w:val="16"/>
        </w:rPr>
        <w:t>Principios Rectores</w:t>
      </w:r>
      <w:r>
        <w:rPr>
          <w:rFonts w:ascii="Arial" w:hAnsi="Arial"/>
          <w:sz w:val="16"/>
        </w:rPr>
        <w:t>, p. 27.</w:t>
      </w:r>
    </w:p>
  </w:footnote>
  <w:footnote w:id="5">
    <w:p w14:paraId="0D58C912" w14:textId="77777777" w:rsidR="00654BAF" w:rsidRDefault="00654BAF" w:rsidP="00C44073">
      <w:pPr>
        <w:pStyle w:val="Notedebasdepage"/>
      </w:pPr>
      <w:r>
        <w:rPr>
          <w:rFonts w:ascii="Arial" w:hAnsi="Arial"/>
          <w:sz w:val="16"/>
        </w:rPr>
        <w:footnoteRef/>
      </w:r>
      <w:r>
        <w:rPr>
          <w:rFonts w:ascii="Arial" w:hAnsi="Arial"/>
          <w:sz w:val="16"/>
        </w:rPr>
        <w:t xml:space="preserve"> . </w:t>
      </w:r>
      <w:r>
        <w:rPr>
          <w:rFonts w:ascii="Arial" w:hAnsi="Arial"/>
          <w:i/>
          <w:sz w:val="16"/>
        </w:rPr>
        <w:t>Ibíd</w:t>
      </w:r>
      <w:r>
        <w:rPr>
          <w:rFonts w:ascii="Arial" w:hAnsi="Arial"/>
          <w:sz w:val="16"/>
        </w:rPr>
        <w:t>., p. 28.</w:t>
      </w:r>
    </w:p>
  </w:footnote>
  <w:footnote w:id="6">
    <w:p w14:paraId="22267090" w14:textId="77777777" w:rsidR="00654BAF" w:rsidRDefault="00654BAF" w:rsidP="00836AA6">
      <w:pPr>
        <w:pStyle w:val="Notedebasdepage"/>
      </w:pPr>
      <w:r>
        <w:rPr>
          <w:rFonts w:ascii="Arial" w:hAnsi="Arial"/>
          <w:sz w:val="16"/>
        </w:rPr>
        <w:footnoteRef/>
      </w:r>
      <w:r>
        <w:rPr>
          <w:rFonts w:ascii="Arial" w:hAnsi="Arial"/>
          <w:sz w:val="16"/>
        </w:rPr>
        <w:t xml:space="preserve"> . UNESCO </w:t>
      </w:r>
      <w:r>
        <w:rPr>
          <w:rFonts w:ascii="Arial" w:hAnsi="Arial"/>
          <w:i/>
          <w:sz w:val="16"/>
        </w:rPr>
        <w:t>Principios Rectores</w:t>
      </w:r>
      <w:r>
        <w:rPr>
          <w:rFonts w:ascii="Arial" w:hAnsi="Arial"/>
          <w:sz w:val="16"/>
        </w:rPr>
        <w:t>, p. 26.</w:t>
      </w:r>
    </w:p>
  </w:footnote>
  <w:footnote w:id="7">
    <w:p w14:paraId="37B9008E" w14:textId="77777777" w:rsidR="00654BAF" w:rsidRDefault="00654BAF" w:rsidP="00E167D0">
      <w:pPr>
        <w:pStyle w:val="Notedebasdepage"/>
      </w:pPr>
      <w:r>
        <w:rPr>
          <w:rFonts w:ascii="Arial" w:hAnsi="Arial"/>
          <w:sz w:val="16"/>
        </w:rPr>
        <w:footnoteRef/>
      </w:r>
      <w:r>
        <w:rPr>
          <w:rFonts w:ascii="Arial" w:hAnsi="Arial"/>
          <w:sz w:val="16"/>
        </w:rPr>
        <w:t xml:space="preserve"> . </w:t>
      </w:r>
      <w:r>
        <w:rPr>
          <w:rFonts w:ascii="Arial" w:hAnsi="Arial"/>
          <w:i/>
          <w:sz w:val="16"/>
        </w:rPr>
        <w:t>Ibíd</w:t>
      </w:r>
      <w:r>
        <w:rPr>
          <w:rFonts w:ascii="Arial" w:hAnsi="Arial"/>
          <w:sz w:val="16"/>
        </w:rPr>
        <w:t xml:space="preserve">., p. 26. </w:t>
      </w:r>
    </w:p>
  </w:footnote>
  <w:footnote w:id="8">
    <w:p w14:paraId="4F5722EC" w14:textId="77777777" w:rsidR="00654BAF" w:rsidRPr="00A30A16" w:rsidRDefault="00654BAF" w:rsidP="00C33276">
      <w:pPr>
        <w:pStyle w:val="Notedebasdepage"/>
        <w:rPr>
          <w:rFonts w:ascii="Arial" w:hAnsi="Arial" w:cs="Arial"/>
          <w:sz w:val="16"/>
          <w:szCs w:val="16"/>
        </w:rPr>
      </w:pPr>
      <w:r>
        <w:rPr>
          <w:rStyle w:val="Appelnotedebasdep"/>
          <w:rFonts w:ascii="Arial" w:hAnsi="Arial"/>
          <w:sz w:val="16"/>
        </w:rPr>
        <w:footnoteRef/>
      </w:r>
      <w:r>
        <w:rPr>
          <w:rFonts w:ascii="Arial" w:hAnsi="Arial"/>
          <w:sz w:val="16"/>
        </w:rPr>
        <w:t xml:space="preserve"> En este documento se recoge una selección de los términos definidos en el modelo de programación, gestión y seguimiento basado en los resultados (gestión basada en los resultados) y su aplicación en la UNESCO: Principios rectores (</w:t>
      </w:r>
      <w:hyperlink r:id="rId7" w:history="1">
        <w:r>
          <w:rPr>
            <w:rStyle w:val="Lienhypertexte"/>
            <w:rFonts w:ascii="Arial" w:hAnsi="Arial"/>
            <w:sz w:val="16"/>
          </w:rPr>
          <w:t>BSP/RBM/2008/1.REV.6</w:t>
        </w:r>
      </w:hyperlink>
      <w:r>
        <w:rPr>
          <w:rFonts w:ascii="Arial" w:hAnsi="Arial"/>
          <w:sz w:val="16"/>
        </w:rPr>
        <w:t>), septiembre de 2015.</w:t>
      </w:r>
    </w:p>
    <w:p w14:paraId="5CE3A1AE" w14:textId="77777777" w:rsidR="00654BAF" w:rsidRDefault="00654BAF" w:rsidP="00C33276">
      <w:pPr>
        <w:pStyle w:val="Notedebasdepage"/>
      </w:pPr>
    </w:p>
  </w:footnote>
  <w:footnote w:id="9">
    <w:p w14:paraId="23BE8A45" w14:textId="77777777" w:rsidR="00654BAF" w:rsidRPr="00752E90" w:rsidRDefault="00654BAF" w:rsidP="006C44BA">
      <w:pPr>
        <w:pStyle w:val="Notedebasdepage"/>
        <w:rPr>
          <w:lang w:val="es-AR"/>
        </w:rPr>
      </w:pPr>
      <w:r>
        <w:rPr>
          <w:rStyle w:val="Appelnotedebasdep"/>
          <w:rFonts w:ascii="Arial" w:hAnsi="Arial"/>
          <w:sz w:val="16"/>
        </w:rPr>
        <w:footnoteRef/>
      </w:r>
      <w:r>
        <w:rPr>
          <w:rFonts w:ascii="Arial" w:hAnsi="Arial"/>
          <w:sz w:val="16"/>
        </w:rPr>
        <w:t xml:space="preserve"> Adoptado por la Asamblea General de los Estados Partes en la Convención en su séptima reunión celebrada en París, del 4 al 6 de junio de 2018. </w:t>
      </w:r>
      <w:r w:rsidRPr="00752E90">
        <w:rPr>
          <w:rFonts w:ascii="Arial" w:hAnsi="Arial"/>
          <w:sz w:val="16"/>
          <w:lang w:val="es-AR"/>
        </w:rPr>
        <w:t>Doc. ITH/18/7.GA/9.</w:t>
      </w:r>
    </w:p>
  </w:footnote>
  <w:footnote w:id="10">
    <w:p w14:paraId="5FCB4EC8"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125AC4">
        <w:rPr>
          <w:rStyle w:val="Appelnotedebasdep"/>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Esta columna presenta una lista parcial de algunas de las disposiciones relevantes de la Convención, las Directrices Operativas y los Principios Éticos. Se propone que esta columna no se adopte de manera formal como parte del marco de resultados, pero las referencias pueden integrarse en las notas de orientación que correspondan.</w:t>
      </w:r>
    </w:p>
  </w:footnote>
  <w:footnote w:id="11">
    <w:p w14:paraId="159A4712"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654BAF">
        <w:rPr>
          <w:rFonts w:ascii="Arial" w:hAnsi="Arial" w:cs="Arial"/>
          <w:sz w:val="18"/>
          <w:szCs w:val="18"/>
        </w:rPr>
        <w:footnoteRef/>
      </w:r>
      <w:r w:rsidRPr="00654BAF">
        <w:rPr>
          <w:rFonts w:ascii="Arial" w:hAnsi="Arial" w:cs="Arial"/>
          <w:sz w:val="18"/>
          <w:szCs w:val="18"/>
        </w:rPr>
        <w:t>.</w:t>
      </w:r>
      <w:r w:rsidRPr="00125AC4">
        <w:rPr>
          <w:rFonts w:ascii="Arial" w:hAnsi="Arial" w:cs="Arial"/>
          <w:sz w:val="18"/>
          <w:szCs w:val="18"/>
        </w:rPr>
        <w:tab/>
        <w:t xml:space="preserve">Cuando se menciona </w:t>
      </w:r>
      <w:r>
        <w:rPr>
          <w:rFonts w:ascii="Arial" w:hAnsi="Arial" w:cs="Arial"/>
          <w:sz w:val="18"/>
          <w:szCs w:val="18"/>
        </w:rPr>
        <w:t>“</w:t>
      </w:r>
      <w:r w:rsidRPr="00125AC4">
        <w:rPr>
          <w:rFonts w:ascii="Arial" w:hAnsi="Arial" w:cs="Arial"/>
          <w:sz w:val="18"/>
          <w:szCs w:val="18"/>
        </w:rPr>
        <w:t>independientemente de si están o no inscritos</w:t>
      </w:r>
      <w:r>
        <w:rPr>
          <w:rFonts w:ascii="Arial" w:hAnsi="Arial" w:cs="Arial"/>
          <w:sz w:val="18"/>
          <w:szCs w:val="18"/>
        </w:rPr>
        <w:t>”</w:t>
      </w:r>
      <w:r w:rsidRPr="00125AC4">
        <w:rPr>
          <w:rFonts w:ascii="Arial" w:hAnsi="Arial" w:cs="Arial"/>
          <w:sz w:val="18"/>
          <w:szCs w:val="18"/>
        </w:rPr>
        <w:t xml:space="preserve"> se debe entender como inscritos en la Lista del Patrimonio cultural inmaterial que requiere medidas de salvaguardia urgente o en la Lista del Patrimonio cultural inmaterial de la Humanidad.</w:t>
      </w:r>
    </w:p>
  </w:footnote>
  <w:footnote w:id="12">
    <w:p w14:paraId="5AA52D0B"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125AC4">
        <w:rPr>
          <w:rStyle w:val="Appelnotedebasdep"/>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 xml:space="preserve">Referencias a </w:t>
      </w:r>
      <w:r>
        <w:rPr>
          <w:rFonts w:ascii="Arial" w:hAnsi="Arial" w:cs="Arial"/>
          <w:sz w:val="18"/>
          <w:szCs w:val="18"/>
        </w:rPr>
        <w:t>“</w:t>
      </w:r>
      <w:r w:rsidRPr="00125AC4">
        <w:rPr>
          <w:rFonts w:ascii="Arial" w:hAnsi="Arial" w:cs="Arial"/>
          <w:sz w:val="18"/>
          <w:szCs w:val="18"/>
        </w:rPr>
        <w:t>inclusivo</w:t>
      </w:r>
      <w:r>
        <w:rPr>
          <w:rFonts w:ascii="Arial" w:hAnsi="Arial" w:cs="Arial"/>
          <w:sz w:val="18"/>
          <w:szCs w:val="18"/>
        </w:rPr>
        <w:t>”</w:t>
      </w:r>
      <w:r w:rsidRPr="00125AC4">
        <w:rPr>
          <w:rFonts w:ascii="Arial" w:hAnsi="Arial" w:cs="Arial"/>
          <w:sz w:val="18"/>
          <w:szCs w:val="18"/>
        </w:rPr>
        <w:t xml:space="preserve">, </w:t>
      </w:r>
      <w:r>
        <w:rPr>
          <w:rFonts w:ascii="Arial" w:hAnsi="Arial" w:cs="Arial"/>
          <w:sz w:val="18"/>
          <w:szCs w:val="18"/>
        </w:rPr>
        <w:t>“</w:t>
      </w:r>
      <w:r w:rsidRPr="00125AC4">
        <w:rPr>
          <w:rFonts w:ascii="Arial" w:hAnsi="Arial" w:cs="Arial"/>
          <w:sz w:val="18"/>
          <w:szCs w:val="18"/>
        </w:rPr>
        <w:t>de manera inclusiva</w:t>
      </w:r>
      <w:r>
        <w:rPr>
          <w:rFonts w:ascii="Arial" w:hAnsi="Arial" w:cs="Arial"/>
          <w:sz w:val="18"/>
          <w:szCs w:val="18"/>
        </w:rPr>
        <w:t>”</w:t>
      </w:r>
      <w:r w:rsidRPr="00125AC4">
        <w:rPr>
          <w:rFonts w:ascii="Arial" w:hAnsi="Arial" w:cs="Arial"/>
          <w:sz w:val="18"/>
          <w:szCs w:val="18"/>
        </w:rPr>
        <w:t xml:space="preserve"> o </w:t>
      </w:r>
      <w:r>
        <w:rPr>
          <w:rFonts w:ascii="Arial" w:hAnsi="Arial" w:cs="Arial"/>
          <w:sz w:val="18"/>
          <w:szCs w:val="18"/>
        </w:rPr>
        <w:t>“</w:t>
      </w:r>
      <w:r w:rsidRPr="00125AC4">
        <w:rPr>
          <w:rFonts w:ascii="Arial" w:hAnsi="Arial" w:cs="Arial"/>
          <w:sz w:val="18"/>
          <w:szCs w:val="18"/>
        </w:rPr>
        <w:t>sobre una base inclusiva</w:t>
      </w:r>
      <w:r>
        <w:rPr>
          <w:rFonts w:ascii="Arial" w:hAnsi="Arial" w:cs="Arial"/>
          <w:sz w:val="18"/>
          <w:szCs w:val="18"/>
        </w:rPr>
        <w:t>”</w:t>
      </w:r>
      <w:r w:rsidRPr="00125AC4">
        <w:rPr>
          <w:rFonts w:ascii="Arial" w:hAnsi="Arial" w:cs="Arial"/>
          <w:sz w:val="18"/>
          <w:szCs w:val="18"/>
        </w:rPr>
        <w:t xml:space="preserve"> deben entenderse como incluyendo a todos los estratos de la sociedad, entre ellas las poblaciones indígenas, los migrantes, inmigrantes y refugiados, personas de distintas edades y género, personas con discapacidades y miembros de grupos vulnerables (Directrices Operativas 174 y 194). Cuando se informe acerca de estas acciones o resultados, se alentará a los Estados Partes a proporcionar datos desglosados o a explicar cómo se garantiza esta inclusividad.</w:t>
      </w:r>
    </w:p>
  </w:footnote>
  <w:footnote w:id="13">
    <w:p w14:paraId="0DBDDEFC"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125AC4">
        <w:rPr>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 xml:space="preserve">Si bien la Convención utiliza la expresión </w:t>
      </w:r>
      <w:r>
        <w:rPr>
          <w:rFonts w:ascii="Arial" w:hAnsi="Arial" w:cs="Arial"/>
          <w:sz w:val="18"/>
          <w:szCs w:val="18"/>
        </w:rPr>
        <w:t>“</w:t>
      </w:r>
      <w:r w:rsidRPr="00125AC4">
        <w:rPr>
          <w:rFonts w:ascii="Arial" w:hAnsi="Arial" w:cs="Arial"/>
          <w:sz w:val="18"/>
          <w:szCs w:val="18"/>
        </w:rPr>
        <w:t>comunidades, grupos e individuos</w:t>
      </w:r>
      <w:r>
        <w:rPr>
          <w:rFonts w:ascii="Arial" w:hAnsi="Arial" w:cs="Arial"/>
          <w:sz w:val="18"/>
          <w:szCs w:val="18"/>
        </w:rPr>
        <w:t>”</w:t>
      </w:r>
      <w:r w:rsidRPr="00125AC4">
        <w:rPr>
          <w:rFonts w:ascii="Arial" w:hAnsi="Arial" w:cs="Arial"/>
          <w:sz w:val="18"/>
          <w:szCs w:val="18"/>
        </w:rPr>
        <w:t xml:space="preserve"> de manera consistente, algunos factores de evaluación, así como algunas Directrices Operativas optan por referirse a </w:t>
      </w:r>
      <w:r>
        <w:rPr>
          <w:rFonts w:ascii="Arial" w:hAnsi="Arial" w:cs="Arial"/>
          <w:sz w:val="18"/>
          <w:szCs w:val="18"/>
        </w:rPr>
        <w:t>“</w:t>
      </w:r>
      <w:r w:rsidRPr="00125AC4">
        <w:rPr>
          <w:rFonts w:ascii="Arial" w:hAnsi="Arial" w:cs="Arial"/>
          <w:sz w:val="18"/>
          <w:szCs w:val="18"/>
        </w:rPr>
        <w:t>practicantes y depositarios</w:t>
      </w:r>
      <w:r>
        <w:rPr>
          <w:rFonts w:ascii="Arial" w:hAnsi="Arial" w:cs="Arial"/>
          <w:sz w:val="18"/>
          <w:szCs w:val="18"/>
        </w:rPr>
        <w:t>”</w:t>
      </w:r>
      <w:r w:rsidRPr="00125AC4">
        <w:rPr>
          <w:rFonts w:ascii="Arial" w:hAnsi="Arial" w:cs="Arial"/>
          <w:sz w:val="18"/>
          <w:szCs w:val="18"/>
        </w:rPr>
        <w:t xml:space="preserve"> para identificar mejor a los miembros que desempeñan una función específica en relación al PCI.</w:t>
      </w:r>
    </w:p>
  </w:footnote>
  <w:footnote w:id="14">
    <w:p w14:paraId="482010CF"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125AC4">
        <w:rPr>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 xml:space="preserve">De conformidad con el Capítulo VI de las Directrices Operativas, </w:t>
      </w:r>
      <w:r>
        <w:rPr>
          <w:rFonts w:ascii="Arial" w:hAnsi="Arial" w:cs="Arial"/>
          <w:sz w:val="18"/>
          <w:szCs w:val="18"/>
        </w:rPr>
        <w:t>“</w:t>
      </w:r>
      <w:r w:rsidRPr="00125AC4">
        <w:rPr>
          <w:rFonts w:ascii="Arial" w:hAnsi="Arial" w:cs="Arial"/>
          <w:sz w:val="18"/>
          <w:szCs w:val="18"/>
        </w:rPr>
        <w:t>el desarrollo social inclusivo</w:t>
      </w:r>
      <w:r>
        <w:rPr>
          <w:rFonts w:ascii="Arial" w:hAnsi="Arial" w:cs="Arial"/>
          <w:sz w:val="18"/>
          <w:szCs w:val="18"/>
        </w:rPr>
        <w:t>”</w:t>
      </w:r>
      <w:r w:rsidRPr="00125AC4">
        <w:rPr>
          <w:rFonts w:ascii="Arial" w:hAnsi="Arial" w:cs="Arial"/>
          <w:sz w:val="18"/>
          <w:szCs w:val="18"/>
        </w:rPr>
        <w:t xml:space="preserve"> engloba la seguridad alimentaria, la salud, la igualdad de género, el acceso a agua limpia y potable así como el uso sostenible del agua. La educación de calidad se incluye dentro del indicador 12.</w:t>
      </w:r>
    </w:p>
  </w:footnote>
  <w:footnote w:id="15">
    <w:p w14:paraId="1131B5EF" w14:textId="77777777" w:rsidR="00654BAF" w:rsidRPr="00125AC4" w:rsidRDefault="00654BAF" w:rsidP="00050E07">
      <w:pPr>
        <w:pStyle w:val="Notedebasdepage"/>
        <w:spacing w:before="60" w:after="60"/>
        <w:ind w:left="567" w:hanging="567"/>
        <w:jc w:val="both"/>
        <w:rPr>
          <w:rFonts w:ascii="Arial" w:hAnsi="Arial" w:cs="Arial"/>
          <w:sz w:val="18"/>
          <w:szCs w:val="18"/>
        </w:rPr>
      </w:pPr>
      <w:r w:rsidRPr="00125AC4">
        <w:rPr>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 xml:space="preserve">De conformidad con el Capítulo VI de las Directivas Operativas, el </w:t>
      </w:r>
      <w:r>
        <w:rPr>
          <w:rFonts w:ascii="Arial" w:hAnsi="Arial" w:cs="Arial"/>
          <w:sz w:val="18"/>
          <w:szCs w:val="18"/>
        </w:rPr>
        <w:t>“</w:t>
      </w:r>
      <w:r w:rsidRPr="00125AC4">
        <w:rPr>
          <w:rFonts w:ascii="Arial" w:hAnsi="Arial" w:cs="Arial"/>
          <w:sz w:val="18"/>
          <w:szCs w:val="18"/>
        </w:rPr>
        <w:t>desarrollo económico inclusivo</w:t>
      </w:r>
      <w:r>
        <w:rPr>
          <w:rFonts w:ascii="Arial" w:hAnsi="Arial" w:cs="Arial"/>
          <w:sz w:val="18"/>
          <w:szCs w:val="18"/>
        </w:rPr>
        <w:t>”</w:t>
      </w:r>
      <w:r w:rsidRPr="00125AC4">
        <w:rPr>
          <w:rFonts w:ascii="Arial" w:hAnsi="Arial" w:cs="Arial"/>
          <w:sz w:val="18"/>
          <w:szCs w:val="18"/>
        </w:rPr>
        <w:t xml:space="preserve"> incluye la generación de ingresos y la subsistencia sostenible, el empleo productivo y el trabajo decente, así como el impacto del turismo en la salvaguardia del PCI y viceversa.</w:t>
      </w:r>
    </w:p>
  </w:footnote>
  <w:footnote w:id="16">
    <w:p w14:paraId="3B1D5868" w14:textId="77777777" w:rsidR="00654BAF" w:rsidRPr="00125AC4" w:rsidRDefault="00654BAF" w:rsidP="00050E07">
      <w:pPr>
        <w:pStyle w:val="Notedebasdepage"/>
        <w:tabs>
          <w:tab w:val="left" w:pos="567"/>
        </w:tabs>
        <w:spacing w:before="60" w:after="60"/>
        <w:ind w:left="567" w:hanging="567"/>
        <w:rPr>
          <w:rFonts w:ascii="Arial" w:hAnsi="Arial" w:cs="Arial"/>
          <w:sz w:val="18"/>
          <w:szCs w:val="18"/>
        </w:rPr>
      </w:pPr>
      <w:r w:rsidRPr="00125AC4">
        <w:rPr>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Este indicador solamente se supervisa y notifica a nivel global.</w:t>
      </w:r>
    </w:p>
  </w:footnote>
  <w:footnote w:id="17">
    <w:p w14:paraId="6FD56BAA" w14:textId="77777777" w:rsidR="00654BAF" w:rsidRPr="00125AC4" w:rsidRDefault="00654BAF" w:rsidP="00050E07">
      <w:pPr>
        <w:pStyle w:val="Notedebasdepage"/>
        <w:tabs>
          <w:tab w:val="left" w:pos="567"/>
        </w:tabs>
        <w:spacing w:before="60" w:after="60"/>
        <w:ind w:left="567" w:hanging="567"/>
        <w:rPr>
          <w:rFonts w:ascii="Arial" w:hAnsi="Arial" w:cs="Arial"/>
          <w:sz w:val="18"/>
          <w:szCs w:val="18"/>
        </w:rPr>
      </w:pPr>
      <w:r w:rsidRPr="00125AC4">
        <w:rPr>
          <w:rFonts w:ascii="Arial" w:hAnsi="Arial" w:cs="Arial"/>
          <w:sz w:val="18"/>
          <w:szCs w:val="18"/>
        </w:rPr>
        <w:footnoteRef/>
      </w:r>
      <w:r w:rsidRPr="00125AC4">
        <w:rPr>
          <w:rFonts w:ascii="Arial" w:hAnsi="Arial" w:cs="Arial"/>
          <w:sz w:val="18"/>
          <w:szCs w:val="18"/>
        </w:rPr>
        <w:t>.</w:t>
      </w:r>
      <w:r w:rsidRPr="00125AC4">
        <w:rPr>
          <w:rFonts w:ascii="Arial" w:hAnsi="Arial" w:cs="Arial"/>
          <w:sz w:val="18"/>
          <w:szCs w:val="18"/>
        </w:rPr>
        <w:tab/>
        <w:t>Este indicador solamente se supervisa y notifica a nivel global.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4A8D" w14:textId="37668FA7" w:rsidR="00654BAF" w:rsidRPr="009E2C3C" w:rsidRDefault="00654BAF" w:rsidP="009E2C3C">
    <w:pPr>
      <w:pStyle w:val="En-tte"/>
      <w:rPr>
        <w:rFonts w:ascii="Arial" w:hAnsi="Arial"/>
        <w:sz w:val="16"/>
        <w:szCs w:val="16"/>
      </w:rPr>
    </w:pPr>
    <w:r>
      <w:rPr>
        <w:rStyle w:val="Numrodepage"/>
      </w:rPr>
      <w:fldChar w:fldCharType="begin"/>
    </w:r>
    <w:r>
      <w:rPr>
        <w:rStyle w:val="Numrodepage"/>
      </w:rPr>
      <w:instrText xml:space="preserve"> PAGE </w:instrText>
    </w:r>
    <w:r>
      <w:rPr>
        <w:rStyle w:val="Numrodepage"/>
      </w:rPr>
      <w:fldChar w:fldCharType="separate"/>
    </w:r>
    <w:r w:rsidR="00545DF2">
      <w:rPr>
        <w:rStyle w:val="Numrodepage"/>
        <w:noProof/>
      </w:rPr>
      <w:t>25</w:t>
    </w:r>
    <w:r>
      <w:rPr>
        <w:rStyle w:val="Numrodepage"/>
      </w:rPr>
      <w:fldChar w:fldCharType="end"/>
    </w:r>
    <w:r>
      <w:rPr>
        <w:rFonts w:ascii="Arial" w:hAnsi="Arial"/>
        <w:sz w:val="16"/>
      </w:rPr>
      <w:t xml:space="preserve">                     Unidad 58: Seguimiento basado en los resultados y el marco global de resultados</w:t>
    </w:r>
    <w:r>
      <w:rPr>
        <w:rFonts w:ascii="Arial" w:hAnsi="Arial"/>
        <w:sz w:val="16"/>
      </w:rPr>
      <w:tab/>
      <w:t xml:space="preserve">Texto para el Participante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709"/>
    <w:multiLevelType w:val="multilevel"/>
    <w:tmpl w:val="DBAE2B38"/>
    <w:lvl w:ilvl="0">
      <w:start w:val="16"/>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B5A3192"/>
    <w:multiLevelType w:val="hybridMultilevel"/>
    <w:tmpl w:val="B86C9BA6"/>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03B594B"/>
    <w:multiLevelType w:val="hybridMultilevel"/>
    <w:tmpl w:val="D12AB9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BB379D"/>
    <w:multiLevelType w:val="hybridMultilevel"/>
    <w:tmpl w:val="89DC3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0554B"/>
    <w:multiLevelType w:val="multilevel"/>
    <w:tmpl w:val="C082EE2C"/>
    <w:lvl w:ilvl="0">
      <w:start w:val="4"/>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8" w15:restartNumberingAfterBreak="0">
    <w:nsid w:val="15284C70"/>
    <w:multiLevelType w:val="hybridMultilevel"/>
    <w:tmpl w:val="ADF2CD06"/>
    <w:lvl w:ilvl="0" w:tplc="FFFFFFFF">
      <w:start w:val="1"/>
      <w:numFmt w:val="decimal"/>
      <w:pStyle w:val="Heading2"/>
      <w:lvlText w:val="%1."/>
      <w:lvlJc w:val="left"/>
      <w:pPr>
        <w:ind w:left="72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D5155C1"/>
    <w:multiLevelType w:val="multilevel"/>
    <w:tmpl w:val="356E2A84"/>
    <w:lvl w:ilvl="0">
      <w:start w:val="2"/>
      <w:numFmt w:val="decimal"/>
      <w:lvlText w:val="%1"/>
      <w:lvlJc w:val="left"/>
      <w:pPr>
        <w:ind w:left="360" w:hanging="360"/>
      </w:pPr>
      <w:rPr>
        <w:rFonts w:cs="Times New Roman" w:hint="default"/>
      </w:rPr>
    </w:lvl>
    <w:lvl w:ilvl="1">
      <w:start w:val="1"/>
      <w:numFmt w:val="decimal"/>
      <w:lvlText w:val="4.%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10" w15:restartNumberingAfterBreak="0">
    <w:nsid w:val="1E6F3D42"/>
    <w:multiLevelType w:val="multilevel"/>
    <w:tmpl w:val="9232358E"/>
    <w:lvl w:ilvl="0">
      <w:start w:val="11"/>
      <w:numFmt w:val="decimal"/>
      <w:lvlText w:val="%1"/>
      <w:lvlJc w:val="left"/>
      <w:pPr>
        <w:ind w:left="375" w:hanging="375"/>
      </w:pPr>
      <w:rPr>
        <w:rFonts w:cs="Times New Roman" w:hint="default"/>
      </w:rPr>
    </w:lvl>
    <w:lvl w:ilvl="1">
      <w:start w:val="1"/>
      <w:numFmt w:val="decimal"/>
      <w:lvlText w:val="%1.%2"/>
      <w:lvlJc w:val="left"/>
      <w:pPr>
        <w:ind w:left="4061"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11" w15:restartNumberingAfterBreak="0">
    <w:nsid w:val="222A59F8"/>
    <w:multiLevelType w:val="hybridMultilevel"/>
    <w:tmpl w:val="8376E6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E97425"/>
    <w:multiLevelType w:val="hybridMultilevel"/>
    <w:tmpl w:val="0652B5C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D06E1C"/>
    <w:multiLevelType w:val="multilevel"/>
    <w:tmpl w:val="13423B5A"/>
    <w:lvl w:ilvl="0">
      <w:start w:val="1"/>
      <w:numFmt w:val="decimal"/>
      <w:lvlText w:val="%1."/>
      <w:lvlJc w:val="left"/>
      <w:pPr>
        <w:ind w:left="360" w:hanging="360"/>
      </w:pPr>
      <w:rPr>
        <w:rFonts w:ascii="Arial Narrow" w:hAnsi="Arial Narrow" w:cs="Times New Roman" w:hint="default"/>
        <w:b w:val="0"/>
        <w:i w:val="0"/>
        <w:caps w:val="0"/>
        <w:strike w:val="0"/>
        <w:dstrike w:val="0"/>
        <w:vanish w:val="0"/>
        <w:sz w:val="18"/>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8503CC3"/>
    <w:multiLevelType w:val="multilevel"/>
    <w:tmpl w:val="765075C4"/>
    <w:lvl w:ilvl="0">
      <w:start w:val="2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0F84BCB"/>
    <w:multiLevelType w:val="multilevel"/>
    <w:tmpl w:val="DBD86F44"/>
    <w:lvl w:ilvl="0">
      <w:start w:val="2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31A11F2D"/>
    <w:multiLevelType w:val="hybridMultilevel"/>
    <w:tmpl w:val="94B208C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C7044B"/>
    <w:multiLevelType w:val="multilevel"/>
    <w:tmpl w:val="9C5E3B12"/>
    <w:lvl w:ilvl="0">
      <w:start w:val="24"/>
      <w:numFmt w:val="decimal"/>
      <w:lvlText w:val="%1"/>
      <w:lvlJc w:val="left"/>
      <w:pPr>
        <w:ind w:left="375" w:hanging="375"/>
      </w:pPr>
      <w:rPr>
        <w:rFonts w:cs="Times New Roman" w:hint="default"/>
      </w:rPr>
    </w:lvl>
    <w:lvl w:ilvl="1">
      <w:start w:val="1"/>
      <w:numFmt w:val="decimal"/>
      <w:lvlText w:val="%1.%2"/>
      <w:lvlJc w:val="left"/>
      <w:pPr>
        <w:ind w:left="1367"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5F07BFE"/>
    <w:multiLevelType w:val="hybridMultilevel"/>
    <w:tmpl w:val="1D92E4D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795165C"/>
    <w:multiLevelType w:val="hybridMultilevel"/>
    <w:tmpl w:val="D2CEDE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1359B8"/>
    <w:multiLevelType w:val="multilevel"/>
    <w:tmpl w:val="76340600"/>
    <w:lvl w:ilvl="0">
      <w:start w:val="9"/>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2" w15:restartNumberingAfterBreak="0">
    <w:nsid w:val="397A4DB1"/>
    <w:multiLevelType w:val="hybridMultilevel"/>
    <w:tmpl w:val="3006DECA"/>
    <w:lvl w:ilvl="0" w:tplc="FFFFFFFF">
      <w:start w:val="1"/>
      <w:numFmt w:val="decimal"/>
      <w:pStyle w:val="COMParaDecision"/>
      <w:lvlText w:val="%1."/>
      <w:lvlJc w:val="left"/>
      <w:pPr>
        <w:ind w:left="360" w:hanging="360"/>
      </w:pPr>
      <w:rPr>
        <w:rFonts w:cs="Times New Roman" w:hint="default"/>
        <w:b w:val="0"/>
      </w:rPr>
    </w:lvl>
    <w:lvl w:ilvl="1" w:tplc="FFFFFFFF">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3" w15:restartNumberingAfterBreak="0">
    <w:nsid w:val="3C833CD7"/>
    <w:multiLevelType w:val="multilevel"/>
    <w:tmpl w:val="835843FC"/>
    <w:lvl w:ilvl="0">
      <w:start w:val="13"/>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4" w15:restartNumberingAfterBreak="0">
    <w:nsid w:val="3CE97E74"/>
    <w:multiLevelType w:val="hybridMultilevel"/>
    <w:tmpl w:val="04ACAF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A7287F"/>
    <w:multiLevelType w:val="multilevel"/>
    <w:tmpl w:val="90102936"/>
    <w:lvl w:ilvl="0">
      <w:start w:val="8"/>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6" w15:restartNumberingAfterBreak="0">
    <w:nsid w:val="40EB2969"/>
    <w:multiLevelType w:val="multilevel"/>
    <w:tmpl w:val="CCDA820A"/>
    <w:lvl w:ilvl="0">
      <w:start w:val="20"/>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40FD6EEF"/>
    <w:multiLevelType w:val="multilevel"/>
    <w:tmpl w:val="1080733E"/>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8" w15:restartNumberingAfterBreak="0">
    <w:nsid w:val="44984C0B"/>
    <w:multiLevelType w:val="multilevel"/>
    <w:tmpl w:val="F37EAD20"/>
    <w:lvl w:ilvl="0">
      <w:start w:val="14"/>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9" w15:restartNumberingAfterBreak="0">
    <w:nsid w:val="49545EAC"/>
    <w:multiLevelType w:val="multilevel"/>
    <w:tmpl w:val="E1DEAED6"/>
    <w:lvl w:ilvl="0">
      <w:start w:val="5"/>
      <w:numFmt w:val="decimal"/>
      <w:lvlText w:val="%1"/>
      <w:lvlJc w:val="left"/>
      <w:pPr>
        <w:ind w:left="360" w:hanging="360"/>
      </w:pPr>
      <w:rPr>
        <w:rFonts w:cs="Times New Roman" w:hint="default"/>
      </w:rPr>
    </w:lvl>
    <w:lvl w:ilvl="1">
      <w:start w:val="1"/>
      <w:numFmt w:val="decimal"/>
      <w:lvlText w:val="2.%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30" w15:restartNumberingAfterBreak="0">
    <w:nsid w:val="4B9B4C5A"/>
    <w:multiLevelType w:val="multilevel"/>
    <w:tmpl w:val="BA60A44C"/>
    <w:lvl w:ilvl="0">
      <w:start w:val="26"/>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543D73B4"/>
    <w:multiLevelType w:val="hybridMultilevel"/>
    <w:tmpl w:val="FE140B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211E8"/>
    <w:multiLevelType w:val="multilevel"/>
    <w:tmpl w:val="6B8C3E24"/>
    <w:lvl w:ilvl="0">
      <w:start w:val="10"/>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33" w15:restartNumberingAfterBreak="0">
    <w:nsid w:val="58DA6605"/>
    <w:multiLevelType w:val="hybridMultilevel"/>
    <w:tmpl w:val="4AD0949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EB212C"/>
    <w:multiLevelType w:val="multilevel"/>
    <w:tmpl w:val="A094F0A6"/>
    <w:lvl w:ilvl="0">
      <w:start w:val="1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5C1F5D61"/>
    <w:multiLevelType w:val="multilevel"/>
    <w:tmpl w:val="ED7E78BA"/>
    <w:lvl w:ilvl="0">
      <w:start w:val="1"/>
      <w:numFmt w:val="decimal"/>
      <w:lvlText w:val="%1."/>
      <w:lvlJc w:val="left"/>
      <w:pPr>
        <w:ind w:left="360" w:hanging="360"/>
      </w:pPr>
      <w:rPr>
        <w:rFonts w:cs="Times New Roman" w:hint="default"/>
      </w:rPr>
    </w:lvl>
    <w:lvl w:ilvl="1">
      <w:start w:val="1"/>
      <w:numFmt w:val="decimal"/>
      <w:lvlText w:val="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3092062"/>
    <w:multiLevelType w:val="multilevel"/>
    <w:tmpl w:val="FD704AB8"/>
    <w:lvl w:ilvl="0">
      <w:start w:val="18"/>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6330635A"/>
    <w:multiLevelType w:val="hybridMultilevel"/>
    <w:tmpl w:val="B428176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92126F"/>
    <w:multiLevelType w:val="hybridMultilevel"/>
    <w:tmpl w:val="E8605DF4"/>
    <w:lvl w:ilvl="0" w:tplc="FFFFFFFF">
      <w:start w:val="1"/>
      <w:numFmt w:val="decimal"/>
      <w:lvlText w:val="%1."/>
      <w:lvlJc w:val="left"/>
      <w:pPr>
        <w:ind w:left="720" w:hanging="360"/>
      </w:pPr>
      <w:rPr>
        <w:rFonts w:ascii="Arial" w:hAnsi="Arial" w:cs="Arial" w:hint="default"/>
        <w:color w:val="3366FF"/>
        <w:sz w:val="4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6539069C"/>
    <w:multiLevelType w:val="hybridMultilevel"/>
    <w:tmpl w:val="D68EC54E"/>
    <w:lvl w:ilvl="0" w:tplc="FFFFFFFF">
      <w:start w:val="5"/>
      <w:numFmt w:val="decimal"/>
      <w:lvlText w:val="%1."/>
      <w:lvlJc w:val="left"/>
      <w:pPr>
        <w:ind w:left="720" w:hanging="360"/>
      </w:pPr>
      <w:rPr>
        <w:rFonts w:cs="Arial" w:hint="default"/>
        <w:color w:val="3366FF"/>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65D30E88"/>
    <w:multiLevelType w:val="multilevel"/>
    <w:tmpl w:val="54F84076"/>
    <w:lvl w:ilvl="0">
      <w:start w:val="25"/>
      <w:numFmt w:val="decimal"/>
      <w:lvlText w:val="%1"/>
      <w:lvlJc w:val="left"/>
      <w:pPr>
        <w:ind w:left="375" w:hanging="375"/>
      </w:pPr>
      <w:rPr>
        <w:rFonts w:cs="Times New Roman" w:hint="default"/>
      </w:rPr>
    </w:lvl>
    <w:lvl w:ilvl="1">
      <w:start w:val="1"/>
      <w:numFmt w:val="decimal"/>
      <w:lvlText w:val="%1.%2"/>
      <w:lvlJc w:val="left"/>
      <w:pPr>
        <w:ind w:left="122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69B22285"/>
    <w:multiLevelType w:val="multilevel"/>
    <w:tmpl w:val="FF4EE7DA"/>
    <w:lvl w:ilvl="0">
      <w:start w:val="2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6FC94CCC"/>
    <w:multiLevelType w:val="multilevel"/>
    <w:tmpl w:val="5FE08C74"/>
    <w:lvl w:ilvl="0">
      <w:start w:val="3"/>
      <w:numFmt w:val="decimal"/>
      <w:lvlText w:val="%1"/>
      <w:lvlJc w:val="left"/>
      <w:pPr>
        <w:ind w:left="360" w:hanging="360"/>
      </w:pPr>
      <w:rPr>
        <w:rFonts w:cs="Times New Roman" w:hint="default"/>
      </w:rPr>
    </w:lvl>
    <w:lvl w:ilvl="1">
      <w:start w:val="1"/>
      <w:numFmt w:val="decimal"/>
      <w:lvlText w:val="6.%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43" w15:restartNumberingAfterBreak="0">
    <w:nsid w:val="71F21F08"/>
    <w:multiLevelType w:val="hybridMultilevel"/>
    <w:tmpl w:val="4ACA845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213048"/>
    <w:multiLevelType w:val="hybridMultilevel"/>
    <w:tmpl w:val="FF2CE41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E9309E"/>
    <w:multiLevelType w:val="hybridMultilevel"/>
    <w:tmpl w:val="33AC948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367C2A"/>
    <w:multiLevelType w:val="multilevel"/>
    <w:tmpl w:val="CF381C3A"/>
    <w:lvl w:ilvl="0">
      <w:start w:val="6"/>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15:restartNumberingAfterBreak="0">
    <w:nsid w:val="7CD54E65"/>
    <w:multiLevelType w:val="hybridMultilevel"/>
    <w:tmpl w:val="947A9EF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43"/>
  </w:num>
  <w:num w:numId="3">
    <w:abstractNumId w:val="44"/>
  </w:num>
  <w:num w:numId="4">
    <w:abstractNumId w:val="22"/>
  </w:num>
  <w:num w:numId="5">
    <w:abstractNumId w:val="5"/>
  </w:num>
  <w:num w:numId="6">
    <w:abstractNumId w:val="33"/>
  </w:num>
  <w:num w:numId="7">
    <w:abstractNumId w:val="37"/>
  </w:num>
  <w:num w:numId="8">
    <w:abstractNumId w:val="12"/>
  </w:num>
  <w:num w:numId="9">
    <w:abstractNumId w:val="20"/>
  </w:num>
  <w:num w:numId="10">
    <w:abstractNumId w:val="2"/>
  </w:num>
  <w:num w:numId="11">
    <w:abstractNumId w:val="13"/>
  </w:num>
  <w:num w:numId="12">
    <w:abstractNumId w:val="38"/>
  </w:num>
  <w:num w:numId="13">
    <w:abstractNumId w:val="11"/>
  </w:num>
  <w:num w:numId="14">
    <w:abstractNumId w:val="15"/>
  </w:num>
  <w:num w:numId="15">
    <w:abstractNumId w:val="35"/>
  </w:num>
  <w:num w:numId="16">
    <w:abstractNumId w:val="23"/>
  </w:num>
  <w:num w:numId="17">
    <w:abstractNumId w:val="9"/>
  </w:num>
  <w:num w:numId="18">
    <w:abstractNumId w:val="42"/>
  </w:num>
  <w:num w:numId="19">
    <w:abstractNumId w:val="7"/>
  </w:num>
  <w:num w:numId="20">
    <w:abstractNumId w:val="29"/>
  </w:num>
  <w:num w:numId="21">
    <w:abstractNumId w:val="46"/>
  </w:num>
  <w:num w:numId="22">
    <w:abstractNumId w:val="27"/>
  </w:num>
  <w:num w:numId="23">
    <w:abstractNumId w:val="25"/>
  </w:num>
  <w:num w:numId="24">
    <w:abstractNumId w:val="21"/>
  </w:num>
  <w:num w:numId="25">
    <w:abstractNumId w:val="32"/>
  </w:num>
  <w:num w:numId="26">
    <w:abstractNumId w:val="10"/>
  </w:num>
  <w:num w:numId="27">
    <w:abstractNumId w:val="1"/>
  </w:num>
  <w:num w:numId="28">
    <w:abstractNumId w:val="28"/>
  </w:num>
  <w:num w:numId="29">
    <w:abstractNumId w:val="34"/>
  </w:num>
  <w:num w:numId="30">
    <w:abstractNumId w:val="0"/>
  </w:num>
  <w:num w:numId="31">
    <w:abstractNumId w:val="4"/>
  </w:num>
  <w:num w:numId="32">
    <w:abstractNumId w:val="36"/>
  </w:num>
  <w:num w:numId="33">
    <w:abstractNumId w:val="3"/>
  </w:num>
  <w:num w:numId="34">
    <w:abstractNumId w:val="26"/>
  </w:num>
  <w:num w:numId="35">
    <w:abstractNumId w:val="16"/>
  </w:num>
  <w:num w:numId="36">
    <w:abstractNumId w:val="41"/>
  </w:num>
  <w:num w:numId="37">
    <w:abstractNumId w:val="14"/>
  </w:num>
  <w:num w:numId="38">
    <w:abstractNumId w:val="18"/>
  </w:num>
  <w:num w:numId="39">
    <w:abstractNumId w:val="40"/>
  </w:num>
  <w:num w:numId="40">
    <w:abstractNumId w:val="30"/>
  </w:num>
  <w:num w:numId="41">
    <w:abstractNumId w:val="8"/>
  </w:num>
  <w:num w:numId="42">
    <w:abstractNumId w:val="45"/>
  </w:num>
  <w:num w:numId="43">
    <w:abstractNumId w:val="39"/>
  </w:num>
  <w:num w:numId="44">
    <w:abstractNumId w:val="17"/>
  </w:num>
  <w:num w:numId="45">
    <w:abstractNumId w:val="47"/>
  </w:num>
  <w:num w:numId="46">
    <w:abstractNumId w:val="24"/>
  </w:num>
  <w:num w:numId="47">
    <w:abstractNumId w:val="3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276"/>
    <w:rsid w:val="00050E07"/>
    <w:rsid w:val="000D5020"/>
    <w:rsid w:val="001E5D82"/>
    <w:rsid w:val="002106EC"/>
    <w:rsid w:val="00224D09"/>
    <w:rsid w:val="002E4603"/>
    <w:rsid w:val="00345F4A"/>
    <w:rsid w:val="003E449E"/>
    <w:rsid w:val="0045161B"/>
    <w:rsid w:val="004B6BAF"/>
    <w:rsid w:val="004C04B4"/>
    <w:rsid w:val="004C7697"/>
    <w:rsid w:val="004F403D"/>
    <w:rsid w:val="00545DF2"/>
    <w:rsid w:val="0060192F"/>
    <w:rsid w:val="00654BAF"/>
    <w:rsid w:val="006C44BA"/>
    <w:rsid w:val="006C7EFA"/>
    <w:rsid w:val="0074777C"/>
    <w:rsid w:val="00750B76"/>
    <w:rsid w:val="00752E90"/>
    <w:rsid w:val="007A6E7C"/>
    <w:rsid w:val="007B1C89"/>
    <w:rsid w:val="00836AA6"/>
    <w:rsid w:val="0088367C"/>
    <w:rsid w:val="0088484F"/>
    <w:rsid w:val="009E2BB5"/>
    <w:rsid w:val="009E2C3C"/>
    <w:rsid w:val="00A30A16"/>
    <w:rsid w:val="00A52620"/>
    <w:rsid w:val="00A8072E"/>
    <w:rsid w:val="00AA3F97"/>
    <w:rsid w:val="00AB7B73"/>
    <w:rsid w:val="00AE27F9"/>
    <w:rsid w:val="00B12BFF"/>
    <w:rsid w:val="00B873A9"/>
    <w:rsid w:val="00BE53A7"/>
    <w:rsid w:val="00C33276"/>
    <w:rsid w:val="00C44073"/>
    <w:rsid w:val="00CA3F30"/>
    <w:rsid w:val="00CA6D23"/>
    <w:rsid w:val="00CC6752"/>
    <w:rsid w:val="00D72BE9"/>
    <w:rsid w:val="00D91F47"/>
    <w:rsid w:val="00DD5385"/>
    <w:rsid w:val="00E167D0"/>
    <w:rsid w:val="00E241B1"/>
    <w:rsid w:val="00E531A1"/>
    <w:rsid w:val="00F16A29"/>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C7264A8"/>
  <w14:defaultImageDpi w14:val="0"/>
  <w15:docId w15:val="{7AA9224A-BCD3-42A6-AAD1-301646D3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240" w:after="0"/>
      <w:outlineLvl w:val="0"/>
    </w:pPr>
    <w:rPr>
      <w:rFonts w:ascii="Cambria" w:eastAsia="MS Gothic" w:hAnsi="Cambria" w:cs="Times New Roman"/>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color w:val="365F91"/>
      <w:sz w:val="32"/>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Pr>
      <w:color w:val="0000FF"/>
      <w:u w:val="single"/>
      <w:lang w:val="es-ES" w:eastAsia="es-ES"/>
    </w:rPr>
  </w:style>
  <w:style w:type="paragraph" w:styleId="Notedebasdepage">
    <w:name w:val="footnote text"/>
    <w:basedOn w:val="Normal"/>
    <w:link w:val="NotedebasdepageCar"/>
    <w:uiPriority w:val="99"/>
    <w:unhideWhenUsed/>
    <w:pPr>
      <w:spacing w:after="0" w:line="240" w:lineRule="auto"/>
    </w:pPr>
    <w:rPr>
      <w:rFonts w:ascii="Times New Roman" w:hAnsi="Times New Roman" w:cs="Times New Roman"/>
      <w:sz w:val="20"/>
      <w:szCs w:val="20"/>
    </w:rPr>
  </w:style>
  <w:style w:type="character" w:customStyle="1" w:styleId="NotedebasdepageCar">
    <w:name w:val="Note de bas de page Car"/>
    <w:link w:val="Notedebasdepage"/>
    <w:uiPriority w:val="99"/>
    <w:locked/>
    <w:rPr>
      <w:rFonts w:ascii="Times New Roman" w:hAnsi="Times New Roman"/>
      <w:sz w:val="20"/>
      <w:lang w:val="es-ES" w:eastAsia="es-ES"/>
    </w:rPr>
  </w:style>
  <w:style w:type="character" w:styleId="Appelnotedebasdep">
    <w:name w:val="footnote reference"/>
    <w:uiPriority w:val="99"/>
    <w:semiHidden/>
    <w:unhideWhenUsed/>
    <w:rPr>
      <w:vertAlign w:val="superscript"/>
      <w:lang w:val="es-ES" w:eastAsia="es-ES"/>
    </w:rPr>
  </w:style>
  <w:style w:type="paragraph" w:customStyle="1" w:styleId="COMTitleDecision">
    <w:name w:val="COM Title Decision"/>
    <w:basedOn w:val="Normal"/>
    <w:qFormat/>
    <w:pPr>
      <w:keepNext/>
      <w:spacing w:before="360" w:after="120" w:line="240" w:lineRule="auto"/>
      <w:jc w:val="both"/>
    </w:pPr>
    <w:rPr>
      <w:rFonts w:ascii="Arial" w:hAnsi="Arial"/>
      <w:b/>
    </w:rPr>
  </w:style>
  <w:style w:type="character" w:customStyle="1" w:styleId="hps">
    <w:name w:val="hps"/>
  </w:style>
  <w:style w:type="paragraph" w:customStyle="1" w:styleId="Para">
    <w:name w:val="Para"/>
    <w:qFormat/>
    <w:pPr>
      <w:spacing w:after="240" w:line="276" w:lineRule="auto"/>
      <w:jc w:val="both"/>
    </w:pPr>
    <w:rPr>
      <w:rFonts w:ascii="Arial" w:hAnsi="Arial" w:cs="Arial"/>
      <w:lang w:val="es-ES" w:eastAsia="es-ES"/>
    </w:rPr>
  </w:style>
  <w:style w:type="paragraph" w:customStyle="1" w:styleId="Default">
    <w:name w:val="Default"/>
    <w:link w:val="DefaultChar"/>
    <w:pPr>
      <w:autoSpaceDE w:val="0"/>
      <w:autoSpaceDN w:val="0"/>
      <w:adjustRightInd w:val="0"/>
    </w:pPr>
    <w:rPr>
      <w:rFonts w:eastAsia="MS Mincho"/>
      <w:color w:val="000000"/>
      <w:sz w:val="24"/>
      <w:szCs w:val="24"/>
      <w:lang w:val="es-ES" w:eastAsia="es-ES"/>
    </w:rPr>
  </w:style>
  <w:style w:type="character" w:customStyle="1" w:styleId="DefaultChar">
    <w:name w:val="Default Char"/>
    <w:link w:val="Default"/>
    <w:locked/>
    <w:rPr>
      <w:rFonts w:ascii="Calibri" w:eastAsia="MS Mincho" w:hAnsi="Calibri"/>
      <w:color w:val="000000"/>
      <w:sz w:val="24"/>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paragraph" w:customStyle="1" w:styleId="Footnote">
    <w:name w:val="Footnote"/>
    <w:basedOn w:val="Notedefin"/>
    <w:link w:val="FootnoteChar"/>
    <w:qFormat/>
    <w:pPr>
      <w:ind w:left="709" w:hanging="709"/>
    </w:pPr>
    <w:rPr>
      <w:rFonts w:ascii="Arial" w:hAnsi="Arial"/>
    </w:rPr>
  </w:style>
  <w:style w:type="character" w:customStyle="1" w:styleId="FootnoteChar">
    <w:name w:val="Footnote Char"/>
    <w:link w:val="Footnote"/>
    <w:locked/>
    <w:rPr>
      <w:rFonts w:ascii="Arial" w:hAnsi="Arial"/>
      <w:sz w:val="20"/>
      <w:lang w:val="es-ES" w:eastAsia="es-ES"/>
    </w:rPr>
  </w:style>
  <w:style w:type="paragraph" w:customStyle="1" w:styleId="COMParaDecision">
    <w:name w:val="COM Para Decision"/>
    <w:basedOn w:val="Normal"/>
    <w:qFormat/>
    <w:pPr>
      <w:numPr>
        <w:numId w:val="4"/>
      </w:numPr>
      <w:autoSpaceDE w:val="0"/>
      <w:autoSpaceDN w:val="0"/>
      <w:adjustRightInd w:val="0"/>
      <w:spacing w:after="120" w:line="240" w:lineRule="auto"/>
      <w:jc w:val="both"/>
    </w:pPr>
    <w:rPr>
      <w:rFonts w:ascii="Arial" w:eastAsia="SimSun" w:hAnsi="Arial"/>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locked/>
    <w:rPr>
      <w:sz w:val="20"/>
      <w:lang w:val="es-ES" w:eastAsia="es-ES"/>
    </w:r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paragraph" w:customStyle="1" w:styleId="1GAPara">
    <w:name w:val="1. GA Para"/>
    <w:qFormat/>
    <w:pPr>
      <w:spacing w:after="120"/>
      <w:ind w:left="720" w:hanging="360"/>
    </w:pPr>
    <w:rPr>
      <w:rFonts w:ascii="Arial" w:hAnsi="Arial" w:cs="Arial"/>
      <w:sz w:val="22"/>
      <w:szCs w:val="22"/>
      <w:lang w:val="es-ES" w:eastAsia="es-ES"/>
    </w:rPr>
  </w:style>
  <w:style w:type="character" w:styleId="lev">
    <w:name w:val="Strong"/>
    <w:uiPriority w:val="22"/>
    <w:qFormat/>
    <w:rPr>
      <w:b/>
      <w:lang w:val="es-ES" w:eastAsia="es-ES"/>
    </w:rPr>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link w:val="Pieddepage"/>
    <w:uiPriority w:val="99"/>
    <w:locked/>
    <w:rPr>
      <w:lang w:val="es-ES" w:eastAsia="es-ES"/>
    </w:rPr>
  </w:style>
  <w:style w:type="character" w:styleId="Accentuation">
    <w:name w:val="Emphasis"/>
    <w:uiPriority w:val="20"/>
    <w:qFormat/>
    <w:rPr>
      <w:i/>
      <w:lang w:val="es-ES" w:eastAsia="es-ES"/>
    </w:rPr>
  </w:style>
  <w:style w:type="character" w:customStyle="1" w:styleId="shortdesc1">
    <w:name w:val="short_desc1"/>
    <w:rPr>
      <w:rFonts w:ascii="Verdana" w:hAnsi="Verdana"/>
      <w:color w:val="000000"/>
      <w:sz w:val="15"/>
      <w:u w:val="none"/>
      <w:effect w:val="none"/>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after="480" w:line="840" w:lineRule="exact"/>
      <w:jc w:val="both"/>
    </w:pPr>
    <w:rPr>
      <w:rFonts w:ascii="Arial" w:eastAsia="Times New Roman" w:hAnsi="Arial" w:cs="Arial"/>
      <w:b/>
      <w:bCs/>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Heading2">
    <w:name w:val="Heading2"/>
    <w:basedOn w:val="Titre"/>
    <w:link w:val="Heading2Char"/>
    <w:pPr>
      <w:keepNext/>
      <w:widowControl w:val="0"/>
      <w:numPr>
        <w:numId w:val="41"/>
      </w:numPr>
      <w:tabs>
        <w:tab w:val="left" w:pos="851"/>
      </w:tabs>
      <w:snapToGrid w:val="0"/>
      <w:spacing w:after="240" w:line="320" w:lineRule="exact"/>
      <w:ind w:left="851" w:hanging="851"/>
      <w:contextualSpacing w:val="0"/>
    </w:pPr>
    <w:rPr>
      <w:rFonts w:ascii="Arial" w:eastAsia="SimSun" w:hAnsi="Arial" w:cs="Arial"/>
      <w:b/>
      <w:bCs/>
      <w:caps/>
      <w:noProof/>
      <w:color w:val="3366FF"/>
      <w:spacing w:val="0"/>
      <w:w w:val="106"/>
      <w:sz w:val="24"/>
      <w:szCs w:val="24"/>
    </w:rPr>
  </w:style>
  <w:style w:type="character" w:customStyle="1" w:styleId="Heading2Char">
    <w:name w:val="Heading2 Char"/>
    <w:link w:val="Heading2"/>
    <w:locked/>
    <w:rPr>
      <w:rFonts w:ascii="Arial" w:eastAsia="SimSun" w:hAnsi="Arial"/>
      <w:b/>
      <w:caps/>
      <w:noProof/>
      <w:color w:val="3366FF"/>
      <w:w w:val="106"/>
      <w:sz w:val="24"/>
      <w:lang w:val="es-ES" w:eastAsia="es-ES"/>
    </w:rPr>
  </w:style>
  <w:style w:type="paragraph" w:styleId="Titre">
    <w:name w:val="Title"/>
    <w:basedOn w:val="Normal"/>
    <w:next w:val="Normal"/>
    <w:link w:val="TitreCar"/>
    <w:uiPriority w:val="10"/>
    <w:qFormat/>
    <w:pPr>
      <w:spacing w:after="0" w:line="240" w:lineRule="auto"/>
      <w:contextualSpacing/>
    </w:pPr>
    <w:rPr>
      <w:rFonts w:ascii="Cambria" w:eastAsia="MS Gothic" w:hAnsi="Cambria" w:cs="Times New Roman"/>
      <w:spacing w:val="-10"/>
      <w:kern w:val="28"/>
      <w:sz w:val="56"/>
      <w:szCs w:val="56"/>
    </w:rPr>
  </w:style>
  <w:style w:type="character" w:customStyle="1" w:styleId="TitreCar">
    <w:name w:val="Titre Car"/>
    <w:link w:val="Titre"/>
    <w:uiPriority w:val="10"/>
    <w:locked/>
    <w:rPr>
      <w:rFonts w:ascii="Cambria" w:eastAsia="MS Gothic" w:hAnsi="Cambria"/>
      <w:spacing w:val="-10"/>
      <w:kern w:val="28"/>
      <w:sz w:val="56"/>
      <w:lang w:val="es-ES" w:eastAsia="es-ES"/>
    </w:rPr>
  </w:style>
  <w:style w:type="character" w:styleId="Numrodepage">
    <w:name w:val="page number"/>
    <w:uiPriority w:val="99"/>
    <w:rPr>
      <w:rFonts w:ascii="Arial" w:hAnsi="Arial"/>
      <w:color w:val="000000"/>
      <w:sz w:val="16"/>
      <w:lang w:val="es-ES" w:eastAsia="es-ES"/>
    </w:rPr>
  </w:style>
  <w:style w:type="character" w:styleId="Marquedecommentaire">
    <w:name w:val="annotation reference"/>
    <w:uiPriority w:val="99"/>
    <w:semiHidden/>
    <w:unhideWhenUsed/>
    <w:rsid w:val="00F16A29"/>
    <w:rPr>
      <w:sz w:val="16"/>
      <w:szCs w:val="16"/>
    </w:rPr>
  </w:style>
  <w:style w:type="paragraph" w:styleId="Commentaire">
    <w:name w:val="annotation text"/>
    <w:basedOn w:val="Normal"/>
    <w:link w:val="CommentaireCar"/>
    <w:uiPriority w:val="99"/>
    <w:semiHidden/>
    <w:unhideWhenUsed/>
    <w:rsid w:val="00F16A29"/>
    <w:rPr>
      <w:sz w:val="20"/>
      <w:szCs w:val="20"/>
    </w:rPr>
  </w:style>
  <w:style w:type="character" w:customStyle="1" w:styleId="CommentaireCar">
    <w:name w:val="Commentaire Car"/>
    <w:link w:val="Commentaire"/>
    <w:uiPriority w:val="99"/>
    <w:semiHidden/>
    <w:rsid w:val="00F16A29"/>
    <w:rPr>
      <w:rFonts w:cs="Arial"/>
      <w:lang w:val="es-ES" w:eastAsia="es-ES"/>
    </w:rPr>
  </w:style>
  <w:style w:type="paragraph" w:styleId="Objetducommentaire">
    <w:name w:val="annotation subject"/>
    <w:basedOn w:val="Commentaire"/>
    <w:next w:val="Commentaire"/>
    <w:link w:val="ObjetducommentaireCar"/>
    <w:uiPriority w:val="99"/>
    <w:semiHidden/>
    <w:unhideWhenUsed/>
    <w:rsid w:val="00F16A29"/>
    <w:rPr>
      <w:b/>
      <w:bCs/>
    </w:rPr>
  </w:style>
  <w:style w:type="character" w:customStyle="1" w:styleId="ObjetducommentaireCar">
    <w:name w:val="Objet du commentaire Car"/>
    <w:link w:val="Objetducommentaire"/>
    <w:uiPriority w:val="99"/>
    <w:semiHidden/>
    <w:rsid w:val="00F16A29"/>
    <w:rPr>
      <w:rFonts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22892">
      <w:bodyDiv w:val="1"/>
      <w:marLeft w:val="0"/>
      <w:marRight w:val="0"/>
      <w:marTop w:val="0"/>
      <w:marBottom w:val="0"/>
      <w:divBdr>
        <w:top w:val="none" w:sz="0" w:space="0" w:color="auto"/>
        <w:left w:val="none" w:sz="0" w:space="0" w:color="auto"/>
        <w:bottom w:val="none" w:sz="0" w:space="0" w:color="auto"/>
        <w:right w:val="none" w:sz="0" w:space="0" w:color="auto"/>
      </w:divBdr>
    </w:div>
    <w:div w:id="13867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yperlink" Target="https://ich.unesco.org/doc/src/ITH-17-12.COM_WG-5-EN.d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esco.org/culture/ich/en/Decisions/10.COM/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culture/ich/en/Decisions/9.COM/13.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unesco.org/culture/ich/en/Decisions/8.COM/5.c.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p_fernandez\AppData\Local\Temp\Temp2_U058_Spanish.zip\www.unesco.org\open-access\terms-use-ccbysa-sp" TargetMode="External"/><Relationship Id="rId14" Type="http://schemas.openxmlformats.org/officeDocument/2006/relationships/hyperlink" Target="https://ich.unesco.org/doc/src/ITH-17-12.COM_WG-7-EN.do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f.pdf" TargetMode="External"/><Relationship Id="rId7" Type="http://schemas.openxmlformats.org/officeDocument/2006/relationships/hyperlink" Target="https://unesdoc.unesco.org/ark:/48223/pf0000177568_spa" TargetMode="External"/><Relationship Id="rId2" Type="http://schemas.openxmlformats.org/officeDocument/2006/relationships/hyperlink" Target="http://unesdoc.unesco.org/images/0022/002230/223095s.pdf" TargetMode="External"/><Relationship Id="rId1" Type="http://schemas.openxmlformats.org/officeDocument/2006/relationships/hyperlink" Target="http://unesdoc.unesco.org/images/0022/002230/223095a.pdf" TargetMode="External"/><Relationship Id="rId6" Type="http://schemas.openxmlformats.org/officeDocument/2006/relationships/hyperlink" Target="http://www.theoryofchange.nl/resource/hivos-policy-brief-theory-change" TargetMode="External"/><Relationship Id="rId5" Type="http://schemas.openxmlformats.org/officeDocument/2006/relationships/hyperlink" Target="http://unesdoc.unesco.org/images/0017/001775/177568e.pdf" TargetMode="External"/><Relationship Id="rId4" Type="http://schemas.openxmlformats.org/officeDocument/2006/relationships/hyperlink" Target="http://unesdoc.unesco.org/images/0022/002230/22309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9270</Words>
  <Characters>50989</Characters>
  <Application>Microsoft Office Word</Application>
  <DocSecurity>0</DocSecurity>
  <Lines>424</Lines>
  <Paragraphs>120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7</cp:revision>
  <dcterms:created xsi:type="dcterms:W3CDTF">2020-02-12T10:34:00Z</dcterms:created>
  <dcterms:modified xsi:type="dcterms:W3CDTF">2020-02-27T16:10:00Z</dcterms:modified>
</cp:coreProperties>
</file>