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AC" w:rsidRPr="003F08A9" w:rsidRDefault="00665ACC" w:rsidP="001215A0">
      <w:pPr>
        <w:pStyle w:val="Chapitre"/>
        <w:rPr>
          <w:rFonts w:asciiTheme="minorHAnsi" w:hAnsiTheme="minorHAnsi" w:cstheme="minorHAnsi"/>
          <w:sz w:val="56"/>
          <w:szCs w:val="56"/>
        </w:rPr>
      </w:pPr>
      <w:r w:rsidRPr="005508D1">
        <w:t>UNI</w:t>
      </w:r>
      <w:r>
        <w:t xml:space="preserve">t </w:t>
      </w:r>
      <w:r w:rsidR="00A96C08">
        <w:t>59</w:t>
      </w:r>
    </w:p>
    <w:p w:rsidR="00ED2EAC" w:rsidRDefault="00107F0A" w:rsidP="001215A0">
      <w:pPr>
        <w:pStyle w:val="UPlan"/>
        <w:jc w:val="left"/>
      </w:pPr>
      <w:r w:rsidRPr="00A96C08">
        <w:t>practical session</w:t>
      </w:r>
      <w:r w:rsidR="000B67CD" w:rsidRPr="00A96C08">
        <w:t xml:space="preserve"> on Data sources</w:t>
      </w:r>
    </w:p>
    <w:p w:rsidR="00A96C08" w:rsidRPr="00C87648" w:rsidRDefault="00A96C08" w:rsidP="001215A0">
      <w:pPr>
        <w:pStyle w:val="Maintext"/>
      </w:pPr>
      <w:r w:rsidRPr="00A96C08">
        <w:t xml:space="preserve">Published in 2019 by the United Nations Educational, Scientific and Cultural Organization, 7, place de </w:t>
      </w:r>
      <w:r w:rsidRPr="00C87648">
        <w:t>Fontenoy, 75352 Paris 07 SP, France</w:t>
      </w:r>
    </w:p>
    <w:p w:rsidR="00A96C08" w:rsidRPr="00C96E5A" w:rsidRDefault="00A96C08" w:rsidP="001215A0">
      <w:pPr>
        <w:rPr>
          <w:rFonts w:ascii="Arial" w:hAnsi="Arial" w:cs="Arial"/>
        </w:rPr>
      </w:pPr>
      <w:r w:rsidRPr="00C96E5A">
        <w:rPr>
          <w:rFonts w:ascii="Arial" w:hAnsi="Arial" w:cs="Arial"/>
        </w:rPr>
        <w:t>© UNESCO 2019</w:t>
      </w:r>
    </w:p>
    <w:p w:rsidR="00A96C08" w:rsidRPr="006021AD" w:rsidRDefault="00A96C08" w:rsidP="001215A0">
      <w:r w:rsidRPr="006021AD">
        <w:rPr>
          <w:noProof/>
          <w:lang w:val="fr-FR" w:eastAsia="ja-JP"/>
        </w:rPr>
        <w:drawing>
          <wp:inline distT="0" distB="0" distL="0" distR="0" wp14:anchorId="7EF99874" wp14:editId="485AA1D6">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A96C08" w:rsidRPr="00A96C08" w:rsidRDefault="00A96C08" w:rsidP="001215A0">
      <w:pPr>
        <w:pStyle w:val="Maintext"/>
      </w:pPr>
      <w:r w:rsidRPr="00A96C08">
        <w:t>This publication is available in Open Access under the Attribution-</w:t>
      </w:r>
      <w:proofErr w:type="spellStart"/>
      <w:r w:rsidRPr="00A96C08">
        <w:t>ShareAlike</w:t>
      </w:r>
      <w:proofErr w:type="spellEnd"/>
      <w:r w:rsidRPr="00A96C08">
        <w:t xml:space="preserve"> 3.0 IGO (CC-BY-SA 3.0 IGO) license (</w:t>
      </w:r>
      <w:hyperlink r:id="rId9" w:history="1">
        <w:r w:rsidRPr="00A96C08">
          <w:rPr>
            <w:rStyle w:val="Hyperlink"/>
            <w:color w:val="auto"/>
            <w:u w:val="none"/>
          </w:rPr>
          <w:t>http://creativecommons.org/licenses/by-sa/3.0/igo/</w:t>
        </w:r>
      </w:hyperlink>
      <w:r w:rsidRPr="00A96C08">
        <w:t>). By using the content of this publication, the users accept to be bound by the terms of use of the UNESCO Open Access Repository (</w:t>
      </w:r>
      <w:hyperlink r:id="rId10" w:history="1">
        <w:r w:rsidRPr="00A96C08">
          <w:rPr>
            <w:rStyle w:val="Hyperlink"/>
            <w:color w:val="auto"/>
            <w:u w:val="none"/>
          </w:rPr>
          <w:t>http://www.unesco.org/open-access/terms-use-ccbysa-en</w:t>
        </w:r>
      </w:hyperlink>
      <w:r w:rsidRPr="00A96C08">
        <w:t>).</w:t>
      </w:r>
    </w:p>
    <w:p w:rsidR="00A96C08" w:rsidRPr="00A96C08" w:rsidRDefault="00A96C08" w:rsidP="001215A0">
      <w:pPr>
        <w:pStyle w:val="Maintext"/>
      </w:pPr>
      <w:r w:rsidRPr="00A96C08">
        <w:t xml:space="preserve">The images of this publication do not fall under the CC-BY-SA </w:t>
      </w:r>
      <w:proofErr w:type="spellStart"/>
      <w:r w:rsidRPr="00A96C08">
        <w:t>licence</w:t>
      </w:r>
      <w:proofErr w:type="spellEnd"/>
      <w:r w:rsidRPr="00A96C08">
        <w:t xml:space="preserve"> and may not be used, reproduced, or commercialized without the prior permission of the copyright holders.</w:t>
      </w:r>
    </w:p>
    <w:p w:rsidR="00A96C08" w:rsidRPr="00A96C08" w:rsidRDefault="00A96C08" w:rsidP="001215A0">
      <w:pPr>
        <w:pStyle w:val="Maintext"/>
      </w:pPr>
      <w:r w:rsidRPr="00A96C08">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rsidR="00A96C08" w:rsidRPr="00A96C08" w:rsidRDefault="00A96C08" w:rsidP="001215A0">
      <w:pPr>
        <w:pStyle w:val="Maintext"/>
      </w:pPr>
      <w:r w:rsidRPr="00A96C08">
        <w:t>The ideas and opinions expressed in this publication are those of the authors; they are not necessarily those of UNESCO and do not commit the Organization.</w:t>
      </w:r>
    </w:p>
    <w:p w:rsidR="00A96C08" w:rsidRPr="00A96C08" w:rsidRDefault="00A96C08" w:rsidP="001215A0">
      <w:r>
        <w:br w:type="page"/>
      </w:r>
    </w:p>
    <w:p w:rsidR="001E5927" w:rsidRPr="00CC59E3" w:rsidRDefault="001E5927" w:rsidP="001215A0">
      <w:pPr>
        <w:pStyle w:val="Titcoul"/>
      </w:pPr>
      <w:r w:rsidRPr="00CC59E3">
        <w:lastRenderedPageBreak/>
        <w:t>Lesson Plan</w:t>
      </w:r>
    </w:p>
    <w:p w:rsidR="00ED2EAC" w:rsidRPr="001E5927" w:rsidRDefault="00ED2EAC" w:rsidP="001215A0">
      <w:pPr>
        <w:pStyle w:val="UTit4"/>
        <w:rPr>
          <w:b w:val="0"/>
          <w:bCs w:val="0"/>
          <w:i/>
        </w:rPr>
      </w:pPr>
      <w:r w:rsidRPr="001E5927">
        <w:t>DURATION</w:t>
      </w:r>
    </w:p>
    <w:p w:rsidR="00ED2EAC" w:rsidRPr="00CB5755" w:rsidRDefault="00D74166" w:rsidP="001215A0">
      <w:pPr>
        <w:pStyle w:val="UTxt"/>
        <w:rPr>
          <w:i w:val="0"/>
          <w:lang w:val="en-US"/>
        </w:rPr>
      </w:pPr>
      <w:r w:rsidRPr="00CB5755">
        <w:rPr>
          <w:i w:val="0"/>
          <w:lang w:val="en-US"/>
        </w:rPr>
        <w:t>2</w:t>
      </w:r>
      <w:r w:rsidR="00ED2EAC" w:rsidRPr="00CB5755">
        <w:rPr>
          <w:i w:val="0"/>
          <w:lang w:val="en-US"/>
        </w:rPr>
        <w:t xml:space="preserve"> hours</w:t>
      </w:r>
      <w:r w:rsidRPr="00CB5755">
        <w:rPr>
          <w:i w:val="0"/>
          <w:lang w:val="en-US"/>
        </w:rPr>
        <w:t xml:space="preserve"> </w:t>
      </w:r>
      <w:r w:rsidR="006E4403" w:rsidRPr="00CB5755">
        <w:rPr>
          <w:i w:val="0"/>
          <w:lang w:val="en-US"/>
        </w:rPr>
        <w:t>20</w:t>
      </w:r>
      <w:r w:rsidRPr="00CB5755">
        <w:rPr>
          <w:i w:val="0"/>
          <w:lang w:val="en-US"/>
        </w:rPr>
        <w:t xml:space="preserve"> minutes</w:t>
      </w:r>
    </w:p>
    <w:p w:rsidR="00ED2EAC" w:rsidRPr="001E5927" w:rsidRDefault="00BC44D4" w:rsidP="001215A0">
      <w:pPr>
        <w:pStyle w:val="UTit4"/>
      </w:pPr>
      <w:r>
        <w:t>Objectives</w:t>
      </w:r>
    </w:p>
    <w:p w:rsidR="00ED2EAC" w:rsidRPr="001E5927" w:rsidRDefault="00A96C08" w:rsidP="001215A0">
      <w:pPr>
        <w:pStyle w:val="Lessonplan"/>
        <w:rPr>
          <w:rStyle w:val="hps"/>
          <w:i/>
        </w:rPr>
      </w:pPr>
      <w:r w:rsidRPr="001E5927">
        <w:rPr>
          <w:rStyle w:val="hps"/>
        </w:rPr>
        <w:t>D</w:t>
      </w:r>
      <w:r w:rsidR="00051C4D" w:rsidRPr="001E5927">
        <w:rPr>
          <w:rStyle w:val="hps"/>
        </w:rPr>
        <w:t>evelop</w:t>
      </w:r>
      <w:r w:rsidR="002D14A4" w:rsidRPr="001E5927">
        <w:rPr>
          <w:rStyle w:val="hps"/>
        </w:rPr>
        <w:t xml:space="preserve"> the</w:t>
      </w:r>
      <w:r w:rsidR="00ED2EAC" w:rsidRPr="001E5927">
        <w:rPr>
          <w:rStyle w:val="hps"/>
        </w:rPr>
        <w:t xml:space="preserve"> participants</w:t>
      </w:r>
      <w:r w:rsidR="002D14A4" w:rsidRPr="001E5927">
        <w:rPr>
          <w:rStyle w:val="hps"/>
        </w:rPr>
        <w:t>’</w:t>
      </w:r>
      <w:r w:rsidR="00ED2EAC" w:rsidRPr="001E5927">
        <w:rPr>
          <w:rStyle w:val="hps"/>
        </w:rPr>
        <w:t xml:space="preserve"> capacity to</w:t>
      </w:r>
      <w:r w:rsidR="000930A6" w:rsidRPr="001E5927">
        <w:rPr>
          <w:rStyle w:val="hps"/>
        </w:rPr>
        <w:t xml:space="preserve"> </w:t>
      </w:r>
      <w:r w:rsidR="000B2A8D" w:rsidRPr="001E5927">
        <w:rPr>
          <w:rStyle w:val="hps"/>
        </w:rPr>
        <w:t>identify and use</w:t>
      </w:r>
      <w:r w:rsidR="00051C4D" w:rsidRPr="001E5927">
        <w:rPr>
          <w:rStyle w:val="hps"/>
        </w:rPr>
        <w:t xml:space="preserve"> data sources</w:t>
      </w:r>
      <w:r w:rsidR="000930A6" w:rsidRPr="001E5927">
        <w:rPr>
          <w:rStyle w:val="hps"/>
        </w:rPr>
        <w:t xml:space="preserve"> to complete the new </w:t>
      </w:r>
      <w:r w:rsidR="001E5927">
        <w:rPr>
          <w:rStyle w:val="hps"/>
        </w:rPr>
        <w:t>periodic reporting</w:t>
      </w:r>
      <w:r w:rsidR="000930A6" w:rsidRPr="001E5927">
        <w:rPr>
          <w:rStyle w:val="hps"/>
        </w:rPr>
        <w:t xml:space="preserve"> form effectively</w:t>
      </w:r>
      <w:r w:rsidR="00051C4D" w:rsidRPr="001E5927">
        <w:rPr>
          <w:rStyle w:val="hps"/>
        </w:rPr>
        <w:t xml:space="preserve">. </w:t>
      </w:r>
      <w:r w:rsidR="005B6BA4" w:rsidRPr="001E5927">
        <w:rPr>
          <w:rStyle w:val="hps"/>
        </w:rPr>
        <w:t>Familiarize</w:t>
      </w:r>
      <w:r w:rsidR="00051C4D" w:rsidRPr="001E5927">
        <w:rPr>
          <w:rStyle w:val="hps"/>
        </w:rPr>
        <w:t xml:space="preserve"> participants </w:t>
      </w:r>
      <w:r w:rsidR="005B6BA4" w:rsidRPr="001E5927">
        <w:rPr>
          <w:rStyle w:val="hps"/>
        </w:rPr>
        <w:t>with</w:t>
      </w:r>
      <w:r w:rsidR="00051C4D" w:rsidRPr="001E5927">
        <w:rPr>
          <w:rStyle w:val="hps"/>
        </w:rPr>
        <w:t xml:space="preserve"> the different types of data and statistical information required</w:t>
      </w:r>
      <w:r w:rsidR="005B6BA4" w:rsidRPr="001E5927">
        <w:rPr>
          <w:rStyle w:val="hps"/>
        </w:rPr>
        <w:t xml:space="preserve"> </w:t>
      </w:r>
      <w:r w:rsidR="000930A6" w:rsidRPr="001E5927">
        <w:rPr>
          <w:rStyle w:val="hps"/>
        </w:rPr>
        <w:t xml:space="preserve">for </w:t>
      </w:r>
      <w:r w:rsidR="00081071">
        <w:rPr>
          <w:rStyle w:val="hps"/>
        </w:rPr>
        <w:t xml:space="preserve">the </w:t>
      </w:r>
      <w:r w:rsidR="00C42915" w:rsidRPr="001E5927">
        <w:rPr>
          <w:rStyle w:val="hps"/>
        </w:rPr>
        <w:t xml:space="preserve">different sections of the form </w:t>
      </w:r>
      <w:r w:rsidR="005B6BA4" w:rsidRPr="001E5927">
        <w:rPr>
          <w:rStyle w:val="hps"/>
        </w:rPr>
        <w:t>and e</w:t>
      </w:r>
      <w:r w:rsidR="00051C4D" w:rsidRPr="001E5927">
        <w:rPr>
          <w:rStyle w:val="hps"/>
        </w:rPr>
        <w:t xml:space="preserve">ncourage participants to consider how and where they might find the necessary data and statistical information. Help participants </w:t>
      </w:r>
      <w:r w:rsidR="00BB14D2" w:rsidRPr="001E5927">
        <w:rPr>
          <w:rStyle w:val="hps"/>
        </w:rPr>
        <w:t xml:space="preserve">identify </w:t>
      </w:r>
      <w:r w:rsidR="00051C4D" w:rsidRPr="001E5927">
        <w:rPr>
          <w:rStyle w:val="hps"/>
        </w:rPr>
        <w:t xml:space="preserve">potential </w:t>
      </w:r>
      <w:r w:rsidR="00C42915" w:rsidRPr="001E5927">
        <w:rPr>
          <w:rStyle w:val="hps"/>
        </w:rPr>
        <w:t>challenges (including questionable quality of available statistical information)</w:t>
      </w:r>
      <w:r w:rsidR="00051C4D" w:rsidRPr="001E5927">
        <w:rPr>
          <w:rStyle w:val="hps"/>
        </w:rPr>
        <w:t xml:space="preserve"> and consider ways of addressing these</w:t>
      </w:r>
      <w:r w:rsidR="00D863BF">
        <w:rPr>
          <w:rStyle w:val="hps"/>
        </w:rPr>
        <w:t xml:space="preserve"> challenges</w:t>
      </w:r>
      <w:r w:rsidR="00051C4D" w:rsidRPr="001E5927">
        <w:rPr>
          <w:rStyle w:val="hps"/>
        </w:rPr>
        <w:t>.</w:t>
      </w:r>
    </w:p>
    <w:p w:rsidR="00ED2EAC" w:rsidRPr="001E5927" w:rsidRDefault="00BC44D4" w:rsidP="001215A0">
      <w:pPr>
        <w:pStyle w:val="UTit4"/>
      </w:pPr>
      <w:r>
        <w:t>Description</w:t>
      </w:r>
      <w:r w:rsidR="00ED2EAC" w:rsidRPr="001E5927">
        <w:t xml:space="preserve"> </w:t>
      </w:r>
    </w:p>
    <w:p w:rsidR="000B2A8D" w:rsidRPr="001E5927" w:rsidRDefault="00576FB8" w:rsidP="001215A0">
      <w:pPr>
        <w:pStyle w:val="UTxt"/>
        <w:rPr>
          <w:rStyle w:val="hps"/>
          <w:i w:val="0"/>
          <w:szCs w:val="20"/>
          <w:lang w:val="en-GB"/>
        </w:rPr>
      </w:pPr>
      <w:r w:rsidRPr="001E5927">
        <w:rPr>
          <w:rStyle w:val="hps"/>
          <w:i w:val="0"/>
          <w:szCs w:val="20"/>
          <w:lang w:val="en-GB"/>
        </w:rPr>
        <w:t>This unit f</w:t>
      </w:r>
      <w:r w:rsidR="005B6BA4" w:rsidRPr="001E5927">
        <w:rPr>
          <w:rStyle w:val="hps"/>
          <w:i w:val="0"/>
          <w:szCs w:val="20"/>
          <w:lang w:val="en-GB"/>
        </w:rPr>
        <w:t>amiliarize</w:t>
      </w:r>
      <w:r w:rsidRPr="001E5927">
        <w:rPr>
          <w:rStyle w:val="hps"/>
          <w:i w:val="0"/>
          <w:szCs w:val="20"/>
          <w:lang w:val="en-GB"/>
        </w:rPr>
        <w:t>s</w:t>
      </w:r>
      <w:r w:rsidR="005B6BA4" w:rsidRPr="001E5927">
        <w:rPr>
          <w:rStyle w:val="hps"/>
          <w:i w:val="0"/>
          <w:szCs w:val="20"/>
          <w:lang w:val="en-GB"/>
        </w:rPr>
        <w:t xml:space="preserve"> participants </w:t>
      </w:r>
      <w:r w:rsidR="00DB25F3" w:rsidRPr="001E5927">
        <w:rPr>
          <w:rStyle w:val="hps"/>
          <w:i w:val="0"/>
          <w:szCs w:val="20"/>
          <w:lang w:val="en-GB"/>
        </w:rPr>
        <w:t xml:space="preserve">with the </w:t>
      </w:r>
      <w:r w:rsidR="00C42915" w:rsidRPr="001E5927">
        <w:rPr>
          <w:rStyle w:val="hps"/>
          <w:i w:val="0"/>
          <w:szCs w:val="20"/>
          <w:lang w:val="en-GB"/>
        </w:rPr>
        <w:t xml:space="preserve">sources of data and statistical information required </w:t>
      </w:r>
      <w:r w:rsidR="002D14A4" w:rsidRPr="001E5927">
        <w:rPr>
          <w:rStyle w:val="hps"/>
          <w:i w:val="0"/>
          <w:szCs w:val="20"/>
          <w:lang w:val="en-GB"/>
        </w:rPr>
        <w:t>to complete</w:t>
      </w:r>
      <w:r w:rsidR="00C42915" w:rsidRPr="001E5927">
        <w:rPr>
          <w:rStyle w:val="hps"/>
          <w:i w:val="0"/>
          <w:szCs w:val="20"/>
          <w:lang w:val="en-GB"/>
        </w:rPr>
        <w:t xml:space="preserve"> the new</w:t>
      </w:r>
      <w:r w:rsidR="00DB25F3" w:rsidRPr="001E5927">
        <w:rPr>
          <w:rStyle w:val="hps"/>
          <w:i w:val="0"/>
          <w:szCs w:val="20"/>
          <w:lang w:val="en-GB"/>
        </w:rPr>
        <w:t xml:space="preserve"> periodic reporting form, using a practical and hands-on approach that gives them direct experience </w:t>
      </w:r>
      <w:r w:rsidR="002D14A4" w:rsidRPr="001E5927">
        <w:rPr>
          <w:rStyle w:val="hps"/>
          <w:i w:val="0"/>
          <w:szCs w:val="20"/>
          <w:lang w:val="en-GB"/>
        </w:rPr>
        <w:t xml:space="preserve">with </w:t>
      </w:r>
      <w:r w:rsidR="00DB25F3" w:rsidRPr="001E5927">
        <w:rPr>
          <w:rStyle w:val="hps"/>
          <w:i w:val="0"/>
          <w:szCs w:val="20"/>
          <w:lang w:val="en-GB"/>
        </w:rPr>
        <w:t xml:space="preserve">the process. </w:t>
      </w:r>
      <w:r w:rsidR="000B2A8D" w:rsidRPr="001E5927">
        <w:rPr>
          <w:rStyle w:val="hps"/>
          <w:i w:val="0"/>
          <w:szCs w:val="20"/>
          <w:lang w:val="en-GB"/>
        </w:rPr>
        <w:t xml:space="preserve">It </w:t>
      </w:r>
      <w:r w:rsidR="00C42915" w:rsidRPr="001E5927">
        <w:rPr>
          <w:rStyle w:val="hps"/>
          <w:i w:val="0"/>
          <w:szCs w:val="20"/>
          <w:lang w:val="en-GB"/>
        </w:rPr>
        <w:t>demonstrates that a variety of approaches has been taken in devising the</w:t>
      </w:r>
      <w:r w:rsidR="005B6BA4" w:rsidRPr="001E5927">
        <w:rPr>
          <w:rStyle w:val="hps"/>
          <w:i w:val="0"/>
          <w:szCs w:val="20"/>
          <w:lang w:val="en-GB"/>
        </w:rPr>
        <w:t xml:space="preserve"> </w:t>
      </w:r>
      <w:r w:rsidR="000B2A8D" w:rsidRPr="001E5927">
        <w:rPr>
          <w:rStyle w:val="hps"/>
          <w:i w:val="0"/>
          <w:szCs w:val="20"/>
          <w:lang w:val="en-GB"/>
        </w:rPr>
        <w:t>different sections of the form and</w:t>
      </w:r>
      <w:r w:rsidR="00C42915" w:rsidRPr="001E5927">
        <w:rPr>
          <w:rStyle w:val="hps"/>
          <w:i w:val="0"/>
          <w:szCs w:val="20"/>
          <w:lang w:val="en-GB"/>
        </w:rPr>
        <w:t xml:space="preserve"> </w:t>
      </w:r>
      <w:r w:rsidR="005B6BA4" w:rsidRPr="001E5927">
        <w:rPr>
          <w:rStyle w:val="hps"/>
          <w:i w:val="0"/>
          <w:szCs w:val="20"/>
          <w:lang w:val="en-GB"/>
        </w:rPr>
        <w:t>build</w:t>
      </w:r>
      <w:r w:rsidR="000B2A8D" w:rsidRPr="001E5927">
        <w:rPr>
          <w:rStyle w:val="hps"/>
          <w:i w:val="0"/>
          <w:szCs w:val="20"/>
          <w:lang w:val="en-GB"/>
        </w:rPr>
        <w:t>s</w:t>
      </w:r>
      <w:r w:rsidR="005B6BA4" w:rsidRPr="001E5927">
        <w:rPr>
          <w:rStyle w:val="hps"/>
          <w:i w:val="0"/>
          <w:szCs w:val="20"/>
          <w:lang w:val="en-GB"/>
        </w:rPr>
        <w:t xml:space="preserve"> awareness of the different types of data and statistic</w:t>
      </w:r>
      <w:r w:rsidR="000B2A8D" w:rsidRPr="001E5927">
        <w:rPr>
          <w:rStyle w:val="hps"/>
          <w:i w:val="0"/>
          <w:szCs w:val="20"/>
          <w:lang w:val="en-GB"/>
        </w:rPr>
        <w:t>al information required</w:t>
      </w:r>
      <w:r w:rsidR="00C42915" w:rsidRPr="001E5927">
        <w:rPr>
          <w:rStyle w:val="hps"/>
          <w:i w:val="0"/>
          <w:szCs w:val="20"/>
          <w:lang w:val="en-GB"/>
        </w:rPr>
        <w:t xml:space="preserve">. </w:t>
      </w:r>
      <w:r w:rsidR="000B2A8D" w:rsidRPr="001E5927">
        <w:rPr>
          <w:rStyle w:val="hps"/>
          <w:i w:val="0"/>
          <w:szCs w:val="20"/>
          <w:lang w:val="en-GB"/>
        </w:rPr>
        <w:t>It e</w:t>
      </w:r>
      <w:r w:rsidR="005B6BA4" w:rsidRPr="001E5927">
        <w:rPr>
          <w:rStyle w:val="hps"/>
          <w:i w:val="0"/>
          <w:szCs w:val="20"/>
          <w:lang w:val="en-GB"/>
        </w:rPr>
        <w:t>ncourage</w:t>
      </w:r>
      <w:r w:rsidR="000B2A8D" w:rsidRPr="001E5927">
        <w:rPr>
          <w:rStyle w:val="hps"/>
          <w:i w:val="0"/>
          <w:szCs w:val="20"/>
          <w:lang w:val="en-GB"/>
        </w:rPr>
        <w:t>s</w:t>
      </w:r>
      <w:r w:rsidR="005B6BA4" w:rsidRPr="001E5927">
        <w:rPr>
          <w:rStyle w:val="hps"/>
          <w:i w:val="0"/>
          <w:szCs w:val="20"/>
          <w:lang w:val="en-GB"/>
        </w:rPr>
        <w:t xml:space="preserve"> participants to consider how and where they might find the </w:t>
      </w:r>
      <w:r w:rsidR="000B2A8D" w:rsidRPr="001E5927">
        <w:rPr>
          <w:rStyle w:val="hps"/>
          <w:i w:val="0"/>
          <w:szCs w:val="20"/>
          <w:lang w:val="en-GB"/>
        </w:rPr>
        <w:t>required</w:t>
      </w:r>
      <w:r w:rsidR="005B6BA4" w:rsidRPr="001E5927">
        <w:rPr>
          <w:rStyle w:val="hps"/>
          <w:i w:val="0"/>
          <w:szCs w:val="20"/>
          <w:lang w:val="en-GB"/>
        </w:rPr>
        <w:t xml:space="preserve"> data and statistical information and how they can use this </w:t>
      </w:r>
      <w:r w:rsidR="002D14A4" w:rsidRPr="001E5927">
        <w:rPr>
          <w:rStyle w:val="hps"/>
          <w:i w:val="0"/>
          <w:szCs w:val="20"/>
          <w:lang w:val="en-GB"/>
        </w:rPr>
        <w:t>to complete</w:t>
      </w:r>
      <w:r w:rsidR="005B6BA4" w:rsidRPr="001E5927">
        <w:rPr>
          <w:rStyle w:val="hps"/>
          <w:i w:val="0"/>
          <w:szCs w:val="20"/>
          <w:lang w:val="en-GB"/>
        </w:rPr>
        <w:t xml:space="preserve"> the form. </w:t>
      </w:r>
      <w:r w:rsidR="000B2A8D" w:rsidRPr="001E5927">
        <w:rPr>
          <w:rStyle w:val="hps"/>
          <w:i w:val="0"/>
          <w:szCs w:val="20"/>
          <w:lang w:val="en-GB"/>
        </w:rPr>
        <w:t xml:space="preserve">Finally, it draws the </w:t>
      </w:r>
      <w:r w:rsidR="005B6BA4" w:rsidRPr="001E5927">
        <w:rPr>
          <w:rStyle w:val="hps"/>
          <w:i w:val="0"/>
          <w:szCs w:val="20"/>
          <w:lang w:val="en-GB"/>
        </w:rPr>
        <w:t>participants</w:t>
      </w:r>
      <w:r w:rsidR="000B2A8D" w:rsidRPr="001E5927">
        <w:rPr>
          <w:rStyle w:val="hps"/>
          <w:i w:val="0"/>
          <w:szCs w:val="20"/>
          <w:lang w:val="en-GB"/>
        </w:rPr>
        <w:t>’ attention to</w:t>
      </w:r>
      <w:r w:rsidR="005B6BA4" w:rsidRPr="001E5927">
        <w:rPr>
          <w:rStyle w:val="hps"/>
          <w:i w:val="0"/>
          <w:szCs w:val="20"/>
          <w:lang w:val="en-GB"/>
        </w:rPr>
        <w:t xml:space="preserve"> potential pitfalls and </w:t>
      </w:r>
      <w:proofErr w:type="gramStart"/>
      <w:r w:rsidR="005B6BA4" w:rsidRPr="001E5927">
        <w:rPr>
          <w:rStyle w:val="hps"/>
          <w:i w:val="0"/>
          <w:szCs w:val="20"/>
          <w:lang w:val="en-GB"/>
        </w:rPr>
        <w:t>problems</w:t>
      </w:r>
      <w:r w:rsidR="00995146">
        <w:rPr>
          <w:rStyle w:val="hps"/>
          <w:i w:val="0"/>
          <w:szCs w:val="20"/>
          <w:lang w:val="en-GB"/>
        </w:rPr>
        <w:t>,</w:t>
      </w:r>
      <w:r w:rsidR="005B6BA4" w:rsidRPr="001E5927">
        <w:rPr>
          <w:rStyle w:val="hps"/>
          <w:i w:val="0"/>
          <w:szCs w:val="20"/>
          <w:lang w:val="en-GB"/>
        </w:rPr>
        <w:t xml:space="preserve"> and</w:t>
      </w:r>
      <w:proofErr w:type="gramEnd"/>
      <w:r w:rsidR="005B6BA4" w:rsidRPr="001E5927">
        <w:rPr>
          <w:rStyle w:val="hps"/>
          <w:i w:val="0"/>
          <w:szCs w:val="20"/>
          <w:lang w:val="en-GB"/>
        </w:rPr>
        <w:t xml:space="preserve"> </w:t>
      </w:r>
      <w:r w:rsidR="000B2A8D" w:rsidRPr="001E5927">
        <w:rPr>
          <w:rStyle w:val="hps"/>
          <w:i w:val="0"/>
          <w:szCs w:val="20"/>
          <w:lang w:val="en-GB"/>
        </w:rPr>
        <w:t xml:space="preserve">helps them to </w:t>
      </w:r>
      <w:r w:rsidR="005B6BA4" w:rsidRPr="001E5927">
        <w:rPr>
          <w:rStyle w:val="hps"/>
          <w:i w:val="0"/>
          <w:szCs w:val="20"/>
          <w:lang w:val="en-GB"/>
        </w:rPr>
        <w:t>consider</w:t>
      </w:r>
      <w:r w:rsidR="000B2A8D" w:rsidRPr="001E5927">
        <w:rPr>
          <w:rStyle w:val="hps"/>
          <w:i w:val="0"/>
          <w:szCs w:val="20"/>
          <w:lang w:val="en-GB"/>
        </w:rPr>
        <w:t xml:space="preserve"> </w:t>
      </w:r>
      <w:r w:rsidR="005B6BA4" w:rsidRPr="001E5927">
        <w:rPr>
          <w:rStyle w:val="hps"/>
          <w:i w:val="0"/>
          <w:szCs w:val="20"/>
          <w:lang w:val="en-GB"/>
        </w:rPr>
        <w:t>ways of addressing these</w:t>
      </w:r>
      <w:r w:rsidR="00BC1EC3">
        <w:rPr>
          <w:rStyle w:val="hps"/>
          <w:i w:val="0"/>
          <w:szCs w:val="20"/>
          <w:lang w:val="en-GB"/>
        </w:rPr>
        <w:t xml:space="preserve"> challenges</w:t>
      </w:r>
      <w:r w:rsidR="000B2A8D" w:rsidRPr="001E5927">
        <w:rPr>
          <w:rStyle w:val="hps"/>
          <w:i w:val="0"/>
          <w:szCs w:val="20"/>
          <w:lang w:val="en-GB"/>
        </w:rPr>
        <w:t>.</w:t>
      </w:r>
    </w:p>
    <w:p w:rsidR="00107F0A" w:rsidRPr="001E5927" w:rsidRDefault="00107F0A" w:rsidP="001215A0">
      <w:pPr>
        <w:pStyle w:val="UTit4"/>
        <w:rPr>
          <w:i/>
        </w:rPr>
      </w:pPr>
      <w:r w:rsidRPr="001E5927">
        <w:t xml:space="preserve">SEQUENCE OF </w:t>
      </w:r>
      <w:r w:rsidRPr="00081071">
        <w:t>SESSIONS</w:t>
      </w:r>
    </w:p>
    <w:p w:rsidR="00502249" w:rsidRPr="00CE66DE" w:rsidRDefault="00107F0A" w:rsidP="001215A0">
      <w:pPr>
        <w:pStyle w:val="UTxt"/>
        <w:rPr>
          <w:i w:val="0"/>
          <w:lang w:val="en-US"/>
        </w:rPr>
      </w:pPr>
      <w:r w:rsidRPr="00E162F4">
        <w:rPr>
          <w:b/>
          <w:bCs/>
          <w:i w:val="0"/>
          <w:lang w:val="en-US"/>
        </w:rPr>
        <w:t xml:space="preserve">Session </w:t>
      </w:r>
      <w:r w:rsidR="00C42915" w:rsidRPr="00E162F4">
        <w:rPr>
          <w:b/>
          <w:bCs/>
          <w:i w:val="0"/>
          <w:lang w:val="en-US"/>
        </w:rPr>
        <w:t>1</w:t>
      </w:r>
      <w:r w:rsidRPr="00E162F4">
        <w:rPr>
          <w:b/>
          <w:bCs/>
          <w:i w:val="0"/>
          <w:lang w:val="en-US"/>
        </w:rPr>
        <w:t>:</w:t>
      </w:r>
      <w:r w:rsidR="000B2A8D" w:rsidRPr="00E162F4">
        <w:rPr>
          <w:b/>
          <w:bCs/>
          <w:i w:val="0"/>
          <w:lang w:val="en-US"/>
        </w:rPr>
        <w:t xml:space="preserve"> Evaluating existing data collection frameworks</w:t>
      </w:r>
      <w:r w:rsidR="005124E0" w:rsidRPr="00E162F4">
        <w:rPr>
          <w:b/>
          <w:bCs/>
          <w:i w:val="0"/>
          <w:lang w:val="en-US"/>
        </w:rPr>
        <w:t xml:space="preserve"> (40 min</w:t>
      </w:r>
      <w:r w:rsidR="00E162F4" w:rsidRPr="00E162F4">
        <w:rPr>
          <w:b/>
          <w:bCs/>
          <w:i w:val="0"/>
          <w:lang w:val="en-US"/>
        </w:rPr>
        <w:t>utes</w:t>
      </w:r>
      <w:r w:rsidR="005124E0" w:rsidRPr="00E162F4">
        <w:rPr>
          <w:b/>
          <w:bCs/>
          <w:i w:val="0"/>
          <w:lang w:val="en-US"/>
        </w:rPr>
        <w:t>)</w:t>
      </w:r>
      <w:r w:rsidR="000B2A8D" w:rsidRPr="00E162F4">
        <w:rPr>
          <w:b/>
          <w:bCs/>
          <w:i w:val="0"/>
          <w:lang w:val="en-US"/>
        </w:rPr>
        <w:t xml:space="preserve">: </w:t>
      </w:r>
      <w:r w:rsidR="000B2A8D" w:rsidRPr="00E162F4">
        <w:rPr>
          <w:i w:val="0"/>
          <w:lang w:val="en-US"/>
        </w:rPr>
        <w:t xml:space="preserve">The data collection frameworks that have </w:t>
      </w:r>
      <w:r w:rsidR="00F93A18" w:rsidRPr="00E162F4">
        <w:rPr>
          <w:i w:val="0"/>
          <w:lang w:val="en-US"/>
        </w:rPr>
        <w:t xml:space="preserve">previously </w:t>
      </w:r>
      <w:r w:rsidR="000B2A8D" w:rsidRPr="00E162F4">
        <w:rPr>
          <w:i w:val="0"/>
          <w:lang w:val="en-US"/>
        </w:rPr>
        <w:t xml:space="preserve">been used </w:t>
      </w:r>
      <w:r w:rsidR="00C42915" w:rsidRPr="00E162F4">
        <w:rPr>
          <w:i w:val="0"/>
          <w:lang w:val="en-US"/>
        </w:rPr>
        <w:t xml:space="preserve">in periodic reporting for the Convention </w:t>
      </w:r>
      <w:r w:rsidR="000B2A8D" w:rsidRPr="00E162F4">
        <w:rPr>
          <w:i w:val="0"/>
          <w:lang w:val="en-US"/>
        </w:rPr>
        <w:t xml:space="preserve">are considered, </w:t>
      </w:r>
      <w:r w:rsidR="002D14A4" w:rsidRPr="00E162F4">
        <w:rPr>
          <w:i w:val="0"/>
          <w:lang w:val="en-US"/>
        </w:rPr>
        <w:t xml:space="preserve">taking into account </w:t>
      </w:r>
      <w:r w:rsidR="000B2A8D" w:rsidRPr="00E162F4">
        <w:rPr>
          <w:i w:val="0"/>
          <w:lang w:val="en-US"/>
        </w:rPr>
        <w:t xml:space="preserve">how </w:t>
      </w:r>
      <w:r w:rsidR="000B2A8D" w:rsidRPr="00CE66DE">
        <w:rPr>
          <w:i w:val="0"/>
          <w:lang w:val="en-US"/>
        </w:rPr>
        <w:t xml:space="preserve">sufficient </w:t>
      </w:r>
      <w:r w:rsidR="000B2A8D" w:rsidRPr="00E162F4">
        <w:rPr>
          <w:i w:val="0"/>
          <w:lang w:val="en-US"/>
        </w:rPr>
        <w:t xml:space="preserve">they are </w:t>
      </w:r>
      <w:r w:rsidR="000B2A8D" w:rsidRPr="00CE66DE">
        <w:rPr>
          <w:i w:val="0"/>
          <w:lang w:val="en-US"/>
        </w:rPr>
        <w:t xml:space="preserve">for obtaining the range of data and statistical information required </w:t>
      </w:r>
      <w:r w:rsidR="00BB287A" w:rsidRPr="00CE66DE">
        <w:rPr>
          <w:i w:val="0"/>
          <w:lang w:val="en-US"/>
        </w:rPr>
        <w:t>for</w:t>
      </w:r>
      <w:r w:rsidR="000B2A8D" w:rsidRPr="00CE66DE">
        <w:rPr>
          <w:i w:val="0"/>
          <w:lang w:val="en-US"/>
        </w:rPr>
        <w:t xml:space="preserve"> the new ICH-10 form. This will be done both through </w:t>
      </w:r>
      <w:r w:rsidR="00D74166" w:rsidRPr="00CE66DE">
        <w:rPr>
          <w:i w:val="0"/>
          <w:lang w:val="en-US"/>
        </w:rPr>
        <w:t xml:space="preserve">eliciting </w:t>
      </w:r>
      <w:r w:rsidR="000B2A8D" w:rsidRPr="00CE66DE">
        <w:rPr>
          <w:i w:val="0"/>
          <w:lang w:val="en-US"/>
        </w:rPr>
        <w:t>the</w:t>
      </w:r>
      <w:r w:rsidR="00502249" w:rsidRPr="00CE66DE">
        <w:rPr>
          <w:i w:val="0"/>
          <w:lang w:val="en-US"/>
        </w:rPr>
        <w:t xml:space="preserve"> data set</w:t>
      </w:r>
      <w:r w:rsidR="00E1746E" w:rsidRPr="00CE66DE">
        <w:rPr>
          <w:i w:val="0"/>
          <w:lang w:val="en-US"/>
        </w:rPr>
        <w:t xml:space="preserve"> </w:t>
      </w:r>
      <w:r w:rsidR="00502249" w:rsidRPr="00CE66DE">
        <w:rPr>
          <w:i w:val="0"/>
          <w:lang w:val="en-US"/>
        </w:rPr>
        <w:t xml:space="preserve">from the </w:t>
      </w:r>
      <w:proofErr w:type="gramStart"/>
      <w:r w:rsidR="00502249" w:rsidRPr="00CE66DE">
        <w:rPr>
          <w:i w:val="0"/>
          <w:lang w:val="en-US"/>
        </w:rPr>
        <w:t>participants, and</w:t>
      </w:r>
      <w:proofErr w:type="gramEnd"/>
      <w:r w:rsidR="00502249" w:rsidRPr="00CE66DE">
        <w:rPr>
          <w:i w:val="0"/>
          <w:lang w:val="en-US"/>
        </w:rPr>
        <w:t xml:space="preserve"> examining parts of the online form to identify </w:t>
      </w:r>
      <w:r w:rsidR="00D74166" w:rsidRPr="00CE66DE">
        <w:rPr>
          <w:i w:val="0"/>
          <w:lang w:val="en-US"/>
        </w:rPr>
        <w:t>potential</w:t>
      </w:r>
      <w:r w:rsidR="00502249" w:rsidRPr="00CE66DE">
        <w:rPr>
          <w:i w:val="0"/>
          <w:lang w:val="en-US"/>
        </w:rPr>
        <w:t xml:space="preserve"> shortfalls. This will initially be done fairly ‘blind’ with the aim of discovering</w:t>
      </w:r>
      <w:r w:rsidR="00502249" w:rsidRPr="00283924">
        <w:rPr>
          <w:i w:val="0"/>
          <w:lang w:val="en-US"/>
        </w:rPr>
        <w:t xml:space="preserve"> the challenges and issues </w:t>
      </w:r>
      <w:r w:rsidR="00CB5755">
        <w:rPr>
          <w:i w:val="0"/>
          <w:lang w:val="en-US"/>
        </w:rPr>
        <w:t>raised</w:t>
      </w:r>
      <w:r w:rsidR="00AC1311" w:rsidRPr="00283924">
        <w:rPr>
          <w:i w:val="0"/>
          <w:lang w:val="en-US"/>
        </w:rPr>
        <w:t>.</w:t>
      </w:r>
    </w:p>
    <w:p w:rsidR="00502249" w:rsidRPr="00CE66DE" w:rsidRDefault="00107F0A" w:rsidP="001215A0">
      <w:pPr>
        <w:pStyle w:val="UTxt"/>
        <w:rPr>
          <w:b/>
          <w:bCs/>
          <w:i w:val="0"/>
          <w:lang w:val="en-GB"/>
        </w:rPr>
      </w:pPr>
      <w:r w:rsidRPr="00CE66DE">
        <w:rPr>
          <w:b/>
          <w:bCs/>
          <w:i w:val="0"/>
          <w:lang w:val="en-GB"/>
        </w:rPr>
        <w:t xml:space="preserve">Session </w:t>
      </w:r>
      <w:r w:rsidR="00C42915" w:rsidRPr="00CE66DE">
        <w:rPr>
          <w:b/>
          <w:bCs/>
          <w:i w:val="0"/>
          <w:lang w:val="en-GB"/>
        </w:rPr>
        <w:t>2</w:t>
      </w:r>
      <w:r w:rsidRPr="00CE66DE">
        <w:rPr>
          <w:b/>
          <w:bCs/>
          <w:i w:val="0"/>
          <w:lang w:val="en-GB"/>
        </w:rPr>
        <w:t>:</w:t>
      </w:r>
      <w:r w:rsidR="000B2A8D" w:rsidRPr="00CE66DE">
        <w:rPr>
          <w:b/>
          <w:bCs/>
          <w:i w:val="0"/>
          <w:lang w:val="en-GB"/>
        </w:rPr>
        <w:t xml:space="preserve"> Finding data and statistical information</w:t>
      </w:r>
      <w:r w:rsidR="00D12E6C">
        <w:rPr>
          <w:b/>
          <w:bCs/>
          <w:i w:val="0"/>
          <w:lang w:val="en-GB"/>
        </w:rPr>
        <w:t xml:space="preserve"> (40 min</w:t>
      </w:r>
      <w:r w:rsidR="00E162F4">
        <w:rPr>
          <w:b/>
          <w:bCs/>
          <w:i w:val="0"/>
          <w:lang w:val="en-GB"/>
        </w:rPr>
        <w:t>utes</w:t>
      </w:r>
      <w:r w:rsidR="00D12E6C">
        <w:rPr>
          <w:b/>
          <w:bCs/>
          <w:i w:val="0"/>
          <w:lang w:val="en-GB"/>
        </w:rPr>
        <w:t>)</w:t>
      </w:r>
      <w:r w:rsidR="000B2A8D" w:rsidRPr="00D12E6C">
        <w:rPr>
          <w:b/>
          <w:bCs/>
          <w:i w:val="0"/>
          <w:lang w:val="en-US"/>
        </w:rPr>
        <w:t>:</w:t>
      </w:r>
      <w:r w:rsidR="000B2A8D" w:rsidRPr="00D12E6C">
        <w:rPr>
          <w:i w:val="0"/>
          <w:lang w:val="en-US"/>
        </w:rPr>
        <w:t xml:space="preserve"> </w:t>
      </w:r>
      <w:r w:rsidR="00502249" w:rsidRPr="00D12E6C">
        <w:rPr>
          <w:i w:val="0"/>
          <w:lang w:val="en-US"/>
        </w:rPr>
        <w:t xml:space="preserve">This session considers what </w:t>
      </w:r>
      <w:r w:rsidR="00E1746E" w:rsidRPr="00D12E6C">
        <w:rPr>
          <w:i w:val="0"/>
          <w:lang w:val="en-US"/>
        </w:rPr>
        <w:t>types of</w:t>
      </w:r>
      <w:r w:rsidR="00502249" w:rsidRPr="00D12E6C">
        <w:rPr>
          <w:i w:val="0"/>
          <w:lang w:val="en-US"/>
        </w:rPr>
        <w:t xml:space="preserve"> data</w:t>
      </w:r>
      <w:r w:rsidR="00E1746E" w:rsidRPr="00D12E6C">
        <w:rPr>
          <w:i w:val="0"/>
          <w:lang w:val="en-US"/>
        </w:rPr>
        <w:t xml:space="preserve"> and information</w:t>
      </w:r>
      <w:r w:rsidR="00502249" w:rsidRPr="00D12E6C">
        <w:rPr>
          <w:i w:val="0"/>
          <w:lang w:val="en-US"/>
        </w:rPr>
        <w:t xml:space="preserve"> </w:t>
      </w:r>
      <w:r w:rsidR="00E1746E" w:rsidRPr="00D12E6C">
        <w:rPr>
          <w:i w:val="0"/>
          <w:lang w:val="en-US"/>
        </w:rPr>
        <w:t>are</w:t>
      </w:r>
      <w:r w:rsidR="00502249" w:rsidRPr="00D12E6C">
        <w:rPr>
          <w:i w:val="0"/>
          <w:lang w:val="en-US"/>
        </w:rPr>
        <w:t xml:space="preserve"> needed to fill the gaps identified</w:t>
      </w:r>
      <w:r w:rsidR="00F93A18" w:rsidRPr="00D12E6C">
        <w:rPr>
          <w:i w:val="0"/>
          <w:lang w:val="en-US"/>
        </w:rPr>
        <w:t xml:space="preserve"> in the previous session</w:t>
      </w:r>
      <w:r w:rsidR="00502249" w:rsidRPr="00D12E6C">
        <w:rPr>
          <w:i w:val="0"/>
          <w:lang w:val="en-US"/>
        </w:rPr>
        <w:t xml:space="preserve">. </w:t>
      </w:r>
      <w:r w:rsidR="00502249" w:rsidRPr="00CB5755">
        <w:rPr>
          <w:i w:val="0"/>
          <w:lang w:val="en-US"/>
        </w:rPr>
        <w:t>Once these have been identified through plenary discussion and some directed hands-on practice, the question will</w:t>
      </w:r>
      <w:r w:rsidR="00502249" w:rsidRPr="00CE66DE">
        <w:rPr>
          <w:i w:val="0"/>
          <w:lang w:val="en-GB"/>
        </w:rPr>
        <w:t xml:space="preserve"> then be reinforced through </w:t>
      </w:r>
      <w:r w:rsidR="00C42915" w:rsidRPr="00CE66DE">
        <w:rPr>
          <w:i w:val="0"/>
          <w:lang w:val="en-GB"/>
        </w:rPr>
        <w:t>group exercises</w:t>
      </w:r>
      <w:r w:rsidR="00502249" w:rsidRPr="00CE66DE">
        <w:rPr>
          <w:i w:val="0"/>
          <w:lang w:val="en-GB"/>
        </w:rPr>
        <w:t xml:space="preserve"> </w:t>
      </w:r>
      <w:r w:rsidR="00C42915" w:rsidRPr="00CE66DE">
        <w:rPr>
          <w:i w:val="0"/>
          <w:lang w:val="en-GB"/>
        </w:rPr>
        <w:t>in which</w:t>
      </w:r>
      <w:r w:rsidR="00502249" w:rsidRPr="00CE66DE">
        <w:rPr>
          <w:i w:val="0"/>
          <w:lang w:val="en-GB"/>
        </w:rPr>
        <w:t xml:space="preserve"> different parts of the ICH-10 form</w:t>
      </w:r>
      <w:r w:rsidR="00C42915" w:rsidRPr="00CE66DE">
        <w:rPr>
          <w:i w:val="0"/>
          <w:lang w:val="en-GB"/>
        </w:rPr>
        <w:t xml:space="preserve"> are examined</w:t>
      </w:r>
      <w:r w:rsidR="00502249" w:rsidRPr="00CE66DE">
        <w:rPr>
          <w:i w:val="0"/>
          <w:lang w:val="en-GB"/>
        </w:rPr>
        <w:t xml:space="preserve"> and potential data sources</w:t>
      </w:r>
      <w:r w:rsidR="00C42915" w:rsidRPr="00CE66DE">
        <w:rPr>
          <w:i w:val="0"/>
          <w:lang w:val="en-GB"/>
        </w:rPr>
        <w:t xml:space="preserve"> identified</w:t>
      </w:r>
      <w:r w:rsidR="00502249" w:rsidRPr="00CE66DE">
        <w:rPr>
          <w:i w:val="0"/>
          <w:lang w:val="en-GB"/>
        </w:rPr>
        <w:t>.</w:t>
      </w:r>
      <w:r w:rsidR="00C65DED" w:rsidRPr="00CE66DE">
        <w:rPr>
          <w:i w:val="0"/>
          <w:lang w:val="en-GB"/>
        </w:rPr>
        <w:t xml:space="preserve"> </w:t>
      </w:r>
    </w:p>
    <w:p w:rsidR="00107F0A" w:rsidRPr="00CE66DE" w:rsidRDefault="00107F0A" w:rsidP="001215A0">
      <w:pPr>
        <w:pStyle w:val="UTxt"/>
        <w:rPr>
          <w:i w:val="0"/>
          <w:lang w:val="en-GB"/>
        </w:rPr>
      </w:pPr>
      <w:r w:rsidRPr="00D12E6C">
        <w:rPr>
          <w:b/>
          <w:bCs/>
          <w:i w:val="0"/>
          <w:lang w:val="en-US"/>
        </w:rPr>
        <w:t>Session</w:t>
      </w:r>
      <w:r w:rsidRPr="00CE66DE">
        <w:rPr>
          <w:b/>
          <w:bCs/>
          <w:i w:val="0"/>
          <w:rtl/>
        </w:rPr>
        <w:t xml:space="preserve"> </w:t>
      </w:r>
      <w:r w:rsidR="005762AC" w:rsidRPr="00D12E6C">
        <w:rPr>
          <w:b/>
          <w:bCs/>
          <w:i w:val="0"/>
          <w:lang w:val="en-US"/>
        </w:rPr>
        <w:t>3</w:t>
      </w:r>
      <w:r w:rsidRPr="00D12E6C">
        <w:rPr>
          <w:b/>
          <w:bCs/>
          <w:i w:val="0"/>
          <w:lang w:val="en-US"/>
        </w:rPr>
        <w:t>:</w:t>
      </w:r>
      <w:r w:rsidRPr="00CE66DE">
        <w:rPr>
          <w:i w:val="0"/>
          <w:rtl/>
        </w:rPr>
        <w:t xml:space="preserve"> </w:t>
      </w:r>
      <w:r w:rsidR="00502249" w:rsidRPr="00D12E6C">
        <w:rPr>
          <w:b/>
          <w:bCs/>
          <w:i w:val="0"/>
          <w:lang w:val="en-US"/>
        </w:rPr>
        <w:t>Working with other stakeholders</w:t>
      </w:r>
      <w:r w:rsidR="00D80DF2" w:rsidRPr="00D12E6C">
        <w:rPr>
          <w:b/>
          <w:bCs/>
          <w:i w:val="0"/>
          <w:lang w:val="en-US"/>
        </w:rPr>
        <w:t xml:space="preserve"> (60 min</w:t>
      </w:r>
      <w:r w:rsidR="00E162F4">
        <w:rPr>
          <w:b/>
          <w:bCs/>
          <w:i w:val="0"/>
          <w:lang w:val="en-US"/>
        </w:rPr>
        <w:t>utes</w:t>
      </w:r>
      <w:r w:rsidR="00D80DF2" w:rsidRPr="00D12E6C">
        <w:rPr>
          <w:b/>
          <w:bCs/>
          <w:i w:val="0"/>
          <w:lang w:val="en-US"/>
        </w:rPr>
        <w:t>)</w:t>
      </w:r>
      <w:r w:rsidR="00A71179" w:rsidRPr="00D12E6C">
        <w:rPr>
          <w:b/>
          <w:bCs/>
          <w:i w:val="0"/>
          <w:lang w:val="en-US"/>
        </w:rPr>
        <w:t xml:space="preserve">: </w:t>
      </w:r>
      <w:r w:rsidR="00502249" w:rsidRPr="00D12E6C">
        <w:rPr>
          <w:i w:val="0"/>
          <w:lang w:val="en-US"/>
        </w:rPr>
        <w:t xml:space="preserve">This </w:t>
      </w:r>
      <w:r w:rsidR="002A07F3" w:rsidRPr="00D12E6C">
        <w:rPr>
          <w:i w:val="0"/>
          <w:lang w:val="en-US"/>
        </w:rPr>
        <w:t>sess</w:t>
      </w:r>
      <w:r w:rsidR="00A71179" w:rsidRPr="00D12E6C">
        <w:rPr>
          <w:i w:val="0"/>
          <w:lang w:val="en-US"/>
        </w:rPr>
        <w:t xml:space="preserve">ion </w:t>
      </w:r>
      <w:r w:rsidR="002A07F3" w:rsidRPr="00D12E6C">
        <w:rPr>
          <w:i w:val="0"/>
          <w:lang w:val="en-US"/>
        </w:rPr>
        <w:t>addresses</w:t>
      </w:r>
      <w:r w:rsidR="00502249" w:rsidRPr="00D12E6C">
        <w:rPr>
          <w:i w:val="0"/>
          <w:lang w:val="en-US"/>
        </w:rPr>
        <w:t xml:space="preserve"> </w:t>
      </w:r>
      <w:r w:rsidR="00C65DED" w:rsidRPr="00D12E6C">
        <w:rPr>
          <w:i w:val="0"/>
          <w:lang w:val="en-US"/>
        </w:rPr>
        <w:t xml:space="preserve">the potential </w:t>
      </w:r>
      <w:r w:rsidR="00502249" w:rsidRPr="00D12E6C">
        <w:rPr>
          <w:i w:val="0"/>
          <w:lang w:val="en-US"/>
        </w:rPr>
        <w:t xml:space="preserve">range of </w:t>
      </w:r>
      <w:r w:rsidR="00C65DED" w:rsidRPr="00D12E6C">
        <w:rPr>
          <w:i w:val="0"/>
          <w:lang w:val="en-US"/>
        </w:rPr>
        <w:t xml:space="preserve">partners and stakeholders </w:t>
      </w:r>
      <w:r w:rsidR="006835CA" w:rsidRPr="00D12E6C">
        <w:rPr>
          <w:i w:val="0"/>
          <w:lang w:val="en-US"/>
        </w:rPr>
        <w:t>who</w:t>
      </w:r>
      <w:r w:rsidR="00C65DED" w:rsidRPr="00D12E6C">
        <w:rPr>
          <w:i w:val="0"/>
          <w:lang w:val="en-US"/>
        </w:rPr>
        <w:t xml:space="preserve"> need to be approached for data acquisition. </w:t>
      </w:r>
      <w:r w:rsidR="00C65DED" w:rsidRPr="00CB5755">
        <w:rPr>
          <w:i w:val="0"/>
          <w:lang w:val="en-US"/>
        </w:rPr>
        <w:t>These will include both governmental and non-</w:t>
      </w:r>
      <w:r w:rsidR="00C65DED" w:rsidRPr="00CE66DE">
        <w:rPr>
          <w:bCs/>
          <w:i w:val="0"/>
          <w:lang w:val="en-GB"/>
        </w:rPr>
        <w:t>governmental</w:t>
      </w:r>
      <w:r w:rsidR="00C65DED" w:rsidRPr="00CB5755">
        <w:rPr>
          <w:i w:val="0"/>
          <w:lang w:val="en-US"/>
        </w:rPr>
        <w:t xml:space="preserve"> actors</w:t>
      </w:r>
      <w:r w:rsidR="006835CA" w:rsidRPr="00CB5755">
        <w:rPr>
          <w:i w:val="0"/>
          <w:lang w:val="en-US"/>
        </w:rPr>
        <w:t xml:space="preserve"> (across different sectors)</w:t>
      </w:r>
      <w:r w:rsidR="00C65DED" w:rsidRPr="00CB5755">
        <w:rPr>
          <w:i w:val="0"/>
          <w:lang w:val="en-US"/>
        </w:rPr>
        <w:t xml:space="preserve">. </w:t>
      </w:r>
      <w:r w:rsidR="00423B64" w:rsidRPr="00CB5755">
        <w:rPr>
          <w:i w:val="0"/>
          <w:lang w:val="en-US"/>
        </w:rPr>
        <w:t>P</w:t>
      </w:r>
      <w:r w:rsidR="00C65DED" w:rsidRPr="00CB5755">
        <w:rPr>
          <w:i w:val="0"/>
          <w:lang w:val="en-US"/>
        </w:rPr>
        <w:t xml:space="preserve">articipants </w:t>
      </w:r>
      <w:r w:rsidR="00AA5D60" w:rsidRPr="00CB5755">
        <w:rPr>
          <w:i w:val="0"/>
          <w:lang w:val="en-US"/>
        </w:rPr>
        <w:t>are</w:t>
      </w:r>
      <w:r w:rsidR="00C65DED" w:rsidRPr="00CB5755">
        <w:rPr>
          <w:i w:val="0"/>
          <w:lang w:val="en-US"/>
        </w:rPr>
        <w:t xml:space="preserve"> asked to brainstorm in groups </w:t>
      </w:r>
      <w:r w:rsidR="002A07F3" w:rsidRPr="00CB5755">
        <w:rPr>
          <w:i w:val="0"/>
          <w:lang w:val="en-US"/>
        </w:rPr>
        <w:t>who these</w:t>
      </w:r>
      <w:r w:rsidR="00C65DED" w:rsidRPr="00CB5755">
        <w:rPr>
          <w:i w:val="0"/>
          <w:lang w:val="en-US"/>
        </w:rPr>
        <w:t xml:space="preserve"> partners and other actors</w:t>
      </w:r>
      <w:r w:rsidR="002A07F3" w:rsidRPr="00CB5755">
        <w:rPr>
          <w:i w:val="0"/>
          <w:lang w:val="en-US"/>
        </w:rPr>
        <w:t xml:space="preserve"> might be</w:t>
      </w:r>
      <w:r w:rsidR="001E351B" w:rsidRPr="00CB5755">
        <w:rPr>
          <w:i w:val="0"/>
          <w:lang w:val="en-US"/>
        </w:rPr>
        <w:t>, including those whic</w:t>
      </w:r>
      <w:r w:rsidR="00AD7786" w:rsidRPr="00CB5755">
        <w:rPr>
          <w:i w:val="0"/>
          <w:lang w:val="en-US"/>
        </w:rPr>
        <w:t>h can be accessed at a distance</w:t>
      </w:r>
      <w:r w:rsidR="00C65DED" w:rsidRPr="00CB5755">
        <w:rPr>
          <w:i w:val="0"/>
          <w:lang w:val="en-US"/>
        </w:rPr>
        <w:t xml:space="preserve">. </w:t>
      </w:r>
      <w:r w:rsidR="00AD7786" w:rsidRPr="00CB5755">
        <w:rPr>
          <w:i w:val="0"/>
          <w:lang w:val="en-US"/>
        </w:rPr>
        <w:t>T</w:t>
      </w:r>
      <w:r w:rsidR="00C65DED" w:rsidRPr="00CB5755">
        <w:rPr>
          <w:i w:val="0"/>
          <w:lang w:val="en-US"/>
        </w:rPr>
        <w:t xml:space="preserve">hey will </w:t>
      </w:r>
      <w:r w:rsidR="00AD7786" w:rsidRPr="00CB5755">
        <w:rPr>
          <w:i w:val="0"/>
          <w:lang w:val="en-US"/>
        </w:rPr>
        <w:t>then</w:t>
      </w:r>
      <w:r w:rsidR="00AA5D60" w:rsidRPr="00CB5755">
        <w:rPr>
          <w:i w:val="0"/>
          <w:lang w:val="en-US"/>
        </w:rPr>
        <w:t xml:space="preserve"> </w:t>
      </w:r>
      <w:r w:rsidR="00C65DED" w:rsidRPr="00CB5755">
        <w:rPr>
          <w:i w:val="0"/>
          <w:lang w:val="en-US"/>
        </w:rPr>
        <w:t xml:space="preserve">report back to the plenary and a series of discussion points will be identified for further consideration. </w:t>
      </w:r>
      <w:r w:rsidR="00AA5D60" w:rsidRPr="00CB5755">
        <w:rPr>
          <w:i w:val="0"/>
          <w:lang w:val="en-US"/>
        </w:rPr>
        <w:t>A</w:t>
      </w:r>
      <w:r w:rsidR="00FC10E4" w:rsidRPr="00CB5755">
        <w:rPr>
          <w:i w:val="0"/>
          <w:lang w:val="en-US"/>
        </w:rPr>
        <w:t>n additional exercise will involve participants examining a</w:t>
      </w:r>
      <w:r w:rsidR="00B75753" w:rsidRPr="00CB5755">
        <w:rPr>
          <w:i w:val="0"/>
          <w:lang w:val="en-US"/>
        </w:rPr>
        <w:t xml:space="preserve"> number of questions from different sections of the form with view to identifying the type and source(s) of data and/or statistical information required, where/how this can be acquired and from whom.</w:t>
      </w:r>
    </w:p>
    <w:p w:rsidR="00107F0A" w:rsidRPr="001E5927" w:rsidRDefault="00107F0A" w:rsidP="001215A0">
      <w:pPr>
        <w:pStyle w:val="UTit4"/>
      </w:pPr>
      <w:r w:rsidRPr="00081071">
        <w:rPr>
          <w:iCs/>
          <w:lang w:val="en-GB"/>
        </w:rPr>
        <w:lastRenderedPageBreak/>
        <w:t>Supporting</w:t>
      </w:r>
      <w:r w:rsidRPr="001E5927">
        <w:t xml:space="preserve"> documents: </w:t>
      </w:r>
    </w:p>
    <w:p w:rsidR="00256425" w:rsidRPr="00D520A0" w:rsidRDefault="00256425" w:rsidP="001215A0">
      <w:pPr>
        <w:pStyle w:val="Upuce"/>
      </w:pPr>
      <w:proofErr w:type="spellStart"/>
      <w:r w:rsidRPr="00D520A0">
        <w:t>Facilitator’s</w:t>
      </w:r>
      <w:proofErr w:type="spellEnd"/>
      <w:r w:rsidRPr="00D520A0">
        <w:t xml:space="preserve"> notes Unit </w:t>
      </w:r>
      <w:r>
        <w:t>5</w:t>
      </w:r>
      <w:r w:rsidR="005F12C4">
        <w:t>9</w:t>
      </w:r>
    </w:p>
    <w:p w:rsidR="00256425" w:rsidRPr="00D520A0" w:rsidRDefault="00256425" w:rsidP="001215A0">
      <w:pPr>
        <w:pStyle w:val="Upuce"/>
      </w:pPr>
      <w:r w:rsidRPr="00D520A0">
        <w:t xml:space="preserve">PowerPoint </w:t>
      </w:r>
      <w:proofErr w:type="spellStart"/>
      <w:r w:rsidRPr="00D520A0">
        <w:t>presentation</w:t>
      </w:r>
      <w:proofErr w:type="spellEnd"/>
      <w:r w:rsidRPr="00D520A0">
        <w:t xml:space="preserve"> Unit </w:t>
      </w:r>
      <w:r>
        <w:t>5</w:t>
      </w:r>
      <w:r w:rsidR="005F12C4">
        <w:t>9</w:t>
      </w:r>
    </w:p>
    <w:p w:rsidR="00256425" w:rsidRDefault="00256425" w:rsidP="001215A0">
      <w:pPr>
        <w:pStyle w:val="Upuce"/>
      </w:pPr>
      <w:proofErr w:type="spellStart"/>
      <w:r w:rsidRPr="00D520A0">
        <w:t>Participant’s</w:t>
      </w:r>
      <w:proofErr w:type="spellEnd"/>
      <w:r w:rsidRPr="00D520A0">
        <w:t xml:space="preserve"> </w:t>
      </w:r>
      <w:proofErr w:type="spellStart"/>
      <w:r w:rsidRPr="00D520A0">
        <w:t>text</w:t>
      </w:r>
      <w:proofErr w:type="spellEnd"/>
      <w:r w:rsidRPr="00D520A0">
        <w:t xml:space="preserve"> Unit </w:t>
      </w:r>
      <w:r>
        <w:t>5</w:t>
      </w:r>
      <w:r w:rsidR="005F12C4">
        <w:t>9</w:t>
      </w:r>
    </w:p>
    <w:p w:rsidR="00256425" w:rsidRDefault="00256425" w:rsidP="001215A0">
      <w:pPr>
        <w:pStyle w:val="Upuce"/>
      </w:pPr>
      <w:proofErr w:type="spellStart"/>
      <w:r>
        <w:t>Handout</w:t>
      </w:r>
      <w:proofErr w:type="spellEnd"/>
      <w:r>
        <w:t xml:space="preserve"> 1 </w:t>
      </w:r>
      <w:r w:rsidRPr="00D520A0">
        <w:t>Unit </w:t>
      </w:r>
      <w:r>
        <w:t>5</w:t>
      </w:r>
      <w:r w:rsidR="005F12C4">
        <w:t>9</w:t>
      </w:r>
      <w:r w:rsidR="00580E1E">
        <w:t xml:space="preserve"> The information set</w:t>
      </w:r>
    </w:p>
    <w:p w:rsidR="00256425" w:rsidRPr="00AE289D" w:rsidRDefault="00256425" w:rsidP="001215A0">
      <w:pPr>
        <w:pStyle w:val="Upuce"/>
        <w:rPr>
          <w:lang w:val="en-US"/>
        </w:rPr>
      </w:pPr>
      <w:r w:rsidRPr="00AE289D">
        <w:rPr>
          <w:lang w:val="en-US"/>
        </w:rPr>
        <w:t>Handout 2 Unit 5</w:t>
      </w:r>
      <w:r w:rsidR="005F12C4" w:rsidRPr="00AE289D">
        <w:rPr>
          <w:lang w:val="en-US"/>
        </w:rPr>
        <w:t>9</w:t>
      </w:r>
      <w:r w:rsidR="00580E1E" w:rsidRPr="00AE289D">
        <w:rPr>
          <w:lang w:val="en-US"/>
        </w:rPr>
        <w:t xml:space="preserve"> Core indicators and assessment factors</w:t>
      </w:r>
    </w:p>
    <w:p w:rsidR="00256425" w:rsidRPr="00AB3FC9" w:rsidRDefault="00256425" w:rsidP="001215A0">
      <w:pPr>
        <w:pStyle w:val="Upuce"/>
        <w:rPr>
          <w:lang w:val="en-US"/>
        </w:rPr>
      </w:pPr>
      <w:r w:rsidRPr="00AB3FC9">
        <w:rPr>
          <w:lang w:val="en-US"/>
        </w:rPr>
        <w:t>Handout 3 Unit 5</w:t>
      </w:r>
      <w:r w:rsidR="005F12C4" w:rsidRPr="00AB3FC9">
        <w:rPr>
          <w:lang w:val="en-US"/>
        </w:rPr>
        <w:t>9</w:t>
      </w:r>
      <w:r w:rsidR="00AE289D" w:rsidRPr="00AB3FC9">
        <w:rPr>
          <w:lang w:val="en-US"/>
        </w:rPr>
        <w:t xml:space="preserve"> Data gathering and multi-stakeholder engagement</w:t>
      </w:r>
    </w:p>
    <w:p w:rsidR="00256425" w:rsidRDefault="00256425" w:rsidP="001215A0">
      <w:pPr>
        <w:pStyle w:val="Upuce"/>
      </w:pPr>
      <w:r>
        <w:t>Guidance notes</w:t>
      </w:r>
    </w:p>
    <w:p w:rsidR="000B7B83" w:rsidRDefault="000B7B83" w:rsidP="001215A0">
      <w:pPr>
        <w:pStyle w:val="Titcoul"/>
      </w:pPr>
      <w:r>
        <w:t>Facilitator’s Narrative</w:t>
      </w:r>
    </w:p>
    <w:p w:rsidR="000B7B83" w:rsidRPr="00E9799B" w:rsidRDefault="00C87648" w:rsidP="001215A0">
      <w:pPr>
        <w:pStyle w:val="Titcoul"/>
        <w:rPr>
          <w:iCs/>
          <w:snapToGrid/>
          <w:lang w:val="en-GB"/>
        </w:rPr>
      </w:pPr>
      <w:r>
        <w:rPr>
          <w:b w:val="0"/>
          <w:i/>
          <w:lang w:val="fr-FR" w:eastAsia="ja-JP"/>
        </w:rPr>
        <w:drawing>
          <wp:anchor distT="0" distB="0" distL="114300" distR="114300" simplePos="0" relativeHeight="251669504" behindDoc="0" locked="0" layoutInCell="1" allowOverlap="1" wp14:anchorId="64D867C7" wp14:editId="5D1236AD">
            <wp:simplePos x="0" y="0"/>
            <wp:positionH relativeFrom="margin">
              <wp:align>left</wp:align>
            </wp:positionH>
            <wp:positionV relativeFrom="paragraph">
              <wp:posOffset>866140</wp:posOffset>
            </wp:positionV>
            <wp:extent cx="258792" cy="258792"/>
            <wp:effectExtent l="0" t="0" r="825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0B7B83" w:rsidRPr="009501FB">
        <w:t>Session 1</w:t>
      </w:r>
      <w:r w:rsidR="001435F8">
        <w:t xml:space="preserve">: </w:t>
      </w:r>
      <w:r w:rsidR="001435F8" w:rsidRPr="00E162F4">
        <w:t>Evaluating existing data collection frameworks</w:t>
      </w:r>
    </w:p>
    <w:p w:rsidR="000B7B83" w:rsidRPr="00CC4BD6" w:rsidRDefault="000B7B83" w:rsidP="001215A0">
      <w:pPr>
        <w:pStyle w:val="Maintext"/>
        <w:rPr>
          <w:b/>
          <w:i/>
        </w:rPr>
      </w:pPr>
      <w:r w:rsidRPr="00CC4BD6">
        <w:rPr>
          <w:b/>
          <w:i/>
        </w:rPr>
        <w:t>Estimated time: 40 minutes</w:t>
      </w:r>
    </w:p>
    <w:p w:rsidR="00735332" w:rsidRDefault="00A81814" w:rsidP="001215A0">
      <w:pPr>
        <w:pStyle w:val="Maintext"/>
      </w:pPr>
      <w:r w:rsidRPr="00735332">
        <w:t xml:space="preserve">The data collection frameworks that have been used up until now in periodic reporting for the Convention are considered and evaluated, considering how sufficient they are for obtaining the range of data and statistical information required by the new ICH-10 form. </w:t>
      </w:r>
      <w:r w:rsidR="00735332" w:rsidRPr="00735332">
        <w:t xml:space="preserve">This will be done both through presenting the data set generally relied upon for periodic reporting under the previous system (2011-2018) and through examining parts of the online form to identify the shortfalls. This will initially be done fairly ‘blind’ with the aim of discovering the challenges and issues </w:t>
      </w:r>
      <w:r w:rsidR="006F587C">
        <w:t>raised.</w:t>
      </w:r>
    </w:p>
    <w:p w:rsidR="007861FC" w:rsidRDefault="00194349" w:rsidP="001215A0">
      <w:pPr>
        <w:pStyle w:val="Slide"/>
        <w:rPr>
          <w:rFonts w:cstheme="minorHAnsi"/>
          <w:color w:val="00B050"/>
        </w:rPr>
      </w:pPr>
      <w:r w:rsidRPr="007861FC">
        <w:t xml:space="preserve">slide </w:t>
      </w:r>
      <w:r w:rsidR="00B37D18" w:rsidRPr="007861FC">
        <w:t>2</w:t>
      </w:r>
      <w:r w:rsidR="00B61C2D">
        <w:rPr>
          <w:rFonts w:cstheme="minorHAnsi"/>
          <w:color w:val="00B050"/>
        </w:rPr>
        <w:t xml:space="preserve"> </w:t>
      </w:r>
    </w:p>
    <w:p w:rsidR="00B61C2D" w:rsidRPr="007861FC" w:rsidRDefault="00B61C2D" w:rsidP="001215A0">
      <w:pPr>
        <w:pStyle w:val="HeadingSlide"/>
      </w:pPr>
      <w:r w:rsidRPr="007861FC">
        <w:t xml:space="preserve">Weaknesses in </w:t>
      </w:r>
      <w:r w:rsidR="00733526" w:rsidRPr="007861FC">
        <w:t xml:space="preserve">periodic reporting </w:t>
      </w:r>
      <w:r w:rsidRPr="007861FC">
        <w:t>(IOS, 2013):</w:t>
      </w:r>
    </w:p>
    <w:p w:rsidR="00227165" w:rsidRDefault="00194349" w:rsidP="001215A0">
      <w:pPr>
        <w:pStyle w:val="Maintext"/>
      </w:pPr>
      <w:r w:rsidRPr="0089238D">
        <w:t xml:space="preserve">This slide is designed to focus participants on the weaknesses that have been identified with the periodic reporting system as it has operated from 2011-2018. </w:t>
      </w:r>
      <w:r w:rsidR="00227165">
        <w:t>A fuller version of this information is as follows:</w:t>
      </w:r>
    </w:p>
    <w:p w:rsidR="00AA13BB" w:rsidRPr="00227165" w:rsidRDefault="00227165" w:rsidP="001215A0">
      <w:pPr>
        <w:pStyle w:val="Maintext"/>
        <w:numPr>
          <w:ilvl w:val="0"/>
          <w:numId w:val="18"/>
        </w:numPr>
      </w:pPr>
      <w:r>
        <w:t>There has been a</w:t>
      </w:r>
      <w:r w:rsidR="0046057C" w:rsidRPr="00227165">
        <w:t xml:space="preserve"> general tendency to describe activities (rather than their outputs/outcomes/results)</w:t>
      </w:r>
      <w:r w:rsidR="004954A4">
        <w:t>.</w:t>
      </w:r>
    </w:p>
    <w:p w:rsidR="00AA13BB" w:rsidRPr="00227165" w:rsidRDefault="00227165" w:rsidP="001215A0">
      <w:pPr>
        <w:pStyle w:val="Maintext"/>
        <w:numPr>
          <w:ilvl w:val="0"/>
          <w:numId w:val="18"/>
        </w:numPr>
      </w:pPr>
      <w:r>
        <w:t>There has been l</w:t>
      </w:r>
      <w:r w:rsidR="0046057C" w:rsidRPr="00227165">
        <w:t>ittle or no focus on their impact (on safeguarding ICH or bearers</w:t>
      </w:r>
      <w:r w:rsidR="004954A4">
        <w:t>.</w:t>
      </w:r>
      <w:r w:rsidR="0046057C" w:rsidRPr="00227165">
        <w:t xml:space="preserve">) </w:t>
      </w:r>
    </w:p>
    <w:p w:rsidR="00AA13BB" w:rsidRPr="00227165" w:rsidRDefault="0046057C" w:rsidP="001215A0">
      <w:pPr>
        <w:pStyle w:val="Maintext"/>
        <w:numPr>
          <w:ilvl w:val="0"/>
          <w:numId w:val="18"/>
        </w:numPr>
      </w:pPr>
      <w:r w:rsidRPr="00227165">
        <w:t xml:space="preserve">The quality of the process </w:t>
      </w:r>
      <w:r w:rsidR="00227165">
        <w:t xml:space="preserve">has </w:t>
      </w:r>
      <w:r w:rsidRPr="00227165">
        <w:t>often</w:t>
      </w:r>
      <w:r w:rsidR="00227165">
        <w:t xml:space="preserve"> been</w:t>
      </w:r>
      <w:r w:rsidRPr="00227165">
        <w:t xml:space="preserve"> unaddressed</w:t>
      </w:r>
      <w:r w:rsidR="004954A4">
        <w:t>.</w:t>
      </w:r>
      <w:r w:rsidRPr="00227165">
        <w:t xml:space="preserve"> </w:t>
      </w:r>
    </w:p>
    <w:p w:rsidR="00AA13BB" w:rsidRPr="00227165" w:rsidRDefault="0046057C" w:rsidP="001215A0">
      <w:pPr>
        <w:pStyle w:val="Maintext"/>
        <w:numPr>
          <w:ilvl w:val="0"/>
          <w:numId w:val="18"/>
        </w:numPr>
      </w:pPr>
      <w:r w:rsidRPr="00227165">
        <w:t xml:space="preserve">Insufficient attention </w:t>
      </w:r>
      <w:r w:rsidR="00227165">
        <w:t>has been</w:t>
      </w:r>
      <w:r w:rsidRPr="00227165">
        <w:t xml:space="preserve"> paid to identifying the beneficiaries targeted or the actors who provide specific </w:t>
      </w:r>
      <w:proofErr w:type="spellStart"/>
      <w:r w:rsidRPr="00227165">
        <w:t>programmes</w:t>
      </w:r>
      <w:proofErr w:type="spellEnd"/>
      <w:r w:rsidR="004954A4">
        <w:t>.</w:t>
      </w:r>
      <w:r w:rsidRPr="00227165">
        <w:t xml:space="preserve"> </w:t>
      </w:r>
    </w:p>
    <w:p w:rsidR="00AA13BB" w:rsidRPr="00227165" w:rsidRDefault="0046057C" w:rsidP="001215A0">
      <w:pPr>
        <w:pStyle w:val="Maintext"/>
        <w:numPr>
          <w:ilvl w:val="0"/>
          <w:numId w:val="18"/>
        </w:numPr>
      </w:pPr>
      <w:r w:rsidRPr="00227165">
        <w:t>The question types</w:t>
      </w:r>
      <w:r w:rsidR="00227165">
        <w:t xml:space="preserve"> have</w:t>
      </w:r>
      <w:r w:rsidRPr="00227165">
        <w:t xml:space="preserve"> led to extremely detailed information that does not clarify the main approaches taken, emerging trends and the impacts or outcomes of the activities described. </w:t>
      </w:r>
    </w:p>
    <w:p w:rsidR="00AA13BB" w:rsidRPr="00227165" w:rsidRDefault="00227165" w:rsidP="001215A0">
      <w:pPr>
        <w:pStyle w:val="Maintext"/>
        <w:numPr>
          <w:ilvl w:val="0"/>
          <w:numId w:val="18"/>
        </w:numPr>
      </w:pPr>
      <w:r>
        <w:lastRenderedPageBreak/>
        <w:t>Information has</w:t>
      </w:r>
      <w:r w:rsidR="0046057C" w:rsidRPr="00227165">
        <w:t xml:space="preserve"> sometimes</w:t>
      </w:r>
      <w:r>
        <w:t xml:space="preserve"> been misplaced </w:t>
      </w:r>
      <w:r w:rsidR="00C2625A">
        <w:t xml:space="preserve">as </w:t>
      </w:r>
      <w:r>
        <w:t>it wa</w:t>
      </w:r>
      <w:r w:rsidR="0046057C" w:rsidRPr="00227165">
        <w:t xml:space="preserve">s not sufficiently clear what information is required in response to specific questions. </w:t>
      </w:r>
    </w:p>
    <w:p w:rsidR="00AA13BB" w:rsidRPr="00227165" w:rsidRDefault="00227165" w:rsidP="001215A0">
      <w:pPr>
        <w:pStyle w:val="Maintext"/>
        <w:numPr>
          <w:ilvl w:val="0"/>
          <w:numId w:val="18"/>
        </w:numPr>
      </w:pPr>
      <w:r>
        <w:t>It wa</w:t>
      </w:r>
      <w:r w:rsidR="0046057C" w:rsidRPr="00227165">
        <w:t xml:space="preserve">s often not sufficiently clear what information </w:t>
      </w:r>
      <w:r>
        <w:t>would be</w:t>
      </w:r>
      <w:r w:rsidR="0046057C" w:rsidRPr="00227165">
        <w:t xml:space="preserve"> relevant, leading to States Parties providing a large amount of information on one type of activity while not including other, equally relevant, information.</w:t>
      </w:r>
    </w:p>
    <w:p w:rsidR="00AA13BB" w:rsidRPr="00227165" w:rsidRDefault="00227165" w:rsidP="001215A0">
      <w:pPr>
        <w:pStyle w:val="Maintext"/>
        <w:numPr>
          <w:ilvl w:val="0"/>
          <w:numId w:val="18"/>
        </w:numPr>
      </w:pPr>
      <w:r>
        <w:t>Some important information was</w:t>
      </w:r>
      <w:r w:rsidR="0046057C" w:rsidRPr="00227165">
        <w:t xml:space="preserve"> not solicited and therefore, if provided, tend</w:t>
      </w:r>
      <w:r>
        <w:t>ed</w:t>
      </w:r>
      <w:r w:rsidR="0046057C" w:rsidRPr="00227165">
        <w:t xml:space="preserve"> to be placed rather randomly in the form; this impedes comparisons across periodic reports. </w:t>
      </w:r>
    </w:p>
    <w:p w:rsidR="00194349" w:rsidRPr="0089238D" w:rsidRDefault="00194349" w:rsidP="001215A0">
      <w:pPr>
        <w:pStyle w:val="Maintext"/>
      </w:pPr>
      <w:r w:rsidRPr="0089238D">
        <w:t>The participants should be asked to look again at this list of weaknesses and consider which ones might be due to (a) problems with the data set being solicited or (b) problems with the data set available.</w:t>
      </w:r>
    </w:p>
    <w:p w:rsidR="001215A0" w:rsidRDefault="002B6BBF" w:rsidP="001215A0">
      <w:pPr>
        <w:pStyle w:val="Slide"/>
      </w:pPr>
      <w:r w:rsidRPr="0089238D">
        <w:t xml:space="preserve">slide </w:t>
      </w:r>
      <w:r w:rsidR="001215A0">
        <w:t>3</w:t>
      </w:r>
    </w:p>
    <w:p w:rsidR="00B61C2D" w:rsidRPr="001215A0" w:rsidRDefault="00B61C2D" w:rsidP="001215A0">
      <w:pPr>
        <w:pStyle w:val="HeadingSlide"/>
        <w:rPr>
          <w:lang w:val="en-GB"/>
        </w:rPr>
      </w:pPr>
      <w:r w:rsidRPr="00B61C2D">
        <w:rPr>
          <w:lang w:val="en-GB"/>
        </w:rPr>
        <w:t>Elements of the online reporting tool</w:t>
      </w:r>
      <w:r>
        <w:rPr>
          <w:lang w:val="en-GB"/>
        </w:rPr>
        <w:t>:</w:t>
      </w:r>
    </w:p>
    <w:p w:rsidR="00B44550" w:rsidRPr="001215A0" w:rsidRDefault="001E3D69" w:rsidP="00391FD9">
      <w:pPr>
        <w:pStyle w:val="Maintext"/>
      </w:pPr>
      <w:r w:rsidRPr="001215A0">
        <w:t xml:space="preserve">This introduces the participants very briefly to the different sections and topics covered by the periodic reporting tool. These are examined in much more detail in </w:t>
      </w:r>
      <w:r w:rsidRPr="002A103F">
        <w:t xml:space="preserve">Unit </w:t>
      </w:r>
      <w:r w:rsidR="002A103F">
        <w:t>61</w:t>
      </w:r>
      <w:r w:rsidRPr="001215A0">
        <w:t xml:space="preserve"> and so this slide is simply aimed at giving the participants an overview of the content they should expect to provide information on when filling out the form.</w:t>
      </w:r>
      <w:r w:rsidR="00104ED3" w:rsidRPr="001215A0">
        <w:t xml:space="preserve"> It can be mentioned</w:t>
      </w:r>
      <w:r w:rsidR="00DB7026">
        <w:t>/recalled</w:t>
      </w:r>
      <w:r w:rsidR="00104ED3" w:rsidRPr="001215A0">
        <w:t xml:space="preserve"> that Section B (on safeguarding measures at the national level) follows the Thematic Areas of the </w:t>
      </w:r>
      <w:r w:rsidR="002A103F">
        <w:t>overall results framework</w:t>
      </w:r>
      <w:r w:rsidR="00104ED3" w:rsidRPr="001215A0">
        <w:t xml:space="preserve">, the baselines/targets are assigned according to each of the core indicators of the </w:t>
      </w:r>
      <w:r w:rsidR="00DD1172">
        <w:t>overall results framework</w:t>
      </w:r>
      <w:r w:rsidR="00DD1172" w:rsidRPr="001215A0">
        <w:t xml:space="preserve"> </w:t>
      </w:r>
      <w:r w:rsidR="00104ED3" w:rsidRPr="001215A0">
        <w:t xml:space="preserve">and are calculated on the basis of weightings assigned to each question responding to one of the assessment factors of the </w:t>
      </w:r>
      <w:r w:rsidR="00DD1172">
        <w:t>overall results framework</w:t>
      </w:r>
      <w:r w:rsidR="00104ED3" w:rsidRPr="001215A0">
        <w:t>. I</w:t>
      </w:r>
      <w:r w:rsidR="002D2D62" w:rsidRPr="001215A0">
        <w:t>n</w:t>
      </w:r>
      <w:r w:rsidR="00104ED3" w:rsidRPr="001215A0">
        <w:t xml:space="preserve"> this way, the </w:t>
      </w:r>
      <w:r w:rsidR="00DD1172">
        <w:t>overall results framework</w:t>
      </w:r>
      <w:r w:rsidR="00DD1172" w:rsidRPr="001215A0">
        <w:t xml:space="preserve"> </w:t>
      </w:r>
      <w:r w:rsidR="000860B2" w:rsidRPr="001215A0">
        <w:t xml:space="preserve">is fully aligned with </w:t>
      </w:r>
      <w:r w:rsidR="00104ED3" w:rsidRPr="001215A0">
        <w:t>the periodic</w:t>
      </w:r>
      <w:r w:rsidR="004273CA" w:rsidRPr="001215A0">
        <w:t xml:space="preserve"> </w:t>
      </w:r>
      <w:r w:rsidR="00104ED3" w:rsidRPr="001215A0">
        <w:t>reporting tool</w:t>
      </w:r>
      <w:r w:rsidR="004273CA" w:rsidRPr="001215A0">
        <w:t xml:space="preserve"> and</w:t>
      </w:r>
      <w:r w:rsidR="00104ED3" w:rsidRPr="001215A0">
        <w:t xml:space="preserve"> the evaluation and setting of baselines and targets.</w:t>
      </w:r>
    </w:p>
    <w:p w:rsidR="00AD5AF9" w:rsidRDefault="0003271E" w:rsidP="00AD5AF9">
      <w:pPr>
        <w:pStyle w:val="Slide"/>
      </w:pPr>
      <w:r w:rsidRPr="0089238D">
        <w:t xml:space="preserve">slide </w:t>
      </w:r>
      <w:r>
        <w:t>4</w:t>
      </w:r>
      <w:r w:rsidRPr="0089238D">
        <w:t xml:space="preserve"> </w:t>
      </w:r>
    </w:p>
    <w:p w:rsidR="00194349" w:rsidRPr="004001BB" w:rsidRDefault="00194349" w:rsidP="00AD5AF9">
      <w:pPr>
        <w:pStyle w:val="HeadingSlide"/>
      </w:pPr>
      <w:r w:rsidRPr="004001BB">
        <w:t>Exercise</w:t>
      </w:r>
      <w:r w:rsidR="00B61C2D" w:rsidRPr="004001BB">
        <w:t xml:space="preserve"> (Handout 1)</w:t>
      </w:r>
      <w:r w:rsidRPr="004001BB">
        <w:t xml:space="preserve"> (</w:t>
      </w:r>
      <w:r w:rsidR="00D01182" w:rsidRPr="004001BB">
        <w:t>30</w:t>
      </w:r>
      <w:r w:rsidRPr="004001BB">
        <w:t xml:space="preserve"> minutes): </w:t>
      </w:r>
    </w:p>
    <w:p w:rsidR="004001BB" w:rsidRPr="004001BB" w:rsidRDefault="009253C2" w:rsidP="009253C2">
      <w:pPr>
        <w:pStyle w:val="Maintext"/>
      </w:pPr>
      <w:r>
        <w:rPr>
          <w:noProof/>
          <w:lang w:val="fr-FR" w:eastAsia="ja-JP"/>
        </w:rPr>
        <w:drawing>
          <wp:anchor distT="0" distB="0" distL="114300" distR="114300" simplePos="0" relativeHeight="251659264" behindDoc="1" locked="0" layoutInCell="1" allowOverlap="1" wp14:anchorId="1D6AB10A" wp14:editId="211691DE">
            <wp:simplePos x="0" y="0"/>
            <wp:positionH relativeFrom="column">
              <wp:posOffset>0</wp:posOffset>
            </wp:positionH>
            <wp:positionV relativeFrom="paragraph">
              <wp:posOffset>7704</wp:posOffset>
            </wp:positionV>
            <wp:extent cx="494665" cy="445135"/>
            <wp:effectExtent l="0" t="0" r="635" b="0"/>
            <wp:wrapTight wrapText="bothSides">
              <wp:wrapPolygon edited="0">
                <wp:start x="0" y="0"/>
                <wp:lineTo x="0" y="20337"/>
                <wp:lineTo x="20796" y="20337"/>
                <wp:lineTo x="20796" y="0"/>
                <wp:lineTo x="0" y="0"/>
              </wp:wrapPolygon>
            </wp:wrapTight>
            <wp:docPr id="3"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F9">
        <w:rPr>
          <w:b/>
          <w:i/>
          <w:iCs/>
        </w:rPr>
        <w:t>L</w:t>
      </w:r>
      <w:r w:rsidR="004001BB" w:rsidRPr="004001BB">
        <w:rPr>
          <w:b/>
          <w:i/>
          <w:iCs/>
        </w:rPr>
        <w:t>earning objective</w:t>
      </w:r>
      <w:r w:rsidR="004001BB" w:rsidRPr="004001BB">
        <w:rPr>
          <w:b/>
        </w:rPr>
        <w:t xml:space="preserve">: </w:t>
      </w:r>
      <w:r w:rsidR="004001BB" w:rsidRPr="004001BB">
        <w:t>To encourage participants to consider what specific information the questions in the reporting form are looking for and what may not be relevant.</w:t>
      </w:r>
    </w:p>
    <w:p w:rsidR="00417E4D" w:rsidRPr="003B661E" w:rsidRDefault="003B661E" w:rsidP="009253C2">
      <w:pPr>
        <w:pStyle w:val="Maintext"/>
      </w:pPr>
      <w:r w:rsidRPr="004001BB">
        <w:t xml:space="preserve">Provide </w:t>
      </w:r>
      <w:r w:rsidR="00D92FD7" w:rsidRPr="003B661E">
        <w:t>each</w:t>
      </w:r>
      <w:r w:rsidR="00D92FD7" w:rsidRPr="004001BB">
        <w:t xml:space="preserve"> </w:t>
      </w:r>
      <w:r w:rsidRPr="004001BB">
        <w:t>participant</w:t>
      </w:r>
      <w:r w:rsidRPr="003B661E">
        <w:t xml:space="preserve"> with a copy of Handout 1 and ask them to read the imaginary responses to each of the three questions of the periodic reporting form. They should try to identify which elements are relevant to the question and which are not, and what information may be missing. </w:t>
      </w:r>
      <w:r w:rsidR="00C05AE5">
        <w:t>T</w:t>
      </w:r>
      <w:r w:rsidRPr="003B661E">
        <w:t xml:space="preserve">he facilitator can go through each </w:t>
      </w:r>
      <w:r w:rsidR="00146B40">
        <w:t>response</w:t>
      </w:r>
      <w:r w:rsidRPr="003B661E">
        <w:t xml:space="preserve">, </w:t>
      </w:r>
      <w:proofErr w:type="spellStart"/>
      <w:r w:rsidRPr="003B661E">
        <w:t>analysing</w:t>
      </w:r>
      <w:proofErr w:type="spellEnd"/>
      <w:r w:rsidRPr="003B661E">
        <w:t xml:space="preserve"> their comments. </w:t>
      </w:r>
      <w:r w:rsidR="008A1C03">
        <w:t xml:space="preserve">Participants should feel free to use the Guidance note. </w:t>
      </w:r>
      <w:r w:rsidRPr="003B661E">
        <w:t xml:space="preserve">The following points may be helpful. </w:t>
      </w:r>
    </w:p>
    <w:p w:rsidR="00417E4D" w:rsidRPr="009253C2" w:rsidRDefault="00417E4D" w:rsidP="009253C2">
      <w:pPr>
        <w:pStyle w:val="Maintext"/>
        <w:ind w:left="720"/>
        <w:rPr>
          <w:b/>
          <w:i/>
        </w:rPr>
      </w:pPr>
      <w:r w:rsidRPr="009253C2">
        <w:rPr>
          <w:b/>
          <w:i/>
        </w:rPr>
        <w:t xml:space="preserve">3.2 Training </w:t>
      </w:r>
      <w:proofErr w:type="spellStart"/>
      <w:r w:rsidRPr="009253C2">
        <w:rPr>
          <w:b/>
          <w:i/>
        </w:rPr>
        <w:t>programmes</w:t>
      </w:r>
      <w:proofErr w:type="spellEnd"/>
      <w:r w:rsidRPr="009253C2">
        <w:rPr>
          <w:b/>
          <w:i/>
        </w:rPr>
        <w:t xml:space="preserve"> provide capacity building in ICH addressed on an inclusive basis to those working in the fields of culture and heritage.</w:t>
      </w:r>
    </w:p>
    <w:p w:rsidR="00417E4D" w:rsidRPr="009253C2" w:rsidRDefault="00417E4D" w:rsidP="009253C2">
      <w:pPr>
        <w:pStyle w:val="Maintext"/>
      </w:pPr>
      <w:r w:rsidRPr="009253C2">
        <w:t xml:space="preserve">While training local people and bearers in documentation skills can be seen to fulfil this </w:t>
      </w:r>
      <w:r w:rsidR="009253C2">
        <w:t>assessment factor</w:t>
      </w:r>
      <w:r w:rsidRPr="009253C2">
        <w:t>, higher university degrees do not since their aim is different.</w:t>
      </w:r>
    </w:p>
    <w:p w:rsidR="00417E4D" w:rsidRPr="003B661E" w:rsidRDefault="00877321" w:rsidP="009253C2">
      <w:pPr>
        <w:pStyle w:val="Maintext"/>
      </w:pPr>
      <w:r>
        <w:t xml:space="preserve">Equally, training </w:t>
      </w:r>
      <w:proofErr w:type="gramStart"/>
      <w:r>
        <w:t xml:space="preserve">school </w:t>
      </w:r>
      <w:r w:rsidR="00417E4D" w:rsidRPr="003B661E">
        <w:t>teachers</w:t>
      </w:r>
      <w:proofErr w:type="gramEnd"/>
      <w:r w:rsidR="00417E4D" w:rsidRPr="003B661E">
        <w:t xml:space="preserve"> is not per se relevant here. If the training was specifically aimed at heritage professionals or members of heritage-related NGOs, it could be.</w:t>
      </w:r>
    </w:p>
    <w:p w:rsidR="00417E4D" w:rsidRPr="003B661E" w:rsidRDefault="00417E4D" w:rsidP="009253C2">
      <w:pPr>
        <w:pStyle w:val="Maintext"/>
      </w:pPr>
      <w:r w:rsidRPr="003B661E">
        <w:t xml:space="preserve">The institution of Crafts Houses is clearly positive, especially </w:t>
      </w:r>
      <w:r w:rsidR="00850676">
        <w:t>as</w:t>
      </w:r>
      <w:r w:rsidRPr="003B661E">
        <w:t xml:space="preserve"> they are spread throughout the country; however, their inclusivity is in question given that they cater only for male </w:t>
      </w:r>
      <w:proofErr w:type="spellStart"/>
      <w:r w:rsidRPr="003B661E">
        <w:t>craftspersons</w:t>
      </w:r>
      <w:proofErr w:type="spellEnd"/>
      <w:r w:rsidRPr="003B661E">
        <w:t xml:space="preserve"> even if a wide age range is catered for.</w:t>
      </w:r>
    </w:p>
    <w:p w:rsidR="00417E4D" w:rsidRPr="003B661E" w:rsidRDefault="00417E4D" w:rsidP="009253C2">
      <w:pPr>
        <w:pStyle w:val="Maintext"/>
      </w:pPr>
      <w:r w:rsidRPr="003B661E">
        <w:lastRenderedPageBreak/>
        <w:t>The Heritage Academy seems to be more inclusive in the sense of gender as well as age, but it is limited in its geographic scope.</w:t>
      </w:r>
    </w:p>
    <w:p w:rsidR="00417E4D" w:rsidRPr="00850676" w:rsidRDefault="00417E4D" w:rsidP="00850676">
      <w:pPr>
        <w:pStyle w:val="Maintext"/>
        <w:ind w:left="720"/>
        <w:rPr>
          <w:b/>
          <w:i/>
        </w:rPr>
      </w:pPr>
      <w:r w:rsidRPr="00850676">
        <w:rPr>
          <w:b/>
          <w:i/>
        </w:rPr>
        <w:t xml:space="preserve">4.3 Educational </w:t>
      </w:r>
      <w:proofErr w:type="spellStart"/>
      <w:r w:rsidRPr="00850676">
        <w:rPr>
          <w:b/>
          <w:i/>
        </w:rPr>
        <w:t>programmes</w:t>
      </w:r>
      <w:proofErr w:type="spellEnd"/>
      <w:r w:rsidRPr="00850676">
        <w:rPr>
          <w:b/>
          <w:i/>
        </w:rPr>
        <w:t xml:space="preserve"> and/or extra-curricular activities concerning ICH and strengthening its transmission, undertaken by communities, groups, NGOs or heritage institutions, are available and supported.</w:t>
      </w:r>
    </w:p>
    <w:p w:rsidR="00417E4D" w:rsidRPr="003B661E" w:rsidRDefault="00417E4D" w:rsidP="009253C2">
      <w:pPr>
        <w:pStyle w:val="Maintext"/>
      </w:pPr>
      <w:r w:rsidRPr="003B661E">
        <w:t xml:space="preserve">The level of activity of communities/groups/individuals and NGOs in such </w:t>
      </w:r>
      <w:proofErr w:type="spellStart"/>
      <w:r w:rsidRPr="003B661E">
        <w:t>programmes</w:t>
      </w:r>
      <w:proofErr w:type="spellEnd"/>
      <w:r w:rsidRPr="003B661E">
        <w:t xml:space="preserve"> and activities is relevant, although it responds only to one part of the question namely the availability of these.</w:t>
      </w:r>
    </w:p>
    <w:p w:rsidR="00417E4D" w:rsidRPr="003B661E" w:rsidRDefault="00417E4D" w:rsidP="009253C2">
      <w:pPr>
        <w:pStyle w:val="Maintext"/>
      </w:pPr>
      <w:r w:rsidRPr="003B661E">
        <w:t>The second sentence simply provides some further explanation of this, but one or two actual examples would be needed here.</w:t>
      </w:r>
    </w:p>
    <w:p w:rsidR="00417E4D" w:rsidRPr="003B661E" w:rsidRDefault="00417E4D" w:rsidP="009253C2">
      <w:pPr>
        <w:pStyle w:val="Maintext"/>
      </w:pPr>
      <w:r w:rsidRPr="003B661E">
        <w:t xml:space="preserve">Information about the existence of the informal apprenticeship system in the next sentence might constitute such an </w:t>
      </w:r>
      <w:proofErr w:type="gramStart"/>
      <w:r w:rsidRPr="003B661E">
        <w:t>example, but</w:t>
      </w:r>
      <w:proofErr w:type="gramEnd"/>
      <w:r w:rsidRPr="003B661E">
        <w:t xml:space="preserve"> could do with a bit more specific detail.</w:t>
      </w:r>
    </w:p>
    <w:p w:rsidR="004C65FB" w:rsidRPr="003B661E" w:rsidRDefault="00417E4D" w:rsidP="009253C2">
      <w:pPr>
        <w:pStyle w:val="Maintext"/>
      </w:pPr>
      <w:r w:rsidRPr="003B661E">
        <w:rPr>
          <w:bCs/>
        </w:rPr>
        <w:t xml:space="preserve">Cooperation of </w:t>
      </w:r>
      <w:r w:rsidRPr="003B661E">
        <w:t xml:space="preserve">individual bearers and practitioners in teaching and research activities at the Autonomous University could be relevant if the bearers and practitioners play a sufficiently leading role (not clear from this), especially </w:t>
      </w:r>
      <w:r w:rsidR="004C65FB">
        <w:t>as</w:t>
      </w:r>
      <w:r w:rsidR="004C65FB" w:rsidRPr="003B661E">
        <w:t xml:space="preserve"> </w:t>
      </w:r>
      <w:r w:rsidRPr="003B661E">
        <w:t>this university supports these activities and is state-funded.</w:t>
      </w:r>
    </w:p>
    <w:p w:rsidR="00A80FD0" w:rsidRPr="00127740" w:rsidRDefault="00417E4D" w:rsidP="009253C2">
      <w:pPr>
        <w:pStyle w:val="Maintext"/>
        <w:rPr>
          <w:bCs/>
        </w:rPr>
      </w:pPr>
      <w:r w:rsidRPr="00127740">
        <w:t xml:space="preserve">The nature walks would be an ideal example of such an activity, although the lack of financial support means that they do not fulfil the second requirement of this assessment factor; however, this could be seen as relevant (if negative) information in itself, especially </w:t>
      </w:r>
      <w:r w:rsidR="00127740">
        <w:t>as</w:t>
      </w:r>
      <w:r w:rsidR="00127740" w:rsidRPr="00127740">
        <w:t xml:space="preserve"> </w:t>
      </w:r>
      <w:r w:rsidRPr="00127740">
        <w:t xml:space="preserve">they were obviously supported until recently. </w:t>
      </w:r>
    </w:p>
    <w:p w:rsidR="00417E4D" w:rsidRPr="00043FC0" w:rsidRDefault="00417E4D" w:rsidP="00043FC0">
      <w:pPr>
        <w:pStyle w:val="Maintext"/>
        <w:ind w:left="720"/>
        <w:rPr>
          <w:b/>
          <w:i/>
        </w:rPr>
      </w:pPr>
      <w:r w:rsidRPr="00043FC0">
        <w:rPr>
          <w:b/>
          <w:i/>
        </w:rPr>
        <w:t>17.1 Awareness-raising actions reflect the inclusive and widest possible participation of communities, groups and individuals concerned.</w:t>
      </w:r>
    </w:p>
    <w:p w:rsidR="00417E4D" w:rsidRPr="003B661E" w:rsidRDefault="00417E4D" w:rsidP="009253C2">
      <w:pPr>
        <w:pStyle w:val="Maintext"/>
      </w:pPr>
      <w:r w:rsidRPr="003B661E">
        <w:t>This does not really tell us about the core issue, namely ‘the widest participation of communities, etc.’ and many of these activities appear to be led by governmental bodies. National Day celebrations and heritage days are a good case in point.</w:t>
      </w:r>
    </w:p>
    <w:p w:rsidR="00417E4D" w:rsidRPr="003B661E" w:rsidRDefault="00417E4D" w:rsidP="009253C2">
      <w:pPr>
        <w:pStyle w:val="Maintext"/>
      </w:pPr>
      <w:r w:rsidRPr="003B661E">
        <w:t>The competitions do involve community members, and youth, but they are limited to performing arts and, again it is not clear who is organizing them.</w:t>
      </w:r>
    </w:p>
    <w:p w:rsidR="00417E4D" w:rsidRPr="003B661E" w:rsidRDefault="00417E4D" w:rsidP="009253C2">
      <w:pPr>
        <w:pStyle w:val="Maintext"/>
      </w:pPr>
      <w:r w:rsidRPr="003B661E">
        <w:t>The formal recognition of a few bearers does not fulfil the meaning of ‘wide participation’ and is, again, a state-driven activity; however, if it includes supporting their transmission activities, it could be seen to support transmission (Thematic Area II) as well as broadening participation.</w:t>
      </w:r>
    </w:p>
    <w:p w:rsidR="00417E4D" w:rsidRPr="003B661E" w:rsidRDefault="00417E4D" w:rsidP="009253C2">
      <w:pPr>
        <w:pStyle w:val="Maintext"/>
      </w:pPr>
      <w:r w:rsidRPr="003B661E">
        <w:t>It is not clear, for example, if the media activities are provided by a state-run media or if community radio stations are also involved.</w:t>
      </w:r>
    </w:p>
    <w:p w:rsidR="003B661E" w:rsidRPr="003B661E" w:rsidRDefault="003B661E" w:rsidP="009253C2">
      <w:pPr>
        <w:pStyle w:val="Maintext"/>
      </w:pPr>
      <w:r w:rsidRPr="003B661E">
        <w:t xml:space="preserve">After completing this part of the exercise, the facilitator can then ask participants to suggest likely sources of information for each of the questions. The participants can then check their answers against the relevant section of the </w:t>
      </w:r>
      <w:r w:rsidR="00AE1E99">
        <w:t>g</w:t>
      </w:r>
      <w:r w:rsidRPr="003B661E">
        <w:t xml:space="preserve">uidance </w:t>
      </w:r>
      <w:r w:rsidR="00AE1E99">
        <w:t>n</w:t>
      </w:r>
      <w:r w:rsidRPr="003B661E">
        <w:t>otes to indicators 3,</w:t>
      </w:r>
      <w:r w:rsidR="00AE1E99">
        <w:t xml:space="preserve"> </w:t>
      </w:r>
      <w:r w:rsidRPr="003B661E">
        <w:t>4 and 17.</w:t>
      </w:r>
    </w:p>
    <w:p w:rsidR="00183722" w:rsidRDefault="005C4F6D" w:rsidP="00183722">
      <w:pPr>
        <w:pStyle w:val="Titcoul"/>
      </w:pPr>
      <w:r w:rsidRPr="008364EC">
        <w:lastRenderedPageBreak/>
        <w:t>Session 2</w:t>
      </w:r>
      <w:r w:rsidR="002F1C4E">
        <w:t xml:space="preserve">: </w:t>
      </w:r>
      <w:r w:rsidR="002F1C4E" w:rsidRPr="00CE66DE">
        <w:rPr>
          <w:lang w:val="en-GB"/>
        </w:rPr>
        <w:t>Finding data and statistical information</w:t>
      </w:r>
    </w:p>
    <w:p w:rsidR="00B67B72" w:rsidRPr="00183722" w:rsidRDefault="00C87648" w:rsidP="00183722">
      <w:pPr>
        <w:tabs>
          <w:tab w:val="left" w:pos="567"/>
        </w:tabs>
        <w:snapToGrid w:val="0"/>
        <w:spacing w:before="240" w:after="60" w:line="280" w:lineRule="exact"/>
        <w:rPr>
          <w:rFonts w:ascii="Arial" w:eastAsia="SimSun" w:hAnsi="Arial" w:cs="Arial"/>
          <w:b/>
          <w:i/>
          <w:sz w:val="20"/>
          <w:szCs w:val="24"/>
        </w:rPr>
      </w:pPr>
      <w:r>
        <w:rPr>
          <w:b/>
          <w:i/>
          <w:noProof/>
          <w:lang w:val="fr-FR" w:eastAsia="ja-JP"/>
        </w:rPr>
        <w:drawing>
          <wp:anchor distT="0" distB="0" distL="114300" distR="114300" simplePos="0" relativeHeight="251665408" behindDoc="0" locked="0" layoutInCell="1" allowOverlap="1" wp14:anchorId="64D867C7" wp14:editId="5D1236AD">
            <wp:simplePos x="0" y="0"/>
            <wp:positionH relativeFrom="margin">
              <wp:align>left</wp:align>
            </wp:positionH>
            <wp:positionV relativeFrom="paragraph">
              <wp:posOffset>9525</wp:posOffset>
            </wp:positionV>
            <wp:extent cx="258792" cy="258792"/>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V relativeFrom="margin">
              <wp14:pctHeight>0</wp14:pctHeight>
            </wp14:sizeRelV>
          </wp:anchor>
        </w:drawing>
      </w:r>
      <w:r w:rsidR="00183722" w:rsidRPr="00183722">
        <w:rPr>
          <w:rFonts w:ascii="Arial" w:eastAsia="SimSun" w:hAnsi="Arial" w:cs="Arial"/>
          <w:b/>
          <w:i/>
          <w:sz w:val="20"/>
          <w:szCs w:val="24"/>
        </w:rPr>
        <w:t xml:space="preserve">Estimated time: </w:t>
      </w:r>
      <w:r w:rsidR="00185E6F" w:rsidRPr="00183722">
        <w:rPr>
          <w:rFonts w:ascii="Arial" w:eastAsia="SimSun" w:hAnsi="Arial" w:cs="Arial"/>
          <w:b/>
          <w:i/>
          <w:sz w:val="20"/>
          <w:szCs w:val="24"/>
        </w:rPr>
        <w:t>4</w:t>
      </w:r>
      <w:r w:rsidR="004001BB" w:rsidRPr="00183722">
        <w:rPr>
          <w:rFonts w:ascii="Arial" w:eastAsia="SimSun" w:hAnsi="Arial" w:cs="Arial"/>
          <w:b/>
          <w:i/>
          <w:sz w:val="20"/>
          <w:szCs w:val="24"/>
        </w:rPr>
        <w:t>0</w:t>
      </w:r>
      <w:r w:rsidR="00185E6F" w:rsidRPr="00183722">
        <w:rPr>
          <w:rFonts w:ascii="Arial" w:eastAsia="SimSun" w:hAnsi="Arial" w:cs="Arial"/>
          <w:b/>
          <w:i/>
          <w:sz w:val="20"/>
          <w:szCs w:val="24"/>
        </w:rPr>
        <w:t xml:space="preserve"> minutes</w:t>
      </w:r>
    </w:p>
    <w:p w:rsidR="00CB0AE6" w:rsidRPr="0089238D" w:rsidRDefault="00CB0AE6" w:rsidP="00183722">
      <w:pPr>
        <w:pStyle w:val="Maintext"/>
      </w:pPr>
      <w:r w:rsidRPr="0089238D">
        <w:t xml:space="preserve">This session considers the potential range of data and information sources that can be </w:t>
      </w:r>
      <w:r w:rsidR="00127740">
        <w:t>used to</w:t>
      </w:r>
      <w:r w:rsidR="00127740" w:rsidRPr="0089238D">
        <w:t xml:space="preserve"> </w:t>
      </w:r>
      <w:r w:rsidRPr="0089238D">
        <w:t>fill out the different sections of the periodic reporting form.</w:t>
      </w:r>
    </w:p>
    <w:p w:rsidR="00B40E7A" w:rsidRPr="0089238D" w:rsidRDefault="00CB0AE6" w:rsidP="00183722">
      <w:pPr>
        <w:pStyle w:val="Maintext"/>
      </w:pPr>
      <w:r w:rsidRPr="0089238D">
        <w:t xml:space="preserve">A key challenge for developing the </w:t>
      </w:r>
      <w:r w:rsidR="00183722">
        <w:t>overall results framework</w:t>
      </w:r>
      <w:r w:rsidRPr="0089238D">
        <w:t xml:space="preserve"> has been identifying mechanisms by which the implementation of the Convention can readily be </w:t>
      </w:r>
      <w:proofErr w:type="gramStart"/>
      <w:r w:rsidRPr="0089238D">
        <w:t>monitored</w:t>
      </w:r>
      <w:proofErr w:type="gramEnd"/>
      <w:r w:rsidRPr="0089238D">
        <w:t xml:space="preserve"> and </w:t>
      </w:r>
      <w:r w:rsidR="000072C8" w:rsidRPr="0089238D">
        <w:t xml:space="preserve">its </w:t>
      </w:r>
      <w:r w:rsidRPr="0089238D">
        <w:t xml:space="preserve">impacts assessed. </w:t>
      </w:r>
      <w:r w:rsidR="0008373A" w:rsidRPr="0089238D">
        <w:t>An important issue to address in this respect</w:t>
      </w:r>
      <w:r w:rsidR="00B40E7A" w:rsidRPr="0089238D">
        <w:t xml:space="preserve"> is the quality of the data and information set used and, importantly, how and from whom this is to be gathered.</w:t>
      </w:r>
      <w:r w:rsidR="0008373A" w:rsidRPr="0089238D">
        <w:t xml:space="preserve"> </w:t>
      </w:r>
    </w:p>
    <w:p w:rsidR="00B458F0" w:rsidRDefault="008364EC" w:rsidP="00183722">
      <w:pPr>
        <w:pStyle w:val="Maintext"/>
      </w:pPr>
      <w:r>
        <w:t>T</w:t>
      </w:r>
      <w:r w:rsidR="00B458F0" w:rsidRPr="0089238D">
        <w:t>he Committee has</w:t>
      </w:r>
      <w:r>
        <w:t xml:space="preserve"> previously</w:t>
      </w:r>
      <w:r w:rsidR="00B458F0" w:rsidRPr="0089238D">
        <w:t xml:space="preserve"> encouraged ‘States Parties to complement the data gathered on the implementation of the Convention through Periodic Reports submitted by States Parties including information provided by relevant NGOs’</w:t>
      </w:r>
      <w:r w:rsidR="00F50840">
        <w:t xml:space="preserve"> (</w:t>
      </w:r>
      <w:hyperlink r:id="rId13" w:history="1">
        <w:r w:rsidR="00F50840" w:rsidRPr="00BE5E90">
          <w:t>Decision 8.COM 5.c.1</w:t>
        </w:r>
      </w:hyperlink>
      <w:r w:rsidR="00F50840">
        <w:t>)</w:t>
      </w:r>
      <w:r w:rsidR="00B458F0" w:rsidRPr="0089238D">
        <w:t xml:space="preserve"> </w:t>
      </w:r>
      <w:r>
        <w:t>and this message was reinforced in the evaluation report produced by IOS in 2013.</w:t>
      </w:r>
      <w:r w:rsidRPr="0089238D">
        <w:rPr>
          <w:vertAlign w:val="superscript"/>
        </w:rPr>
        <w:footnoteReference w:id="1"/>
      </w:r>
      <w:r w:rsidR="00C45854">
        <w:t xml:space="preserve"> In addition, although</w:t>
      </w:r>
      <w:r w:rsidR="00B458F0" w:rsidRPr="0089238D">
        <w:t xml:space="preserve"> the major monitoring responsibility</w:t>
      </w:r>
      <w:r w:rsidR="00C45854">
        <w:t xml:space="preserve"> in most countries</w:t>
      </w:r>
      <w:r w:rsidR="00B458F0" w:rsidRPr="0089238D">
        <w:t xml:space="preserve"> lies at the government level, </w:t>
      </w:r>
      <w:r w:rsidR="00C45854">
        <w:t>the IOS e</w:t>
      </w:r>
      <w:r w:rsidR="00B458F0" w:rsidRPr="0089238D">
        <w:t xml:space="preserve">valuation referred to some </w:t>
      </w:r>
      <w:r w:rsidR="00C45854">
        <w:t>exampl</w:t>
      </w:r>
      <w:r w:rsidR="00B458F0" w:rsidRPr="0089238D">
        <w:t xml:space="preserve">es where other stakeholders </w:t>
      </w:r>
      <w:r w:rsidR="00C45854">
        <w:t>(</w:t>
      </w:r>
      <w:r w:rsidR="00B458F0" w:rsidRPr="0089238D">
        <w:t>including academia, NGOs and communities</w:t>
      </w:r>
      <w:r w:rsidR="00C45854">
        <w:t>)</w:t>
      </w:r>
      <w:r w:rsidR="00B458F0" w:rsidRPr="0089238D">
        <w:t xml:space="preserve"> were involved. Given that </w:t>
      </w:r>
      <w:r w:rsidR="00C45854">
        <w:t>a number of actors and</w:t>
      </w:r>
      <w:r w:rsidR="00B458F0" w:rsidRPr="0089238D">
        <w:t xml:space="preserve"> stakeholders play a key role in the implementation of this Convention, it is necessary to conceive an overall monitoring and follow-up that can take their views into account, </w:t>
      </w:r>
      <w:r w:rsidR="00C45854">
        <w:t>even if</w:t>
      </w:r>
      <w:r w:rsidR="00B458F0" w:rsidRPr="0089238D">
        <w:t xml:space="preserve"> its follow-up primarily presents governmental perspectives. The actual implementation of the </w:t>
      </w:r>
      <w:r w:rsidR="00BC743A">
        <w:t>overall results framework</w:t>
      </w:r>
      <w:r w:rsidR="00BC743A" w:rsidRPr="0089238D">
        <w:t xml:space="preserve"> </w:t>
      </w:r>
      <w:r w:rsidR="00B458F0" w:rsidRPr="0089238D">
        <w:t>will therefore need to consider how non-State actors of the Convention can be further involved in the process of reporting.</w:t>
      </w:r>
    </w:p>
    <w:p w:rsidR="00BC743A" w:rsidRDefault="00575551" w:rsidP="00BC743A">
      <w:pPr>
        <w:pStyle w:val="Slide"/>
      </w:pPr>
      <w:r>
        <w:t xml:space="preserve">slide </w:t>
      </w:r>
      <w:r w:rsidR="00FC3F91">
        <w:t>5</w:t>
      </w:r>
    </w:p>
    <w:p w:rsidR="004930F8" w:rsidRPr="00BC743A" w:rsidRDefault="004930F8" w:rsidP="00BC743A">
      <w:pPr>
        <w:pStyle w:val="HeadingSlide"/>
        <w:rPr>
          <w:color w:val="00B050"/>
        </w:rPr>
      </w:pPr>
      <w:r w:rsidRPr="00FC3F91">
        <w:t>Exercise</w:t>
      </w:r>
      <w:r w:rsidR="00B61C2D">
        <w:t xml:space="preserve"> (Handout 2)</w:t>
      </w:r>
      <w:r w:rsidRPr="00FC3F91">
        <w:t xml:space="preserve"> (</w:t>
      </w:r>
      <w:r w:rsidR="007D0F06">
        <w:t>30</w:t>
      </w:r>
      <w:r w:rsidRPr="00FC3F91">
        <w:t xml:space="preserve"> minutes)</w:t>
      </w:r>
      <w:r>
        <w:t>:</w:t>
      </w:r>
    </w:p>
    <w:p w:rsidR="004001BB" w:rsidRDefault="00D605C1" w:rsidP="00D605C1">
      <w:pPr>
        <w:pStyle w:val="Maintext"/>
      </w:pPr>
      <w:r>
        <w:rPr>
          <w:noProof/>
          <w:lang w:val="fr-FR" w:eastAsia="ja-JP"/>
        </w:rPr>
        <w:drawing>
          <wp:anchor distT="0" distB="0" distL="114300" distR="114300" simplePos="0" relativeHeight="251661312" behindDoc="1" locked="0" layoutInCell="1" allowOverlap="1" wp14:anchorId="00651DDB" wp14:editId="423704BE">
            <wp:simplePos x="0" y="0"/>
            <wp:positionH relativeFrom="column">
              <wp:posOffset>51759</wp:posOffset>
            </wp:positionH>
            <wp:positionV relativeFrom="paragraph">
              <wp:posOffset>34218</wp:posOffset>
            </wp:positionV>
            <wp:extent cx="494665" cy="445135"/>
            <wp:effectExtent l="0" t="0" r="635" b="0"/>
            <wp:wrapTight wrapText="bothSides">
              <wp:wrapPolygon edited="0">
                <wp:start x="0" y="0"/>
                <wp:lineTo x="0" y="20337"/>
                <wp:lineTo x="20796" y="20337"/>
                <wp:lineTo x="20796" y="0"/>
                <wp:lineTo x="0" y="0"/>
              </wp:wrapPolygon>
            </wp:wrapTight>
            <wp:docPr id="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1BB" w:rsidRPr="004001BB">
        <w:rPr>
          <w:b/>
          <w:bCs/>
          <w:i/>
        </w:rPr>
        <w:t>Learning objective</w:t>
      </w:r>
      <w:r w:rsidR="004001BB">
        <w:t>: To encourage participants to consider what data and information sources are needed for responding precisely to the questions in the online reporting tool.</w:t>
      </w:r>
    </w:p>
    <w:p w:rsidR="007D0F06" w:rsidRDefault="007D0F06" w:rsidP="00D605C1">
      <w:pPr>
        <w:pStyle w:val="Maintext"/>
      </w:pPr>
      <w:r w:rsidRPr="0089238D">
        <w:t xml:space="preserve">Participants begin in plenary by considering what </w:t>
      </w:r>
      <w:r>
        <w:t>additional</w:t>
      </w:r>
      <w:r w:rsidRPr="0089238D">
        <w:t xml:space="preserve"> data </w:t>
      </w:r>
      <w:r>
        <w:t>are</w:t>
      </w:r>
      <w:r w:rsidRPr="0089238D">
        <w:t xml:space="preserve"> needed to </w:t>
      </w:r>
      <w:r>
        <w:t>respond to the questions</w:t>
      </w:r>
      <w:r w:rsidRPr="0089238D">
        <w:t xml:space="preserve"> in the previous session</w:t>
      </w:r>
      <w:r>
        <w:t xml:space="preserve"> and what potential sources there may be for that data</w:t>
      </w:r>
      <w:r w:rsidRPr="0089238D">
        <w:t xml:space="preserve">. Participants are encouraged to ‘think outside the box’ and to consider sources of data that have not generally been used in </w:t>
      </w:r>
      <w:r>
        <w:t>preparing periodic reports</w:t>
      </w:r>
      <w:r w:rsidRPr="0089238D">
        <w:t xml:space="preserve">. </w:t>
      </w:r>
      <w:r>
        <w:t>It may be helpful for a participant to write the proposed data sources on a whiteboard or flipchart.</w:t>
      </w:r>
    </w:p>
    <w:p w:rsidR="004930F8" w:rsidRDefault="004930F8" w:rsidP="00D605C1">
      <w:pPr>
        <w:pStyle w:val="Maintext"/>
      </w:pPr>
      <w:r>
        <w:t>The pa</w:t>
      </w:r>
      <w:r w:rsidRPr="0089238D">
        <w:t>rticipants are</w:t>
      </w:r>
      <w:r>
        <w:t xml:space="preserve"> then</w:t>
      </w:r>
      <w:r w:rsidRPr="0089238D">
        <w:t xml:space="preserve"> divided into groups (of 4 </w:t>
      </w:r>
      <w:r>
        <w:t>or 5) and handed a copy each of Handout 2 which</w:t>
      </w:r>
      <w:r w:rsidRPr="0089238D">
        <w:t xml:space="preserve"> shows the </w:t>
      </w:r>
      <w:r w:rsidR="00D605C1">
        <w:t>t</w:t>
      </w:r>
      <w:r w:rsidRPr="0089238D">
        <w:t xml:space="preserve">hematic </w:t>
      </w:r>
      <w:r w:rsidR="00D605C1">
        <w:t>a</w:t>
      </w:r>
      <w:r w:rsidRPr="0089238D">
        <w:t xml:space="preserve">reas and </w:t>
      </w:r>
      <w:r w:rsidR="00D605C1">
        <w:t>c</w:t>
      </w:r>
      <w:r w:rsidRPr="0089238D">
        <w:t xml:space="preserve">ore </w:t>
      </w:r>
      <w:r w:rsidR="00D605C1">
        <w:t>i</w:t>
      </w:r>
      <w:r w:rsidRPr="0089238D">
        <w:t xml:space="preserve">ndicators as presented in the </w:t>
      </w:r>
      <w:r w:rsidR="00D37272">
        <w:t>h</w:t>
      </w:r>
      <w:r w:rsidRPr="0089238D">
        <w:t xml:space="preserve">igh-level </w:t>
      </w:r>
      <w:r w:rsidR="00D37272">
        <w:t>f</w:t>
      </w:r>
      <w:r w:rsidRPr="0089238D">
        <w:t xml:space="preserve">ramework of the </w:t>
      </w:r>
      <w:r w:rsidR="00D37272">
        <w:t>overall results framework</w:t>
      </w:r>
      <w:r w:rsidR="00127740">
        <w:t>.</w:t>
      </w:r>
    </w:p>
    <w:p w:rsidR="005B61F0" w:rsidRDefault="004930F8" w:rsidP="005B61F0">
      <w:pPr>
        <w:pStyle w:val="Slide"/>
      </w:pPr>
      <w:r>
        <w:lastRenderedPageBreak/>
        <w:t>slide 6</w:t>
      </w:r>
      <w:r w:rsidR="005B61F0">
        <w:t xml:space="preserve"> </w:t>
      </w:r>
    </w:p>
    <w:p w:rsidR="00B61C2D" w:rsidRDefault="00B61C2D" w:rsidP="005B61F0">
      <w:pPr>
        <w:pStyle w:val="HeadingSlide"/>
      </w:pPr>
      <w:r w:rsidRPr="00B61C2D">
        <w:t>Potential data sources</w:t>
      </w:r>
      <w:r>
        <w:t>:</w:t>
      </w:r>
    </w:p>
    <w:p w:rsidR="004930F8" w:rsidRPr="0089238D" w:rsidRDefault="004930F8" w:rsidP="00A84714">
      <w:pPr>
        <w:pStyle w:val="Maintext"/>
      </w:pPr>
      <w:r w:rsidRPr="0089238D">
        <w:t xml:space="preserve">Each group should </w:t>
      </w:r>
      <w:r>
        <w:t xml:space="preserve">be assigned one of the </w:t>
      </w:r>
      <w:r w:rsidRPr="0089238D">
        <w:t>core indicators</w:t>
      </w:r>
      <w:r>
        <w:t xml:space="preserve"> to </w:t>
      </w:r>
      <w:r w:rsidRPr="0089238D">
        <w:t>wor</w:t>
      </w:r>
      <w:r>
        <w:t>k on a</w:t>
      </w:r>
      <w:r w:rsidRPr="0089238D">
        <w:t xml:space="preserve">nd try to identify a number of potentially useful sources of data and information </w:t>
      </w:r>
      <w:r>
        <w:t>available in their own countries that would help them</w:t>
      </w:r>
      <w:r w:rsidRPr="0089238D">
        <w:t xml:space="preserve"> to </w:t>
      </w:r>
      <w:r>
        <w:t>respond to questions about the topic</w:t>
      </w:r>
      <w:r w:rsidRPr="0089238D">
        <w:t xml:space="preserve">. They should take into account the potential sources of data and information listed in Slide </w:t>
      </w:r>
      <w:r w:rsidR="007D0F06">
        <w:t>6</w:t>
      </w:r>
      <w:r w:rsidRPr="0089238D">
        <w:t xml:space="preserve">. The facilitator should emphasize that this list is indicative only, and participants are encouraged to add </w:t>
      </w:r>
      <w:r>
        <w:t>other</w:t>
      </w:r>
      <w:r w:rsidRPr="0089238D">
        <w:t xml:space="preserve"> sources of data and information, in particular those </w:t>
      </w:r>
      <w:r>
        <w:t xml:space="preserve">that may be </w:t>
      </w:r>
      <w:r w:rsidRPr="0089238D">
        <w:t>specific to their country or region.</w:t>
      </w:r>
    </w:p>
    <w:p w:rsidR="004930F8" w:rsidRDefault="004930F8" w:rsidP="00F0418C">
      <w:pPr>
        <w:pStyle w:val="Maintext"/>
      </w:pPr>
      <w:r>
        <w:t xml:space="preserve">The facilitator can now draw </w:t>
      </w:r>
      <w:r w:rsidR="00643DC9">
        <w:t xml:space="preserve">the </w:t>
      </w:r>
      <w:r w:rsidR="00127740">
        <w:t xml:space="preserve">participants’ </w:t>
      </w:r>
      <w:r>
        <w:t xml:space="preserve">attention to the </w:t>
      </w:r>
      <w:r w:rsidR="00FF34EA">
        <w:t>participant’s</w:t>
      </w:r>
      <w:r w:rsidR="00F0418C">
        <w:t xml:space="preserve"> text</w:t>
      </w:r>
      <w:r>
        <w:t xml:space="preserve"> for this unit that sets out some potentially useful sources of data and information within UNESCO. However, it is important to stress that </w:t>
      </w:r>
      <w:r w:rsidR="00492B98">
        <w:t xml:space="preserve">(i) </w:t>
      </w:r>
      <w:r>
        <w:t>these are only partially and, often, indirectly of relevance and (ii) other international and regional organizations may have equivalent instruments that can be useful information sources.</w:t>
      </w:r>
    </w:p>
    <w:p w:rsidR="004930F8" w:rsidRDefault="00492B98" w:rsidP="004F1F33">
      <w:pPr>
        <w:pStyle w:val="Maintext"/>
        <w:ind w:left="720"/>
      </w:pPr>
      <w:r w:rsidRPr="00A96C08">
        <w:rPr>
          <w:b/>
        </w:rPr>
        <w:t>OPTIONAL</w:t>
      </w:r>
      <w:r>
        <w:t xml:space="preserve">: </w:t>
      </w:r>
      <w:r w:rsidR="004930F8" w:rsidRPr="004F462F">
        <w:t xml:space="preserve">The information provided in </w:t>
      </w:r>
      <w:r>
        <w:t>the</w:t>
      </w:r>
      <w:r w:rsidRPr="004F462F">
        <w:t xml:space="preserve"> </w:t>
      </w:r>
      <w:r w:rsidR="00FF34EA">
        <w:t>participants</w:t>
      </w:r>
      <w:r w:rsidR="004930F8" w:rsidRPr="004F462F">
        <w:t xml:space="preserve"> </w:t>
      </w:r>
      <w:r w:rsidR="00643DC9">
        <w:t xml:space="preserve">text </w:t>
      </w:r>
      <w:r w:rsidR="004930F8" w:rsidRPr="004F462F">
        <w:t xml:space="preserve">on the Culture for Development Indicators (CDIS) can also be used as a brief, informative case study if the facilitator wishes. There is also an optional Case Study on the CDIS in Unit </w:t>
      </w:r>
      <w:r w:rsidR="00CF3334">
        <w:t>60</w:t>
      </w:r>
      <w:r w:rsidR="00757356">
        <w:t xml:space="preserve"> (</w:t>
      </w:r>
      <w:r w:rsidR="00757356" w:rsidRPr="00CF3334">
        <w:t xml:space="preserve">For more information, see: </w:t>
      </w:r>
      <w:hyperlink r:id="rId14" w:history="1">
        <w:r w:rsidR="00DB21EC">
          <w:rPr>
            <w:rStyle w:val="Hyperlink"/>
          </w:rPr>
          <w:t>https://en.unesco.org/creativity/sites/creativity/files/cdis_methodology_manual_0_0.pdf</w:t>
        </w:r>
      </w:hyperlink>
      <w:r w:rsidR="00757356" w:rsidRPr="00CF3334">
        <w:t>).</w:t>
      </w:r>
    </w:p>
    <w:p w:rsidR="004F1F33" w:rsidRDefault="00C87648" w:rsidP="001215A0">
      <w:pPr>
        <w:rPr>
          <w:rFonts w:ascii="Arial" w:eastAsia="Times New Roman" w:hAnsi="Arial" w:cs="Arial"/>
          <w:b/>
          <w:bCs/>
          <w:caps/>
          <w:noProof/>
          <w:snapToGrid w:val="0"/>
          <w:color w:val="3366FF"/>
          <w:kern w:val="28"/>
          <w:sz w:val="32"/>
          <w:szCs w:val="32"/>
        </w:rPr>
      </w:pPr>
      <w:r>
        <w:rPr>
          <w:b/>
          <w:i/>
          <w:noProof/>
          <w:lang w:val="fr-FR" w:eastAsia="ja-JP"/>
        </w:rPr>
        <w:drawing>
          <wp:anchor distT="0" distB="0" distL="114300" distR="114300" simplePos="0" relativeHeight="251667456" behindDoc="0" locked="0" layoutInCell="1" allowOverlap="1" wp14:anchorId="64D867C7" wp14:editId="5D1236AD">
            <wp:simplePos x="0" y="0"/>
            <wp:positionH relativeFrom="margin">
              <wp:align>left</wp:align>
            </wp:positionH>
            <wp:positionV relativeFrom="paragraph">
              <wp:posOffset>376555</wp:posOffset>
            </wp:positionV>
            <wp:extent cx="258792" cy="258792"/>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B67B72" w:rsidRPr="004F1F33">
        <w:rPr>
          <w:rFonts w:ascii="Arial" w:eastAsia="Times New Roman" w:hAnsi="Arial" w:cs="Arial"/>
          <w:b/>
          <w:bCs/>
          <w:caps/>
          <w:noProof/>
          <w:snapToGrid w:val="0"/>
          <w:color w:val="3366FF"/>
          <w:kern w:val="28"/>
          <w:sz w:val="32"/>
          <w:szCs w:val="32"/>
        </w:rPr>
        <w:t xml:space="preserve">Session </w:t>
      </w:r>
      <w:r w:rsidR="00D079BC" w:rsidRPr="004F1F33">
        <w:rPr>
          <w:rFonts w:ascii="Arial" w:eastAsia="Times New Roman" w:hAnsi="Arial" w:cs="Arial"/>
          <w:b/>
          <w:bCs/>
          <w:caps/>
          <w:noProof/>
          <w:snapToGrid w:val="0"/>
          <w:color w:val="3366FF"/>
          <w:kern w:val="28"/>
          <w:sz w:val="32"/>
          <w:szCs w:val="32"/>
        </w:rPr>
        <w:t>3</w:t>
      </w:r>
      <w:r w:rsidR="002252FE">
        <w:rPr>
          <w:rFonts w:ascii="Arial" w:eastAsia="Times New Roman" w:hAnsi="Arial" w:cs="Arial"/>
          <w:b/>
          <w:bCs/>
          <w:caps/>
          <w:noProof/>
          <w:snapToGrid w:val="0"/>
          <w:color w:val="3366FF"/>
          <w:kern w:val="28"/>
          <w:sz w:val="32"/>
          <w:szCs w:val="32"/>
        </w:rPr>
        <w:t xml:space="preserve">: </w:t>
      </w:r>
      <w:r w:rsidR="002252FE" w:rsidRPr="002252FE">
        <w:rPr>
          <w:rFonts w:ascii="Arial" w:eastAsia="Times New Roman" w:hAnsi="Arial" w:cs="Arial"/>
          <w:b/>
          <w:bCs/>
          <w:caps/>
          <w:noProof/>
          <w:snapToGrid w:val="0"/>
          <w:color w:val="3366FF"/>
          <w:kern w:val="28"/>
          <w:sz w:val="32"/>
          <w:szCs w:val="32"/>
        </w:rPr>
        <w:t>Working with other stakeholders</w:t>
      </w:r>
    </w:p>
    <w:p w:rsidR="00547D64" w:rsidRPr="003704C3" w:rsidRDefault="004F1F33" w:rsidP="003704C3">
      <w:pPr>
        <w:pStyle w:val="Maintext"/>
        <w:rPr>
          <w:b/>
          <w:i/>
          <w:iCs/>
        </w:rPr>
      </w:pPr>
      <w:r w:rsidRPr="003704C3">
        <w:rPr>
          <w:b/>
          <w:i/>
          <w:noProof/>
          <w:snapToGrid w:val="0"/>
        </w:rPr>
        <w:t>Estimated time: 60 minutes</w:t>
      </w:r>
      <w:r w:rsidR="00B67B72" w:rsidRPr="003704C3">
        <w:rPr>
          <w:b/>
          <w:i/>
        </w:rPr>
        <w:t xml:space="preserve"> </w:t>
      </w:r>
    </w:p>
    <w:p w:rsidR="00EA15AF" w:rsidRPr="0089238D" w:rsidRDefault="00B67B72" w:rsidP="002031FC">
      <w:pPr>
        <w:pStyle w:val="Maintext"/>
      </w:pPr>
      <w:r w:rsidRPr="0089238D">
        <w:t xml:space="preserve">This session </w:t>
      </w:r>
      <w:r w:rsidR="00D56161" w:rsidRPr="0089238D">
        <w:t>looks at</w:t>
      </w:r>
      <w:r w:rsidRPr="0089238D">
        <w:t xml:space="preserve"> the potential range of partners and stakeholders that </w:t>
      </w:r>
      <w:r w:rsidR="003047E2" w:rsidRPr="0089238D">
        <w:t xml:space="preserve">will </w:t>
      </w:r>
      <w:r w:rsidRPr="0089238D">
        <w:t>need to be approached for data acquisition</w:t>
      </w:r>
      <w:r w:rsidR="003047E2" w:rsidRPr="0089238D">
        <w:t xml:space="preserve"> and the role that the national focal points will play with regard to engaging and involving these different actors and stakeholders</w:t>
      </w:r>
      <w:r w:rsidRPr="0089238D">
        <w:t>. The</w:t>
      </w:r>
      <w:r w:rsidR="003047E2" w:rsidRPr="0089238D">
        <w:t>y</w:t>
      </w:r>
      <w:r w:rsidRPr="0089238D">
        <w:t xml:space="preserve"> will include both governmental bodies (across different sectors) and non-governmental actors. </w:t>
      </w:r>
    </w:p>
    <w:p w:rsidR="002A07F3" w:rsidRPr="0089238D" w:rsidRDefault="00EA15AF" w:rsidP="002031FC">
      <w:pPr>
        <w:pStyle w:val="Maintext"/>
      </w:pPr>
      <w:r w:rsidRPr="0089238D">
        <w:t>Before dividing the participants into groups, as a short warm-up the facilitator can introduce the topic in the plenary by asking participants to brainstorm some of the possible governmental and non-governmental actors who will be important partners</w:t>
      </w:r>
      <w:r w:rsidR="009874A2">
        <w:t xml:space="preserve"> for them</w:t>
      </w:r>
      <w:r w:rsidRPr="0089238D">
        <w:t xml:space="preserve"> in the periodic reporting pr</w:t>
      </w:r>
      <w:r w:rsidR="003047E2" w:rsidRPr="0089238D">
        <w:t>o</w:t>
      </w:r>
      <w:r w:rsidRPr="0089238D">
        <w:t>cess.</w:t>
      </w:r>
    </w:p>
    <w:p w:rsidR="002031FC" w:rsidRDefault="00127F35" w:rsidP="002031FC">
      <w:pPr>
        <w:pStyle w:val="Slide"/>
      </w:pPr>
      <w:r>
        <w:t>slide 7</w:t>
      </w:r>
      <w:r w:rsidRPr="0089238D">
        <w:t xml:space="preserve"> </w:t>
      </w:r>
    </w:p>
    <w:p w:rsidR="00B61C2D" w:rsidRDefault="00847F4D" w:rsidP="002031FC">
      <w:pPr>
        <w:pStyle w:val="HeadingSlide"/>
      </w:pPr>
      <w:r w:rsidRPr="0089238D">
        <w:t>Exercise</w:t>
      </w:r>
      <w:r w:rsidR="00B61C2D">
        <w:t xml:space="preserve"> (Handout 3)</w:t>
      </w:r>
      <w:r w:rsidR="005762AC">
        <w:t xml:space="preserve"> (4</w:t>
      </w:r>
      <w:r w:rsidR="009874A2">
        <w:t>5 minutes)</w:t>
      </w:r>
      <w:r w:rsidRPr="0089238D">
        <w:t xml:space="preserve">: </w:t>
      </w:r>
    </w:p>
    <w:p w:rsidR="004001BB" w:rsidRDefault="007624C8" w:rsidP="007624C8">
      <w:pPr>
        <w:pStyle w:val="Maintext"/>
      </w:pPr>
      <w:r>
        <w:rPr>
          <w:noProof/>
          <w:lang w:val="fr-FR" w:eastAsia="ja-JP"/>
        </w:rPr>
        <w:drawing>
          <wp:anchor distT="0" distB="0" distL="114300" distR="114300" simplePos="0" relativeHeight="251663360" behindDoc="1" locked="0" layoutInCell="1" allowOverlap="1" wp14:anchorId="79B03BAD" wp14:editId="78EE4C16">
            <wp:simplePos x="0" y="0"/>
            <wp:positionH relativeFrom="column">
              <wp:posOffset>0</wp:posOffset>
            </wp:positionH>
            <wp:positionV relativeFrom="paragraph">
              <wp:posOffset>50836</wp:posOffset>
            </wp:positionV>
            <wp:extent cx="494665" cy="445135"/>
            <wp:effectExtent l="0" t="0" r="635" b="0"/>
            <wp:wrapTight wrapText="bothSides">
              <wp:wrapPolygon edited="0">
                <wp:start x="0" y="0"/>
                <wp:lineTo x="0" y="20337"/>
                <wp:lineTo x="20796" y="20337"/>
                <wp:lineTo x="20796" y="0"/>
                <wp:lineTo x="0" y="0"/>
              </wp:wrapPolygon>
            </wp:wrapTight>
            <wp:docPr id="4"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1BB" w:rsidRPr="004001BB">
        <w:rPr>
          <w:b/>
          <w:bCs/>
          <w:i/>
        </w:rPr>
        <w:t>Learning objective</w:t>
      </w:r>
      <w:r w:rsidR="004001BB">
        <w:t>:</w:t>
      </w:r>
      <w:r w:rsidR="00B56E26">
        <w:t xml:space="preserve"> To</w:t>
      </w:r>
      <w:r w:rsidR="004001BB">
        <w:t xml:space="preserve"> </w:t>
      </w:r>
      <w:r w:rsidR="00B56E26">
        <w:t>c</w:t>
      </w:r>
      <w:r w:rsidR="004001BB">
        <w:t>onsolidate the learning by focusing the participants on the data required to provide information specific to each question (assessment factor) and how/where this data can be sourced.</w:t>
      </w:r>
    </w:p>
    <w:p w:rsidR="009874A2" w:rsidRPr="0089238D" w:rsidRDefault="00B67B72" w:rsidP="007624C8">
      <w:pPr>
        <w:pStyle w:val="Maintext"/>
      </w:pPr>
      <w:r w:rsidRPr="0089238D">
        <w:t>For this</w:t>
      </w:r>
      <w:r w:rsidR="00847F4D" w:rsidRPr="0089238D">
        <w:t xml:space="preserve"> exercise</w:t>
      </w:r>
      <w:r w:rsidRPr="0089238D">
        <w:t xml:space="preserve">, </w:t>
      </w:r>
      <w:r w:rsidR="00847F4D" w:rsidRPr="0089238D">
        <w:t>the participants should be divided into group</w:t>
      </w:r>
      <w:r w:rsidR="00F40ACA" w:rsidRPr="0089238D">
        <w:t>s</w:t>
      </w:r>
      <w:r w:rsidR="008619C2">
        <w:t xml:space="preserve"> and given copies of Handout </w:t>
      </w:r>
      <w:r w:rsidR="001A1E4B">
        <w:t>3</w:t>
      </w:r>
      <w:r w:rsidR="009874A2">
        <w:t>. This handout contain</w:t>
      </w:r>
      <w:r w:rsidR="009874A2" w:rsidRPr="0089238D">
        <w:t xml:space="preserve">s a table </w:t>
      </w:r>
      <w:r w:rsidR="009874A2">
        <w:t>with</w:t>
      </w:r>
      <w:r w:rsidR="009874A2" w:rsidRPr="0089238D">
        <w:t xml:space="preserve"> </w:t>
      </w:r>
      <w:r w:rsidR="00D73DC9">
        <w:t>eight</w:t>
      </w:r>
      <w:r w:rsidR="009874A2" w:rsidRPr="0089238D">
        <w:t xml:space="preserve"> assessment factors </w:t>
      </w:r>
      <w:r w:rsidR="00D73DC9">
        <w:t>chosen from</w:t>
      </w:r>
      <w:r w:rsidR="009874A2" w:rsidRPr="0089238D">
        <w:t xml:space="preserve"> different sections of the online form. The</w:t>
      </w:r>
      <w:r w:rsidR="00D73DC9">
        <w:t xml:space="preserve"> groups</w:t>
      </w:r>
      <w:r w:rsidR="009874A2" w:rsidRPr="0089238D">
        <w:t xml:space="preserve"> should examine</w:t>
      </w:r>
      <w:r w:rsidR="00D73DC9">
        <w:t xml:space="preserve"> these</w:t>
      </w:r>
      <w:r w:rsidR="009874A2" w:rsidRPr="0089238D">
        <w:t xml:space="preserve"> with a view to identifying the type and source(s) of data and/or statistical information</w:t>
      </w:r>
      <w:r w:rsidR="00B56E26">
        <w:t xml:space="preserve"> that</w:t>
      </w:r>
      <w:r w:rsidR="009874A2" w:rsidRPr="0089238D">
        <w:t xml:space="preserve"> can be acquired and from whom.</w:t>
      </w:r>
    </w:p>
    <w:p w:rsidR="009874A2" w:rsidRPr="0089238D" w:rsidRDefault="009874A2" w:rsidP="007624C8">
      <w:pPr>
        <w:pStyle w:val="Maintext"/>
      </w:pPr>
      <w:r w:rsidRPr="0089238D">
        <w:t>The observations in the final column can provide a useful guide both for the focal points and for UNESCO, as well as a good basis for further discussion during the workshop.</w:t>
      </w:r>
    </w:p>
    <w:p w:rsidR="00D73DC9" w:rsidRPr="0089238D" w:rsidRDefault="009874A2" w:rsidP="007624C8">
      <w:pPr>
        <w:pStyle w:val="Maintext"/>
      </w:pPr>
      <w:r>
        <w:t xml:space="preserve">Once </w:t>
      </w:r>
      <w:r w:rsidR="00D73DC9">
        <w:t>the p</w:t>
      </w:r>
      <w:r w:rsidR="00D73DC9" w:rsidRPr="0089238D">
        <w:t>articipants</w:t>
      </w:r>
      <w:r w:rsidR="00D73DC9">
        <w:t xml:space="preserve"> have had sufficient time to discuss and work through these</w:t>
      </w:r>
      <w:r>
        <w:t>,</w:t>
      </w:r>
      <w:r w:rsidRPr="0089238D">
        <w:t xml:space="preserve"> </w:t>
      </w:r>
      <w:r w:rsidR="00D73DC9">
        <w:t xml:space="preserve">they return to the plenary. </w:t>
      </w:r>
      <w:r w:rsidR="00D73DC9" w:rsidRPr="0089238D">
        <w:t xml:space="preserve">The facilitator </w:t>
      </w:r>
      <w:r w:rsidR="00D73DC9">
        <w:t>can</w:t>
      </w:r>
      <w:r w:rsidR="00D73DC9" w:rsidRPr="0089238D">
        <w:t xml:space="preserve"> have this form up on screen</w:t>
      </w:r>
      <w:r w:rsidR="00D73DC9">
        <w:t xml:space="preserve"> if possible,</w:t>
      </w:r>
      <w:r w:rsidR="00D73DC9" w:rsidRPr="0089238D">
        <w:t xml:space="preserve"> and have it filled out</w:t>
      </w:r>
      <w:r w:rsidR="00D73DC9">
        <w:t xml:space="preserve"> on-screen</w:t>
      </w:r>
      <w:r w:rsidR="00D73DC9" w:rsidRPr="0089238D">
        <w:t xml:space="preserve"> as participants discuss each assessment factor.</w:t>
      </w:r>
      <w:r w:rsidR="00D73DC9">
        <w:t xml:space="preserve"> If it is done in this way, the file can then be saved </w:t>
      </w:r>
      <w:r w:rsidR="00B56E26">
        <w:t xml:space="preserve">as </w:t>
      </w:r>
      <w:r w:rsidR="00D73DC9">
        <w:t xml:space="preserve">the </w:t>
      </w:r>
      <w:r w:rsidR="00D73DC9">
        <w:lastRenderedPageBreak/>
        <w:t>information in the ‘observations’ column may be of use in future work concerning the periodic reporting mechanism.</w:t>
      </w:r>
    </w:p>
    <w:sectPr w:rsidR="00D73DC9" w:rsidRPr="0089238D" w:rsidSect="001435F8">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06C" w:rsidRDefault="0001706C" w:rsidP="001215A0">
      <w:r>
        <w:separator/>
      </w:r>
    </w:p>
  </w:endnote>
  <w:endnote w:type="continuationSeparator" w:id="0">
    <w:p w:rsidR="0001706C" w:rsidRDefault="0001706C" w:rsidP="0012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CFB" w:rsidRPr="00877321" w:rsidRDefault="00877321" w:rsidP="00877321">
    <w:pPr>
      <w:pStyle w:val="Footer"/>
      <w:rPr>
        <w:rFonts w:ascii="Arial" w:hAnsi="Arial" w:cs="Arial"/>
        <w:sz w:val="16"/>
        <w:szCs w:val="16"/>
        <w:lang w:val="fr-FR"/>
      </w:rPr>
    </w:pPr>
    <w:r w:rsidRPr="00877321">
      <w:rPr>
        <w:rFonts w:ascii="Arial" w:hAnsi="Arial" w:cs="Arial"/>
        <w:noProof/>
        <w:sz w:val="16"/>
        <w:szCs w:val="16"/>
        <w:lang w:val="fr-FR" w:eastAsia="ja-JP"/>
      </w:rPr>
      <w:drawing>
        <wp:anchor distT="0" distB="0" distL="114300" distR="114300" simplePos="0" relativeHeight="251659264" behindDoc="0" locked="0" layoutInCell="1" allowOverlap="1" wp14:anchorId="61C57C7F" wp14:editId="704602A7">
          <wp:simplePos x="0" y="0"/>
          <wp:positionH relativeFrom="column">
            <wp:posOffset>4776721</wp:posOffset>
          </wp:positionH>
          <wp:positionV relativeFrom="paragraph">
            <wp:posOffset>-229450</wp:posOffset>
          </wp:positionV>
          <wp:extent cx="986790" cy="6051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877321">
      <w:rPr>
        <w:rFonts w:ascii="Arial" w:hAnsi="Arial" w:cs="Arial"/>
        <w:noProof/>
        <w:sz w:val="16"/>
        <w:szCs w:val="16"/>
        <w:lang w:val="fr-FR" w:eastAsia="ja-JP"/>
      </w:rPr>
      <w:drawing>
        <wp:anchor distT="0" distB="0" distL="114300" distR="114300" simplePos="0" relativeHeight="251660288" behindDoc="0" locked="0" layoutInCell="1" allowOverlap="1" wp14:anchorId="40890037" wp14:editId="62DA0A2E">
          <wp:simplePos x="0" y="0"/>
          <wp:positionH relativeFrom="column">
            <wp:posOffset>2281423</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77321">
      <w:rPr>
        <w:rFonts w:ascii="Arial" w:hAnsi="Arial" w:cs="Arial"/>
        <w:sz w:val="16"/>
        <w:szCs w:val="16"/>
        <w:lang w:val="fr-FR"/>
      </w:rPr>
      <w:t>U05</w:t>
    </w:r>
    <w:r>
      <w:rPr>
        <w:rFonts w:ascii="Arial" w:hAnsi="Arial" w:cs="Arial"/>
        <w:sz w:val="16"/>
        <w:szCs w:val="16"/>
        <w:lang w:val="fr-FR"/>
      </w:rPr>
      <w:t>9</w:t>
    </w:r>
    <w:r w:rsidRPr="00877321">
      <w:rPr>
        <w:rFonts w:ascii="Arial" w:hAnsi="Arial" w:cs="Arial"/>
        <w:sz w:val="16"/>
        <w:szCs w:val="16"/>
        <w:lang w:val="fr-FR"/>
      </w:rPr>
      <w:t>-v1.0-FN EN</w:t>
    </w:r>
    <w:r w:rsidRPr="00877321">
      <w:rPr>
        <w:rFonts w:ascii="Arial" w:hAnsi="Arial" w:cs="Arial"/>
        <w:sz w:val="16"/>
        <w:szCs w:val="16"/>
        <w:lang w:val="fr-FR"/>
      </w:rPr>
      <w:tab/>
    </w:r>
    <w:r w:rsidRPr="00877321">
      <w:rPr>
        <w:rFonts w:ascii="Arial" w:hAnsi="Arial" w:cs="Arial"/>
        <w:sz w:val="16"/>
        <w:szCs w:val="16"/>
        <w:lang w:val="fr-FR"/>
      </w:rPr>
      <w:t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06C" w:rsidRDefault="0001706C" w:rsidP="001215A0">
      <w:r>
        <w:separator/>
      </w:r>
    </w:p>
  </w:footnote>
  <w:footnote w:type="continuationSeparator" w:id="0">
    <w:p w:rsidR="0001706C" w:rsidRDefault="0001706C" w:rsidP="001215A0">
      <w:r>
        <w:continuationSeparator/>
      </w:r>
    </w:p>
  </w:footnote>
  <w:footnote w:id="1">
    <w:p w:rsidR="00245CFB" w:rsidRPr="00A84714" w:rsidRDefault="00245CFB" w:rsidP="001215A0">
      <w:pPr>
        <w:pStyle w:val="FootnoteText"/>
        <w:rPr>
          <w:rFonts w:ascii="Arial" w:hAnsi="Arial" w:cs="Arial"/>
          <w:sz w:val="16"/>
          <w:szCs w:val="16"/>
          <w:lang w:val="en-US"/>
        </w:rPr>
      </w:pPr>
      <w:r w:rsidRPr="00A84714">
        <w:rPr>
          <w:rFonts w:ascii="Arial" w:hAnsi="Arial" w:cs="Arial"/>
          <w:sz w:val="16"/>
          <w:szCs w:val="16"/>
        </w:rPr>
        <w:footnoteRef/>
      </w:r>
      <w:r w:rsidRPr="00CB5755">
        <w:rPr>
          <w:rFonts w:ascii="Arial" w:hAnsi="Arial" w:cs="Arial"/>
          <w:sz w:val="16"/>
          <w:szCs w:val="16"/>
          <w:lang w:val="en-US"/>
        </w:rPr>
        <w:t>.</w:t>
      </w:r>
      <w:r w:rsidRPr="00CB5755">
        <w:rPr>
          <w:rFonts w:ascii="Arial" w:hAnsi="Arial" w:cs="Arial"/>
          <w:sz w:val="16"/>
          <w:szCs w:val="16"/>
          <w:lang w:val="en-US"/>
        </w:rPr>
        <w:tab/>
      </w:r>
      <w:r w:rsidRPr="00A84714">
        <w:rPr>
          <w:rFonts w:ascii="Arial" w:hAnsi="Arial" w:cs="Arial"/>
          <w:sz w:val="16"/>
          <w:szCs w:val="16"/>
          <w:lang w:val="en-US"/>
        </w:rPr>
        <w:t>‘Evaluation of UNESCO’s Standard</w:t>
      </w:r>
      <w:r w:rsidRPr="00A84714">
        <w:rPr>
          <w:rFonts w:ascii="Cambria Math" w:hAnsi="Cambria Math" w:cs="Cambria Math"/>
          <w:sz w:val="16"/>
          <w:szCs w:val="16"/>
          <w:lang w:val="en-US"/>
        </w:rPr>
        <w:t>‐</w:t>
      </w:r>
      <w:r w:rsidRPr="00A84714">
        <w:rPr>
          <w:rFonts w:ascii="Arial" w:hAnsi="Arial" w:cs="Arial"/>
          <w:sz w:val="16"/>
          <w:szCs w:val="16"/>
          <w:lang w:val="en-US"/>
        </w:rPr>
        <w:t xml:space="preserve">setting Work of the Culture Sector: Part I – 2003 Convention for the Safeguarding </w:t>
      </w:r>
      <w:r w:rsidR="00A84714" w:rsidRPr="00A84714">
        <w:rPr>
          <w:rFonts w:ascii="Arial" w:hAnsi="Arial" w:cs="Arial"/>
          <w:sz w:val="16"/>
          <w:szCs w:val="16"/>
          <w:lang w:val="en-US"/>
        </w:rPr>
        <w:tab/>
      </w:r>
      <w:r w:rsidRPr="00A84714">
        <w:rPr>
          <w:rFonts w:ascii="Arial" w:hAnsi="Arial" w:cs="Arial"/>
          <w:sz w:val="16"/>
          <w:szCs w:val="16"/>
          <w:lang w:val="en-US"/>
        </w:rPr>
        <w:t xml:space="preserve">of the Intangible Cultural Heritage’ available in </w:t>
      </w:r>
      <w:hyperlink r:id="rId1" w:tgtFrame="_blank" w:history="1">
        <w:r w:rsidRPr="00A84714">
          <w:rPr>
            <w:rStyle w:val="Hyperlink"/>
            <w:rFonts w:ascii="Arial" w:hAnsi="Arial" w:cs="Arial"/>
            <w:bCs/>
            <w:color w:val="0872CB"/>
            <w:sz w:val="16"/>
            <w:szCs w:val="16"/>
            <w:lang w:val="en-GB"/>
          </w:rPr>
          <w:t>English</w:t>
        </w:r>
      </w:hyperlink>
      <w:r w:rsidRPr="00A84714">
        <w:rPr>
          <w:rFonts w:ascii="Arial" w:hAnsi="Arial" w:cs="Arial"/>
          <w:color w:val="414042"/>
          <w:sz w:val="16"/>
          <w:szCs w:val="16"/>
          <w:lang w:val="en-US"/>
        </w:rPr>
        <w:t>|</w:t>
      </w:r>
      <w:hyperlink r:id="rId2" w:tgtFrame="_blank" w:history="1">
        <w:r w:rsidRPr="00A84714">
          <w:rPr>
            <w:rStyle w:val="Hyperlink"/>
            <w:rFonts w:ascii="Arial" w:hAnsi="Arial" w:cs="Arial"/>
            <w:bCs/>
            <w:color w:val="0872CB"/>
            <w:sz w:val="16"/>
            <w:szCs w:val="16"/>
            <w:lang w:val="en-GB"/>
          </w:rPr>
          <w:t>French</w:t>
        </w:r>
      </w:hyperlink>
      <w:r w:rsidRPr="00A84714">
        <w:rPr>
          <w:rFonts w:ascii="Arial" w:hAnsi="Arial" w:cs="Arial"/>
          <w:color w:val="414042"/>
          <w:sz w:val="16"/>
          <w:szCs w:val="16"/>
          <w:lang w:val="en-US"/>
        </w:rPr>
        <w:t>|</w:t>
      </w:r>
      <w:hyperlink r:id="rId3" w:tgtFrame="_blank" w:history="1">
        <w:r w:rsidRPr="00A84714">
          <w:rPr>
            <w:rStyle w:val="Hyperlink"/>
            <w:rFonts w:ascii="Arial" w:hAnsi="Arial" w:cs="Arial"/>
            <w:bCs/>
            <w:color w:val="0872CB"/>
            <w:sz w:val="16"/>
            <w:szCs w:val="16"/>
            <w:lang w:val="en-GB"/>
          </w:rPr>
          <w:t>Spanish</w:t>
        </w:r>
      </w:hyperlink>
      <w:r w:rsidRPr="00A84714">
        <w:rPr>
          <w:rFonts w:ascii="Arial" w:hAnsi="Arial" w:cs="Arial"/>
          <w:color w:val="414042"/>
          <w:sz w:val="16"/>
          <w:szCs w:val="16"/>
          <w:lang w:val="en-US"/>
        </w:rPr>
        <w:t>|</w:t>
      </w:r>
      <w:hyperlink r:id="rId4" w:tgtFrame="_blank" w:history="1">
        <w:r w:rsidRPr="00A84714">
          <w:rPr>
            <w:rStyle w:val="Hyperlink"/>
            <w:rFonts w:ascii="Arial" w:hAnsi="Arial" w:cs="Arial"/>
            <w:bCs/>
            <w:color w:val="0872CB"/>
            <w:sz w:val="16"/>
            <w:szCs w:val="16"/>
            <w:lang w:val="en-GB"/>
          </w:rPr>
          <w:t>Arabic</w:t>
        </w:r>
      </w:hyperlink>
      <w:r w:rsidRPr="00A84714">
        <w:rPr>
          <w:rFonts w:ascii="Arial" w:hAnsi="Arial" w:cs="Arial"/>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08" w:rsidRPr="00A96C08" w:rsidRDefault="00A96C08" w:rsidP="001215A0">
    <w:pPr>
      <w:pStyle w:val="Header"/>
    </w:pPr>
    <w:r w:rsidRPr="00A96C08">
      <w:fldChar w:fldCharType="begin"/>
    </w:r>
    <w:r w:rsidRPr="00A96C08">
      <w:instrText>PAGE   \* MERGEFORMAT</w:instrText>
    </w:r>
    <w:r w:rsidRPr="00A96C08">
      <w:fldChar w:fldCharType="separate"/>
    </w:r>
    <w:r w:rsidR="00C96E5A">
      <w:rPr>
        <w:noProof/>
      </w:rPr>
      <w:t>8</w:t>
    </w:r>
    <w:r w:rsidRPr="00A96C08">
      <w:fldChar w:fldCharType="end"/>
    </w:r>
    <w:r w:rsidRPr="00A96C08">
      <w:ptab w:relativeTo="margin" w:alignment="center" w:leader="none"/>
    </w:r>
    <w:r w:rsidRPr="00A96C08">
      <w:t xml:space="preserve"> Unit 5</w:t>
    </w:r>
    <w:r>
      <w:t>9</w:t>
    </w:r>
    <w:r w:rsidRPr="00A96C08">
      <w:t xml:space="preserve">: </w:t>
    </w:r>
    <w:r>
      <w:rPr>
        <w:rStyle w:val="hps"/>
      </w:rPr>
      <w:t>Practical session on data sources</w:t>
    </w:r>
    <w:r w:rsidRPr="00A96C08">
      <w:rPr>
        <w:rStyle w:val="PageNumber"/>
      </w:rPr>
      <w:tab/>
      <w:t>Facilitator’s notes</w:t>
    </w:r>
  </w:p>
  <w:p w:rsidR="00A96C08" w:rsidRPr="00A96C08" w:rsidRDefault="00A96C08" w:rsidP="00121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7D5"/>
    <w:multiLevelType w:val="hybridMultilevel"/>
    <w:tmpl w:val="FE7CA612"/>
    <w:lvl w:ilvl="0" w:tplc="37367112">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4471"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22914683"/>
    <w:multiLevelType w:val="hybridMultilevel"/>
    <w:tmpl w:val="867E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91C60"/>
    <w:multiLevelType w:val="hybridMultilevel"/>
    <w:tmpl w:val="6D2A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D0643"/>
    <w:multiLevelType w:val="hybridMultilevel"/>
    <w:tmpl w:val="E23EE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E67A6"/>
    <w:multiLevelType w:val="hybridMultilevel"/>
    <w:tmpl w:val="17CA2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761B0"/>
    <w:multiLevelType w:val="hybridMultilevel"/>
    <w:tmpl w:val="DDBC18E8"/>
    <w:lvl w:ilvl="0" w:tplc="D1122D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C545D"/>
    <w:multiLevelType w:val="hybridMultilevel"/>
    <w:tmpl w:val="6B5C2A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07BFE"/>
    <w:multiLevelType w:val="hybridMultilevel"/>
    <w:tmpl w:val="1D92E4DC"/>
    <w:lvl w:ilvl="0" w:tplc="AC50ED9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143A"/>
    <w:multiLevelType w:val="hybridMultilevel"/>
    <w:tmpl w:val="329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93634"/>
    <w:multiLevelType w:val="hybridMultilevel"/>
    <w:tmpl w:val="6D887894"/>
    <w:lvl w:ilvl="0" w:tplc="3A82D82E">
      <w:start w:val="1"/>
      <w:numFmt w:val="bullet"/>
      <w:lvlText w:val="•"/>
      <w:lvlJc w:val="left"/>
      <w:pPr>
        <w:tabs>
          <w:tab w:val="num" w:pos="720"/>
        </w:tabs>
        <w:ind w:left="720" w:hanging="360"/>
      </w:pPr>
      <w:rPr>
        <w:rFonts w:ascii="Arial" w:hAnsi="Arial" w:hint="default"/>
      </w:rPr>
    </w:lvl>
    <w:lvl w:ilvl="1" w:tplc="0E948EBE" w:tentative="1">
      <w:start w:val="1"/>
      <w:numFmt w:val="bullet"/>
      <w:lvlText w:val="•"/>
      <w:lvlJc w:val="left"/>
      <w:pPr>
        <w:tabs>
          <w:tab w:val="num" w:pos="1440"/>
        </w:tabs>
        <w:ind w:left="1440" w:hanging="360"/>
      </w:pPr>
      <w:rPr>
        <w:rFonts w:ascii="Arial" w:hAnsi="Arial" w:hint="default"/>
      </w:rPr>
    </w:lvl>
    <w:lvl w:ilvl="2" w:tplc="9F506748" w:tentative="1">
      <w:start w:val="1"/>
      <w:numFmt w:val="bullet"/>
      <w:lvlText w:val="•"/>
      <w:lvlJc w:val="left"/>
      <w:pPr>
        <w:tabs>
          <w:tab w:val="num" w:pos="2160"/>
        </w:tabs>
        <w:ind w:left="2160" w:hanging="360"/>
      </w:pPr>
      <w:rPr>
        <w:rFonts w:ascii="Arial" w:hAnsi="Arial" w:hint="default"/>
      </w:rPr>
    </w:lvl>
    <w:lvl w:ilvl="3" w:tplc="95B274B0" w:tentative="1">
      <w:start w:val="1"/>
      <w:numFmt w:val="bullet"/>
      <w:lvlText w:val="•"/>
      <w:lvlJc w:val="left"/>
      <w:pPr>
        <w:tabs>
          <w:tab w:val="num" w:pos="2880"/>
        </w:tabs>
        <w:ind w:left="2880" w:hanging="360"/>
      </w:pPr>
      <w:rPr>
        <w:rFonts w:ascii="Arial" w:hAnsi="Arial" w:hint="default"/>
      </w:rPr>
    </w:lvl>
    <w:lvl w:ilvl="4" w:tplc="E760E836" w:tentative="1">
      <w:start w:val="1"/>
      <w:numFmt w:val="bullet"/>
      <w:lvlText w:val="•"/>
      <w:lvlJc w:val="left"/>
      <w:pPr>
        <w:tabs>
          <w:tab w:val="num" w:pos="3600"/>
        </w:tabs>
        <w:ind w:left="3600" w:hanging="360"/>
      </w:pPr>
      <w:rPr>
        <w:rFonts w:ascii="Arial" w:hAnsi="Arial" w:hint="default"/>
      </w:rPr>
    </w:lvl>
    <w:lvl w:ilvl="5" w:tplc="F81290EA" w:tentative="1">
      <w:start w:val="1"/>
      <w:numFmt w:val="bullet"/>
      <w:lvlText w:val="•"/>
      <w:lvlJc w:val="left"/>
      <w:pPr>
        <w:tabs>
          <w:tab w:val="num" w:pos="4320"/>
        </w:tabs>
        <w:ind w:left="4320" w:hanging="360"/>
      </w:pPr>
      <w:rPr>
        <w:rFonts w:ascii="Arial" w:hAnsi="Arial" w:hint="default"/>
      </w:rPr>
    </w:lvl>
    <w:lvl w:ilvl="6" w:tplc="FBCC620A" w:tentative="1">
      <w:start w:val="1"/>
      <w:numFmt w:val="bullet"/>
      <w:lvlText w:val="•"/>
      <w:lvlJc w:val="left"/>
      <w:pPr>
        <w:tabs>
          <w:tab w:val="num" w:pos="5040"/>
        </w:tabs>
        <w:ind w:left="5040" w:hanging="360"/>
      </w:pPr>
      <w:rPr>
        <w:rFonts w:ascii="Arial" w:hAnsi="Arial" w:hint="default"/>
      </w:rPr>
    </w:lvl>
    <w:lvl w:ilvl="7" w:tplc="A2BCB802" w:tentative="1">
      <w:start w:val="1"/>
      <w:numFmt w:val="bullet"/>
      <w:lvlText w:val="•"/>
      <w:lvlJc w:val="left"/>
      <w:pPr>
        <w:tabs>
          <w:tab w:val="num" w:pos="5760"/>
        </w:tabs>
        <w:ind w:left="5760" w:hanging="360"/>
      </w:pPr>
      <w:rPr>
        <w:rFonts w:ascii="Arial" w:hAnsi="Arial" w:hint="default"/>
      </w:rPr>
    </w:lvl>
    <w:lvl w:ilvl="8" w:tplc="9CA4C6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C66BF"/>
    <w:multiLevelType w:val="multilevel"/>
    <w:tmpl w:val="222683FE"/>
    <w:lvl w:ilvl="0">
      <w:start w:val="1"/>
      <w:numFmt w:val="decimal"/>
      <w:lvlText w:val="%1."/>
      <w:lvlJc w:val="left"/>
      <w:pPr>
        <w:ind w:left="360" w:hanging="360"/>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05" w:hanging="1440"/>
      </w:pPr>
      <w:rPr>
        <w:rFonts w:hint="default"/>
      </w:rPr>
    </w:lvl>
    <w:lvl w:ilvl="8">
      <w:start w:val="1"/>
      <w:numFmt w:val="decimal"/>
      <w:isLgl/>
      <w:lvlText w:val="%1.%2.%3.%4.%5.%6.%7.%8.%9"/>
      <w:lvlJc w:val="left"/>
      <w:pPr>
        <w:ind w:left="6560" w:hanging="1800"/>
      </w:pPr>
      <w:rPr>
        <w:rFonts w:hint="default"/>
      </w:rPr>
    </w:lvl>
  </w:abstractNum>
  <w:abstractNum w:abstractNumId="15" w15:restartNumberingAfterBreak="0">
    <w:nsid w:val="5FFE4C02"/>
    <w:multiLevelType w:val="hybridMultilevel"/>
    <w:tmpl w:val="66F65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E74E0"/>
    <w:multiLevelType w:val="hybridMultilevel"/>
    <w:tmpl w:val="E9C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62776"/>
    <w:multiLevelType w:val="hybridMultilevel"/>
    <w:tmpl w:val="4B0E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8"/>
  </w:num>
  <w:num w:numId="6">
    <w:abstractNumId w:val="2"/>
  </w:num>
  <w:num w:numId="7">
    <w:abstractNumId w:val="15"/>
  </w:num>
  <w:num w:numId="8">
    <w:abstractNumId w:val="5"/>
  </w:num>
  <w:num w:numId="9">
    <w:abstractNumId w:val="4"/>
  </w:num>
  <w:num w:numId="10">
    <w:abstractNumId w:val="6"/>
  </w:num>
  <w:num w:numId="11">
    <w:abstractNumId w:val="9"/>
  </w:num>
  <w:num w:numId="12">
    <w:abstractNumId w:val="11"/>
  </w:num>
  <w:num w:numId="13">
    <w:abstractNumId w:val="14"/>
  </w:num>
  <w:num w:numId="14">
    <w:abstractNumId w:val="13"/>
  </w:num>
  <w:num w:numId="15">
    <w:abstractNumId w:val="12"/>
  </w:num>
  <w:num w:numId="16">
    <w:abstractNumId w:val="16"/>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AC"/>
    <w:rsid w:val="000072C8"/>
    <w:rsid w:val="0001706C"/>
    <w:rsid w:val="0003271E"/>
    <w:rsid w:val="00043FC0"/>
    <w:rsid w:val="00047513"/>
    <w:rsid w:val="00051C4D"/>
    <w:rsid w:val="00081071"/>
    <w:rsid w:val="0008373A"/>
    <w:rsid w:val="000840FF"/>
    <w:rsid w:val="000860B2"/>
    <w:rsid w:val="00087D77"/>
    <w:rsid w:val="000930A6"/>
    <w:rsid w:val="000A215F"/>
    <w:rsid w:val="000A723F"/>
    <w:rsid w:val="000B2A8D"/>
    <w:rsid w:val="000B67CD"/>
    <w:rsid w:val="000B7088"/>
    <w:rsid w:val="000B7B83"/>
    <w:rsid w:val="000E0668"/>
    <w:rsid w:val="000F45E4"/>
    <w:rsid w:val="00104ED3"/>
    <w:rsid w:val="00107F0A"/>
    <w:rsid w:val="001147F9"/>
    <w:rsid w:val="001215A0"/>
    <w:rsid w:val="00127740"/>
    <w:rsid w:val="0012789D"/>
    <w:rsid w:val="00127F35"/>
    <w:rsid w:val="00134DFE"/>
    <w:rsid w:val="001435F8"/>
    <w:rsid w:val="00146B40"/>
    <w:rsid w:val="00152E23"/>
    <w:rsid w:val="00160013"/>
    <w:rsid w:val="00183722"/>
    <w:rsid w:val="00185E6F"/>
    <w:rsid w:val="00194349"/>
    <w:rsid w:val="001A15B8"/>
    <w:rsid w:val="001A1E4B"/>
    <w:rsid w:val="001A5E58"/>
    <w:rsid w:val="001B5623"/>
    <w:rsid w:val="001B5F3B"/>
    <w:rsid w:val="001E351B"/>
    <w:rsid w:val="001E3D69"/>
    <w:rsid w:val="001E5927"/>
    <w:rsid w:val="002031FC"/>
    <w:rsid w:val="00206AF2"/>
    <w:rsid w:val="002252FE"/>
    <w:rsid w:val="00227165"/>
    <w:rsid w:val="00241313"/>
    <w:rsid w:val="00245CFB"/>
    <w:rsid w:val="002504A6"/>
    <w:rsid w:val="00256425"/>
    <w:rsid w:val="002618F4"/>
    <w:rsid w:val="00283924"/>
    <w:rsid w:val="002A04FB"/>
    <w:rsid w:val="002A07F3"/>
    <w:rsid w:val="002A103F"/>
    <w:rsid w:val="002A5389"/>
    <w:rsid w:val="002A77B6"/>
    <w:rsid w:val="002B6BBF"/>
    <w:rsid w:val="002C0ADF"/>
    <w:rsid w:val="002C122D"/>
    <w:rsid w:val="002D14A4"/>
    <w:rsid w:val="002D2D62"/>
    <w:rsid w:val="002E42BB"/>
    <w:rsid w:val="002E7917"/>
    <w:rsid w:val="002F1C4E"/>
    <w:rsid w:val="003047E2"/>
    <w:rsid w:val="0033183C"/>
    <w:rsid w:val="003532F0"/>
    <w:rsid w:val="0036625D"/>
    <w:rsid w:val="003704C3"/>
    <w:rsid w:val="00372469"/>
    <w:rsid w:val="00391FD9"/>
    <w:rsid w:val="0039516E"/>
    <w:rsid w:val="003B4774"/>
    <w:rsid w:val="003B661E"/>
    <w:rsid w:val="003F02F1"/>
    <w:rsid w:val="003F08A9"/>
    <w:rsid w:val="003F509B"/>
    <w:rsid w:val="003F7B6C"/>
    <w:rsid w:val="004001BB"/>
    <w:rsid w:val="00400FDA"/>
    <w:rsid w:val="004031A1"/>
    <w:rsid w:val="004133CB"/>
    <w:rsid w:val="00417E4D"/>
    <w:rsid w:val="00423B64"/>
    <w:rsid w:val="004250A8"/>
    <w:rsid w:val="004273CA"/>
    <w:rsid w:val="0046057C"/>
    <w:rsid w:val="00461C59"/>
    <w:rsid w:val="004655FC"/>
    <w:rsid w:val="00492B98"/>
    <w:rsid w:val="004930F8"/>
    <w:rsid w:val="00494C6B"/>
    <w:rsid w:val="004954A4"/>
    <w:rsid w:val="004B0672"/>
    <w:rsid w:val="004C65FB"/>
    <w:rsid w:val="004D4EEA"/>
    <w:rsid w:val="004E0EB9"/>
    <w:rsid w:val="004F1F33"/>
    <w:rsid w:val="004F462F"/>
    <w:rsid w:val="00502249"/>
    <w:rsid w:val="00505CEA"/>
    <w:rsid w:val="005124E0"/>
    <w:rsid w:val="00513089"/>
    <w:rsid w:val="00547D64"/>
    <w:rsid w:val="005719BE"/>
    <w:rsid w:val="00575551"/>
    <w:rsid w:val="005762AC"/>
    <w:rsid w:val="00576FB8"/>
    <w:rsid w:val="0057751C"/>
    <w:rsid w:val="00580E1E"/>
    <w:rsid w:val="0059227F"/>
    <w:rsid w:val="00594495"/>
    <w:rsid w:val="005A199E"/>
    <w:rsid w:val="005A7C7F"/>
    <w:rsid w:val="005B61F0"/>
    <w:rsid w:val="005B6BA4"/>
    <w:rsid w:val="005B733D"/>
    <w:rsid w:val="005C4F6D"/>
    <w:rsid w:val="005F12C4"/>
    <w:rsid w:val="005F23D3"/>
    <w:rsid w:val="00602BB3"/>
    <w:rsid w:val="00643DC9"/>
    <w:rsid w:val="0064419C"/>
    <w:rsid w:val="006451BB"/>
    <w:rsid w:val="0064567E"/>
    <w:rsid w:val="00665ACC"/>
    <w:rsid w:val="006835CA"/>
    <w:rsid w:val="006C20C7"/>
    <w:rsid w:val="006D06D8"/>
    <w:rsid w:val="006E4403"/>
    <w:rsid w:val="006F2F1C"/>
    <w:rsid w:val="006F587C"/>
    <w:rsid w:val="00700715"/>
    <w:rsid w:val="0072229E"/>
    <w:rsid w:val="0072369C"/>
    <w:rsid w:val="00727024"/>
    <w:rsid w:val="0072784E"/>
    <w:rsid w:val="00733526"/>
    <w:rsid w:val="00735332"/>
    <w:rsid w:val="007422E4"/>
    <w:rsid w:val="007509EF"/>
    <w:rsid w:val="00757356"/>
    <w:rsid w:val="007624C8"/>
    <w:rsid w:val="00766A7E"/>
    <w:rsid w:val="0078512D"/>
    <w:rsid w:val="007861FC"/>
    <w:rsid w:val="007C567A"/>
    <w:rsid w:val="007D0F06"/>
    <w:rsid w:val="007D30B3"/>
    <w:rsid w:val="00810AC0"/>
    <w:rsid w:val="008122AB"/>
    <w:rsid w:val="00834020"/>
    <w:rsid w:val="008364EC"/>
    <w:rsid w:val="00847F4D"/>
    <w:rsid w:val="00850676"/>
    <w:rsid w:val="008562E2"/>
    <w:rsid w:val="008605D1"/>
    <w:rsid w:val="008619C2"/>
    <w:rsid w:val="00863ADB"/>
    <w:rsid w:val="00877321"/>
    <w:rsid w:val="00887712"/>
    <w:rsid w:val="00887C21"/>
    <w:rsid w:val="0089238D"/>
    <w:rsid w:val="008A1C03"/>
    <w:rsid w:val="008B2E6C"/>
    <w:rsid w:val="008B3DC3"/>
    <w:rsid w:val="008C074E"/>
    <w:rsid w:val="008D6656"/>
    <w:rsid w:val="008D7499"/>
    <w:rsid w:val="008E3A93"/>
    <w:rsid w:val="00905C3B"/>
    <w:rsid w:val="00920DFC"/>
    <w:rsid w:val="009253C2"/>
    <w:rsid w:val="0092764C"/>
    <w:rsid w:val="00927B54"/>
    <w:rsid w:val="0094140C"/>
    <w:rsid w:val="009503D9"/>
    <w:rsid w:val="0095413F"/>
    <w:rsid w:val="00961757"/>
    <w:rsid w:val="00965895"/>
    <w:rsid w:val="00966A9A"/>
    <w:rsid w:val="009874A2"/>
    <w:rsid w:val="00994219"/>
    <w:rsid w:val="00995146"/>
    <w:rsid w:val="00996CED"/>
    <w:rsid w:val="009D47C4"/>
    <w:rsid w:val="009D63D7"/>
    <w:rsid w:val="00A61CFC"/>
    <w:rsid w:val="00A63E49"/>
    <w:rsid w:val="00A71179"/>
    <w:rsid w:val="00A74F88"/>
    <w:rsid w:val="00A80FD0"/>
    <w:rsid w:val="00A81814"/>
    <w:rsid w:val="00A84714"/>
    <w:rsid w:val="00A96C08"/>
    <w:rsid w:val="00A96F86"/>
    <w:rsid w:val="00AA13BB"/>
    <w:rsid w:val="00AA5D60"/>
    <w:rsid w:val="00AB3FC9"/>
    <w:rsid w:val="00AB6A90"/>
    <w:rsid w:val="00AB7249"/>
    <w:rsid w:val="00AC1311"/>
    <w:rsid w:val="00AD5651"/>
    <w:rsid w:val="00AD5AF9"/>
    <w:rsid w:val="00AD6060"/>
    <w:rsid w:val="00AD7786"/>
    <w:rsid w:val="00AE1E99"/>
    <w:rsid w:val="00AE289D"/>
    <w:rsid w:val="00AF1578"/>
    <w:rsid w:val="00AF5BF4"/>
    <w:rsid w:val="00B10F9D"/>
    <w:rsid w:val="00B24A07"/>
    <w:rsid w:val="00B30F80"/>
    <w:rsid w:val="00B35AE0"/>
    <w:rsid w:val="00B37D18"/>
    <w:rsid w:val="00B40E7A"/>
    <w:rsid w:val="00B44550"/>
    <w:rsid w:val="00B458F0"/>
    <w:rsid w:val="00B53E3C"/>
    <w:rsid w:val="00B56E26"/>
    <w:rsid w:val="00B56F94"/>
    <w:rsid w:val="00B60F60"/>
    <w:rsid w:val="00B61C2D"/>
    <w:rsid w:val="00B67B72"/>
    <w:rsid w:val="00B75753"/>
    <w:rsid w:val="00B822BF"/>
    <w:rsid w:val="00B93D58"/>
    <w:rsid w:val="00BB14D2"/>
    <w:rsid w:val="00BB287A"/>
    <w:rsid w:val="00BB53FE"/>
    <w:rsid w:val="00BC1EC3"/>
    <w:rsid w:val="00BC3752"/>
    <w:rsid w:val="00BC44D4"/>
    <w:rsid w:val="00BC743A"/>
    <w:rsid w:val="00BD33A0"/>
    <w:rsid w:val="00BD5DB1"/>
    <w:rsid w:val="00BE509B"/>
    <w:rsid w:val="00BE55F4"/>
    <w:rsid w:val="00BE5E90"/>
    <w:rsid w:val="00BF19BF"/>
    <w:rsid w:val="00C05AE5"/>
    <w:rsid w:val="00C139D8"/>
    <w:rsid w:val="00C2625A"/>
    <w:rsid w:val="00C42915"/>
    <w:rsid w:val="00C45854"/>
    <w:rsid w:val="00C543B4"/>
    <w:rsid w:val="00C65DED"/>
    <w:rsid w:val="00C83931"/>
    <w:rsid w:val="00C87648"/>
    <w:rsid w:val="00C90BDA"/>
    <w:rsid w:val="00C91D96"/>
    <w:rsid w:val="00C96E5A"/>
    <w:rsid w:val="00CB0AE6"/>
    <w:rsid w:val="00CB5755"/>
    <w:rsid w:val="00CC4BD6"/>
    <w:rsid w:val="00CE66DE"/>
    <w:rsid w:val="00CF3334"/>
    <w:rsid w:val="00D01182"/>
    <w:rsid w:val="00D079BC"/>
    <w:rsid w:val="00D12E6C"/>
    <w:rsid w:val="00D34EE6"/>
    <w:rsid w:val="00D37272"/>
    <w:rsid w:val="00D44C15"/>
    <w:rsid w:val="00D56161"/>
    <w:rsid w:val="00D605C1"/>
    <w:rsid w:val="00D73DC9"/>
    <w:rsid w:val="00D74166"/>
    <w:rsid w:val="00D80DF2"/>
    <w:rsid w:val="00D863BF"/>
    <w:rsid w:val="00D92FD7"/>
    <w:rsid w:val="00DB21EC"/>
    <w:rsid w:val="00DB25F3"/>
    <w:rsid w:val="00DB7026"/>
    <w:rsid w:val="00DD1172"/>
    <w:rsid w:val="00DF7D1E"/>
    <w:rsid w:val="00E00B45"/>
    <w:rsid w:val="00E04BFB"/>
    <w:rsid w:val="00E059FE"/>
    <w:rsid w:val="00E162F4"/>
    <w:rsid w:val="00E1746E"/>
    <w:rsid w:val="00E20187"/>
    <w:rsid w:val="00E3413B"/>
    <w:rsid w:val="00E40FDE"/>
    <w:rsid w:val="00E42FA9"/>
    <w:rsid w:val="00E44DDB"/>
    <w:rsid w:val="00E52E98"/>
    <w:rsid w:val="00E578F9"/>
    <w:rsid w:val="00E80FC2"/>
    <w:rsid w:val="00E9312F"/>
    <w:rsid w:val="00EA113A"/>
    <w:rsid w:val="00EA15AF"/>
    <w:rsid w:val="00EA2F00"/>
    <w:rsid w:val="00EA73C9"/>
    <w:rsid w:val="00EC5F14"/>
    <w:rsid w:val="00ED2EAC"/>
    <w:rsid w:val="00EF195E"/>
    <w:rsid w:val="00F0418C"/>
    <w:rsid w:val="00F2045C"/>
    <w:rsid w:val="00F224E1"/>
    <w:rsid w:val="00F3775A"/>
    <w:rsid w:val="00F40ACA"/>
    <w:rsid w:val="00F45499"/>
    <w:rsid w:val="00F50840"/>
    <w:rsid w:val="00F53357"/>
    <w:rsid w:val="00F559FB"/>
    <w:rsid w:val="00F55AEF"/>
    <w:rsid w:val="00F61FBB"/>
    <w:rsid w:val="00F62CD5"/>
    <w:rsid w:val="00F779C1"/>
    <w:rsid w:val="00F81A6A"/>
    <w:rsid w:val="00F93A18"/>
    <w:rsid w:val="00FA7FBA"/>
    <w:rsid w:val="00FC10E4"/>
    <w:rsid w:val="00FC3F91"/>
    <w:rsid w:val="00FC56D9"/>
    <w:rsid w:val="00FF34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BECF"/>
  <w15:docId w15:val="{A78B7BB8-E6B0-4FED-B786-A3AB1B6B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A0"/>
    <w:pPr>
      <w:jc w:val="both"/>
    </w:pPr>
    <w:rPr>
      <w:lang w:val="en-US"/>
    </w:rPr>
  </w:style>
  <w:style w:type="paragraph" w:styleId="Heading1">
    <w:name w:val="heading 1"/>
    <w:basedOn w:val="Normal"/>
    <w:next w:val="Normal"/>
    <w:link w:val="Heading1Char"/>
    <w:uiPriority w:val="9"/>
    <w:qFormat/>
    <w:rsid w:val="00ED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aliases w:val="Heading1"/>
    <w:basedOn w:val="Normal"/>
    <w:next w:val="Normal"/>
    <w:link w:val="Heading4Char"/>
    <w:unhideWhenUsed/>
    <w:qFormat/>
    <w:rsid w:val="00ED2E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ED2EAC"/>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ED2EAC"/>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ED2EAC"/>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ED2EAC"/>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ED2EAC"/>
    <w:pPr>
      <w:spacing w:after="0"/>
    </w:pPr>
    <w:rPr>
      <w:sz w:val="48"/>
      <w:szCs w:val="48"/>
    </w:rPr>
  </w:style>
  <w:style w:type="character" w:customStyle="1" w:styleId="UPlanCar">
    <w:name w:val="UPlan Car"/>
    <w:basedOn w:val="TitcoulCar"/>
    <w:link w:val="UPlan"/>
    <w:rsid w:val="00ED2EAC"/>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ED2EAC"/>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pPr>
    <w:rPr>
      <w:rFonts w:ascii="Arial" w:eastAsia="SimSun" w:hAnsi="Arial" w:cs="Arial"/>
      <w:i/>
      <w:sz w:val="20"/>
      <w:szCs w:val="24"/>
      <w:lang w:val="fr-FR" w:eastAsia="zh-CN"/>
    </w:rPr>
  </w:style>
  <w:style w:type="character" w:customStyle="1" w:styleId="UTxtCar">
    <w:name w:val="UTxt Car"/>
    <w:basedOn w:val="DefaultParagraphFont"/>
    <w:link w:val="UTxt"/>
    <w:rsid w:val="00ED2EAC"/>
    <w:rPr>
      <w:rFonts w:ascii="Arial" w:eastAsia="SimSun" w:hAnsi="Arial" w:cs="Arial"/>
      <w:i/>
      <w:sz w:val="20"/>
      <w:szCs w:val="24"/>
      <w:lang w:val="fr-FR" w:eastAsia="zh-CN"/>
    </w:rPr>
  </w:style>
  <w:style w:type="paragraph" w:styleId="CommentText">
    <w:name w:val="annotation text"/>
    <w:basedOn w:val="Normal"/>
    <w:link w:val="CommentTextChar"/>
    <w:uiPriority w:val="99"/>
    <w:unhideWhenUsed/>
    <w:rsid w:val="00ED2EA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ED2EAC"/>
    <w:rPr>
      <w:rFonts w:ascii="Calibri" w:eastAsia="MS Mincho" w:hAnsi="Calibri" w:cs="Times New Roman"/>
      <w:sz w:val="24"/>
      <w:szCs w:val="24"/>
    </w:rPr>
  </w:style>
  <w:style w:type="character" w:customStyle="1" w:styleId="hps">
    <w:name w:val="hps"/>
    <w:rsid w:val="00ED2EAC"/>
  </w:style>
  <w:style w:type="character" w:customStyle="1" w:styleId="st1">
    <w:name w:val="st1"/>
    <w:basedOn w:val="DefaultParagraphFont"/>
    <w:rsid w:val="00ED2EAC"/>
  </w:style>
  <w:style w:type="paragraph" w:customStyle="1" w:styleId="UTit4">
    <w:name w:val="UTit4"/>
    <w:basedOn w:val="Heading4"/>
    <w:link w:val="UTit4Car"/>
    <w:rsid w:val="00ED2EAC"/>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ED2EAC"/>
    <w:rPr>
      <w:rFonts w:ascii="Arial" w:eastAsia="SimSun" w:hAnsi="Arial" w:cs="Times New Roman"/>
      <w:b/>
      <w:bCs/>
      <w:i/>
      <w:iCs/>
      <w:caps/>
      <w:color w:val="4F81BD" w:themeColor="accent1"/>
      <w:sz w:val="20"/>
      <w:szCs w:val="24"/>
      <w:lang w:val="it-IT"/>
    </w:rPr>
  </w:style>
  <w:style w:type="paragraph" w:customStyle="1" w:styleId="Upuce">
    <w:name w:val="Upuce"/>
    <w:basedOn w:val="UTxt"/>
    <w:rsid w:val="00ED2EAC"/>
    <w:pPr>
      <w:widowControl w:val="0"/>
      <w:numPr>
        <w:numId w:val="1"/>
      </w:numPr>
      <w:tabs>
        <w:tab w:val="num" w:pos="360"/>
      </w:tabs>
      <w:ind w:left="470" w:hanging="357"/>
    </w:pPr>
    <w:rPr>
      <w:i w:val="0"/>
    </w:rPr>
  </w:style>
  <w:style w:type="character" w:styleId="CommentReference">
    <w:name w:val="annotation reference"/>
    <w:basedOn w:val="DefaultParagraphFont"/>
    <w:uiPriority w:val="99"/>
    <w:semiHidden/>
    <w:unhideWhenUsed/>
    <w:rsid w:val="00ED2EAC"/>
    <w:rPr>
      <w:sz w:val="16"/>
      <w:szCs w:val="16"/>
    </w:rPr>
  </w:style>
  <w:style w:type="character" w:customStyle="1" w:styleId="Heading1Char">
    <w:name w:val="Heading 1 Char"/>
    <w:basedOn w:val="DefaultParagraphFont"/>
    <w:link w:val="Heading1"/>
    <w:uiPriority w:val="9"/>
    <w:rsid w:val="00ED2E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aliases w:val="Heading1 Char"/>
    <w:basedOn w:val="DefaultParagraphFont"/>
    <w:link w:val="Heading4"/>
    <w:rsid w:val="00ED2EA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D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C"/>
    <w:rPr>
      <w:rFonts w:ascii="Tahoma" w:hAnsi="Tahoma" w:cs="Tahoma"/>
      <w:sz w:val="16"/>
      <w:szCs w:val="16"/>
    </w:rPr>
  </w:style>
  <w:style w:type="table" w:styleId="TableGrid">
    <w:name w:val="Table Grid"/>
    <w:basedOn w:val="TableNormal"/>
    <w:uiPriority w:val="59"/>
    <w:rsid w:val="00887C21"/>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C21"/>
    <w:pPr>
      <w:spacing w:after="0" w:line="240" w:lineRule="auto"/>
      <w:ind w:left="720"/>
      <w:contextualSpacing/>
    </w:pPr>
    <w:rPr>
      <w:rFonts w:ascii="Calibri" w:eastAsiaTheme="minorEastAsia" w:hAnsi="Calibri" w:cs="Times New Roman"/>
      <w:lang w:val="fr-FR" w:eastAsia="ja-JP"/>
    </w:rPr>
  </w:style>
  <w:style w:type="character" w:styleId="Hyperlink">
    <w:name w:val="Hyperlink"/>
    <w:basedOn w:val="DefaultParagraphFont"/>
    <w:uiPriority w:val="99"/>
    <w:unhideWhenUsed/>
    <w:rsid w:val="005C4F6D"/>
    <w:rPr>
      <w:color w:val="0000FF"/>
      <w:u w:val="single"/>
    </w:rPr>
  </w:style>
  <w:style w:type="paragraph" w:customStyle="1" w:styleId="Lessonplan">
    <w:name w:val="Lesson plan"/>
    <w:basedOn w:val="UTxt"/>
    <w:qFormat/>
    <w:rsid w:val="001E5927"/>
    <w:pPr>
      <w:spacing w:line="276" w:lineRule="auto"/>
    </w:pPr>
    <w:rPr>
      <w:i w:val="0"/>
      <w:szCs w:val="20"/>
      <w:lang w:val="en-GB"/>
    </w:rPr>
  </w:style>
  <w:style w:type="paragraph" w:styleId="FootnoteText">
    <w:name w:val="footnote text"/>
    <w:basedOn w:val="Normal"/>
    <w:link w:val="FootnoteTextChar"/>
    <w:uiPriority w:val="99"/>
    <w:unhideWhenUsed/>
    <w:rsid w:val="005C4F6D"/>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rsid w:val="005C4F6D"/>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unhideWhenUsed/>
    <w:rsid w:val="005C4F6D"/>
    <w:rPr>
      <w:vertAlign w:val="superscript"/>
    </w:rPr>
  </w:style>
  <w:style w:type="paragraph" w:customStyle="1" w:styleId="COMTitleDecision">
    <w:name w:val="COM Title Decision"/>
    <w:basedOn w:val="Normal"/>
    <w:qFormat/>
    <w:rsid w:val="005C4F6D"/>
    <w:pPr>
      <w:keepNext/>
      <w:spacing w:before="360" w:after="120" w:line="240" w:lineRule="auto"/>
    </w:pPr>
    <w:rPr>
      <w:rFonts w:ascii="Arial" w:eastAsia="Times New Roman" w:hAnsi="Arial" w:cs="Arial"/>
      <w:b/>
      <w:lang w:eastAsia="fr-FR"/>
    </w:rPr>
  </w:style>
  <w:style w:type="paragraph" w:customStyle="1" w:styleId="Maintext">
    <w:name w:val="Main text"/>
    <w:basedOn w:val="Normal"/>
    <w:qFormat/>
    <w:rsid w:val="00A96C08"/>
    <w:pPr>
      <w:spacing w:before="240"/>
    </w:pPr>
    <w:rPr>
      <w:rFonts w:ascii="Arial" w:eastAsia="SimSun" w:hAnsi="Arial" w:cs="Arial"/>
      <w:sz w:val="20"/>
      <w:szCs w:val="24"/>
    </w:rPr>
  </w:style>
  <w:style w:type="paragraph" w:customStyle="1" w:styleId="Default">
    <w:name w:val="Default"/>
    <w:link w:val="DefaultChar"/>
    <w:rsid w:val="00EA2F00"/>
    <w:pPr>
      <w:autoSpaceDE w:val="0"/>
      <w:autoSpaceDN w:val="0"/>
      <w:adjustRightInd w:val="0"/>
      <w:spacing w:after="0" w:line="240" w:lineRule="auto"/>
    </w:pPr>
    <w:rPr>
      <w:rFonts w:ascii="Calibri" w:eastAsiaTheme="minorEastAsia" w:hAnsi="Calibri" w:cs="Calibri"/>
      <w:color w:val="000000"/>
      <w:sz w:val="24"/>
      <w:szCs w:val="24"/>
      <w:lang w:val="fr-FR" w:eastAsia="zh-CN"/>
    </w:rPr>
  </w:style>
  <w:style w:type="paragraph" w:customStyle="1" w:styleId="Sansinterligne1">
    <w:name w:val="Sans interligne1"/>
    <w:uiPriority w:val="1"/>
    <w:rsid w:val="00EA2F00"/>
    <w:pPr>
      <w:spacing w:after="0" w:line="240" w:lineRule="auto"/>
    </w:pPr>
    <w:rPr>
      <w:rFonts w:ascii="Times New Roman" w:eastAsia="Times New Roman" w:hAnsi="Times New Roman" w:cs="Times New Roman"/>
      <w:sz w:val="24"/>
      <w:szCs w:val="24"/>
      <w:lang w:val="fr-FR" w:eastAsia="fr-FR"/>
    </w:rPr>
  </w:style>
  <w:style w:type="paragraph" w:customStyle="1" w:styleId="Footnote">
    <w:name w:val="Footnote"/>
    <w:basedOn w:val="EndnoteText"/>
    <w:link w:val="FootnoteChar"/>
    <w:qFormat/>
    <w:rsid w:val="00B67B72"/>
    <w:pPr>
      <w:ind w:left="709" w:hanging="709"/>
    </w:pPr>
    <w:rPr>
      <w:rFonts w:ascii="Arial" w:eastAsia="Times New Roman" w:hAnsi="Arial" w:cs="Arial"/>
      <w:lang w:val="fr-FR" w:eastAsia="fr-FR"/>
    </w:rPr>
  </w:style>
  <w:style w:type="character" w:customStyle="1" w:styleId="FootnoteChar">
    <w:name w:val="Footnote Char"/>
    <w:basedOn w:val="EndnoteTextChar"/>
    <w:link w:val="Footnote"/>
    <w:rsid w:val="00B67B72"/>
    <w:rPr>
      <w:rFonts w:ascii="Arial" w:eastAsia="Times New Roman" w:hAnsi="Arial" w:cs="Arial"/>
      <w:sz w:val="20"/>
      <w:szCs w:val="20"/>
      <w:lang w:val="fr-FR" w:eastAsia="fr-FR"/>
    </w:rPr>
  </w:style>
  <w:style w:type="character" w:styleId="Strong">
    <w:name w:val="Strong"/>
    <w:basedOn w:val="DefaultParagraphFont"/>
    <w:uiPriority w:val="22"/>
    <w:qFormat/>
    <w:rsid w:val="00B67B72"/>
    <w:rPr>
      <w:b/>
      <w:bCs/>
    </w:rPr>
  </w:style>
  <w:style w:type="paragraph" w:styleId="EndnoteText">
    <w:name w:val="endnote text"/>
    <w:basedOn w:val="Normal"/>
    <w:link w:val="EndnoteTextChar"/>
    <w:uiPriority w:val="99"/>
    <w:semiHidden/>
    <w:unhideWhenUsed/>
    <w:rsid w:val="00B67B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7B72"/>
    <w:rPr>
      <w:sz w:val="20"/>
      <w:szCs w:val="20"/>
    </w:rPr>
  </w:style>
  <w:style w:type="paragraph" w:customStyle="1" w:styleId="num01">
    <w:name w:val="Énum01"/>
    <w:basedOn w:val="Normal"/>
    <w:rsid w:val="00194349"/>
    <w:pPr>
      <w:tabs>
        <w:tab w:val="left" w:pos="397"/>
      </w:tabs>
      <w:spacing w:after="120" w:line="260" w:lineRule="exact"/>
    </w:pPr>
    <w:rPr>
      <w:rFonts w:ascii="Arial" w:eastAsia="Times New Roman" w:hAnsi="Arial" w:cs="Times New Roman"/>
      <w:szCs w:val="24"/>
      <w:lang w:eastAsia="fr-FR"/>
    </w:rPr>
  </w:style>
  <w:style w:type="character" w:customStyle="1" w:styleId="DefaultChar">
    <w:name w:val="Default Char"/>
    <w:basedOn w:val="DefaultParagraphFont"/>
    <w:link w:val="Default"/>
    <w:rsid w:val="002B6BBF"/>
    <w:rPr>
      <w:rFonts w:ascii="Calibri" w:eastAsiaTheme="minorEastAsia" w:hAnsi="Calibri" w:cs="Calibri"/>
      <w:color w:val="000000"/>
      <w:sz w:val="24"/>
      <w:szCs w:val="24"/>
      <w:lang w:val="fr-FR" w:eastAsia="zh-CN"/>
    </w:rPr>
  </w:style>
  <w:style w:type="paragraph" w:styleId="Header">
    <w:name w:val="header"/>
    <w:basedOn w:val="Normal"/>
    <w:link w:val="HeaderChar"/>
    <w:uiPriority w:val="99"/>
    <w:unhideWhenUsed/>
    <w:rsid w:val="00A96C08"/>
    <w:pPr>
      <w:tabs>
        <w:tab w:val="center" w:pos="4536"/>
        <w:tab w:val="right" w:pos="9072"/>
      </w:tabs>
      <w:spacing w:after="0" w:line="240" w:lineRule="auto"/>
    </w:pPr>
    <w:rPr>
      <w:rFonts w:ascii="Arial" w:eastAsia="Times New Roman" w:hAnsi="Arial" w:cs="Arial"/>
      <w:sz w:val="16"/>
      <w:szCs w:val="16"/>
      <w:lang w:eastAsia="fr-FR"/>
    </w:rPr>
  </w:style>
  <w:style w:type="character" w:customStyle="1" w:styleId="HeaderChar">
    <w:name w:val="Header Char"/>
    <w:basedOn w:val="DefaultParagraphFont"/>
    <w:link w:val="Header"/>
    <w:uiPriority w:val="99"/>
    <w:rsid w:val="00A96C08"/>
    <w:rPr>
      <w:rFonts w:ascii="Arial" w:eastAsia="Times New Roman" w:hAnsi="Arial" w:cs="Arial"/>
      <w:sz w:val="16"/>
      <w:szCs w:val="16"/>
      <w:lang w:eastAsia="fr-FR"/>
    </w:rPr>
  </w:style>
  <w:style w:type="paragraph" w:styleId="Footer">
    <w:name w:val="footer"/>
    <w:basedOn w:val="Normal"/>
    <w:link w:val="FooterChar"/>
    <w:unhideWhenUsed/>
    <w:rsid w:val="0064419C"/>
    <w:pPr>
      <w:tabs>
        <w:tab w:val="center" w:pos="4536"/>
        <w:tab w:val="right" w:pos="9072"/>
      </w:tabs>
      <w:spacing w:after="0" w:line="240" w:lineRule="auto"/>
    </w:pPr>
    <w:rPr>
      <w:rFonts w:ascii="Times New Roman" w:eastAsia="Times New Roman" w:hAnsi="Times New Roman" w:cs="Times New Roman"/>
      <w:szCs w:val="24"/>
      <w:lang w:eastAsia="fr-FR"/>
    </w:rPr>
  </w:style>
  <w:style w:type="character" w:customStyle="1" w:styleId="FooterChar">
    <w:name w:val="Footer Char"/>
    <w:basedOn w:val="DefaultParagraphFont"/>
    <w:link w:val="Footer"/>
    <w:rsid w:val="0064419C"/>
    <w:rPr>
      <w:rFonts w:ascii="Times New Roman" w:eastAsia="Times New Roman" w:hAnsi="Times New Roman" w:cs="Times New Roman"/>
      <w:szCs w:val="24"/>
      <w:lang w:eastAsia="fr-FR"/>
    </w:rPr>
  </w:style>
  <w:style w:type="character" w:styleId="HTMLCite">
    <w:name w:val="HTML Cite"/>
    <w:basedOn w:val="DefaultParagraphFont"/>
    <w:uiPriority w:val="99"/>
    <w:semiHidden/>
    <w:unhideWhenUsed/>
    <w:rsid w:val="001E3D69"/>
    <w:rPr>
      <w:i/>
      <w:iCs/>
    </w:rPr>
  </w:style>
  <w:style w:type="character" w:styleId="PageNumber">
    <w:name w:val="page number"/>
    <w:basedOn w:val="DefaultParagraphFont"/>
    <w:rsid w:val="00A96C08"/>
  </w:style>
  <w:style w:type="paragraph" w:customStyle="1" w:styleId="Slide">
    <w:name w:val="Slide"/>
    <w:basedOn w:val="Heading4"/>
    <w:qFormat/>
    <w:rsid w:val="002E42BB"/>
    <w:pPr>
      <w:spacing w:before="240" w:after="120" w:line="280" w:lineRule="exact"/>
    </w:pPr>
    <w:rPr>
      <w:rFonts w:ascii="Arial" w:eastAsia="SimSun" w:hAnsi="Arial" w:cs="Times New Roman"/>
      <w:i w:val="0"/>
      <w:iCs w:val="0"/>
      <w:caps/>
      <w:color w:val="008000"/>
      <w:sz w:val="24"/>
    </w:rPr>
  </w:style>
  <w:style w:type="paragraph" w:customStyle="1" w:styleId="HeadingSlide">
    <w:name w:val="Heading Slide"/>
    <w:basedOn w:val="Heading4"/>
    <w:qFormat/>
    <w:rsid w:val="002E42BB"/>
    <w:pPr>
      <w:spacing w:before="240" w:after="120" w:line="280" w:lineRule="exact"/>
    </w:pPr>
    <w:rPr>
      <w:rFonts w:ascii="Arial" w:eastAsia="SimSun" w:hAnsi="Arial" w:cs="Times New Roman"/>
      <w:i w:val="0"/>
      <w:iCs w:val="0"/>
      <w: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89584">
      <w:bodyDiv w:val="1"/>
      <w:marLeft w:val="0"/>
      <w:marRight w:val="0"/>
      <w:marTop w:val="0"/>
      <w:marBottom w:val="0"/>
      <w:divBdr>
        <w:top w:val="none" w:sz="0" w:space="0" w:color="auto"/>
        <w:left w:val="none" w:sz="0" w:space="0" w:color="auto"/>
        <w:bottom w:val="none" w:sz="0" w:space="0" w:color="auto"/>
        <w:right w:val="none" w:sz="0" w:space="0" w:color="auto"/>
      </w:divBdr>
      <w:divsChild>
        <w:div w:id="74014555">
          <w:marLeft w:val="547"/>
          <w:marRight w:val="0"/>
          <w:marTop w:val="86"/>
          <w:marBottom w:val="0"/>
          <w:divBdr>
            <w:top w:val="none" w:sz="0" w:space="0" w:color="auto"/>
            <w:left w:val="none" w:sz="0" w:space="0" w:color="auto"/>
            <w:bottom w:val="none" w:sz="0" w:space="0" w:color="auto"/>
            <w:right w:val="none" w:sz="0" w:space="0" w:color="auto"/>
          </w:divBdr>
        </w:div>
        <w:div w:id="681592053">
          <w:marLeft w:val="547"/>
          <w:marRight w:val="0"/>
          <w:marTop w:val="86"/>
          <w:marBottom w:val="0"/>
          <w:divBdr>
            <w:top w:val="none" w:sz="0" w:space="0" w:color="auto"/>
            <w:left w:val="none" w:sz="0" w:space="0" w:color="auto"/>
            <w:bottom w:val="none" w:sz="0" w:space="0" w:color="auto"/>
            <w:right w:val="none" w:sz="0" w:space="0" w:color="auto"/>
          </w:divBdr>
        </w:div>
        <w:div w:id="689139476">
          <w:marLeft w:val="547"/>
          <w:marRight w:val="0"/>
          <w:marTop w:val="86"/>
          <w:marBottom w:val="0"/>
          <w:divBdr>
            <w:top w:val="none" w:sz="0" w:space="0" w:color="auto"/>
            <w:left w:val="none" w:sz="0" w:space="0" w:color="auto"/>
            <w:bottom w:val="none" w:sz="0" w:space="0" w:color="auto"/>
            <w:right w:val="none" w:sz="0" w:space="0" w:color="auto"/>
          </w:divBdr>
        </w:div>
        <w:div w:id="791439755">
          <w:marLeft w:val="547"/>
          <w:marRight w:val="0"/>
          <w:marTop w:val="86"/>
          <w:marBottom w:val="0"/>
          <w:divBdr>
            <w:top w:val="none" w:sz="0" w:space="0" w:color="auto"/>
            <w:left w:val="none" w:sz="0" w:space="0" w:color="auto"/>
            <w:bottom w:val="none" w:sz="0" w:space="0" w:color="auto"/>
            <w:right w:val="none" w:sz="0" w:space="0" w:color="auto"/>
          </w:divBdr>
        </w:div>
        <w:div w:id="986469237">
          <w:marLeft w:val="547"/>
          <w:marRight w:val="0"/>
          <w:marTop w:val="86"/>
          <w:marBottom w:val="0"/>
          <w:divBdr>
            <w:top w:val="none" w:sz="0" w:space="0" w:color="auto"/>
            <w:left w:val="none" w:sz="0" w:space="0" w:color="auto"/>
            <w:bottom w:val="none" w:sz="0" w:space="0" w:color="auto"/>
            <w:right w:val="none" w:sz="0" w:space="0" w:color="auto"/>
          </w:divBdr>
        </w:div>
        <w:div w:id="995691502">
          <w:marLeft w:val="547"/>
          <w:marRight w:val="0"/>
          <w:marTop w:val="86"/>
          <w:marBottom w:val="0"/>
          <w:divBdr>
            <w:top w:val="none" w:sz="0" w:space="0" w:color="auto"/>
            <w:left w:val="none" w:sz="0" w:space="0" w:color="auto"/>
            <w:bottom w:val="none" w:sz="0" w:space="0" w:color="auto"/>
            <w:right w:val="none" w:sz="0" w:space="0" w:color="auto"/>
          </w:divBdr>
        </w:div>
        <w:div w:id="1411661569">
          <w:marLeft w:val="547"/>
          <w:marRight w:val="0"/>
          <w:marTop w:val="86"/>
          <w:marBottom w:val="0"/>
          <w:divBdr>
            <w:top w:val="none" w:sz="0" w:space="0" w:color="auto"/>
            <w:left w:val="none" w:sz="0" w:space="0" w:color="auto"/>
            <w:bottom w:val="none" w:sz="0" w:space="0" w:color="auto"/>
            <w:right w:val="none" w:sz="0" w:space="0" w:color="auto"/>
          </w:divBdr>
        </w:div>
        <w:div w:id="199879921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esco.org/culture/ich/en/Decisions/8.COM/5.c.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esco.org/open-access/terms-use-ccbysa-en"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en.unesco.org/creativity/sites/creativity/files/cdis_methodology_manual_0_0.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s.pdf"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4" Type="http://schemas.openxmlformats.org/officeDocument/2006/relationships/hyperlink" Target="http://unesdoc.unesco.org/images/0022/002230/22309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1C5AA-02E9-3A42-958D-D62C260B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 Blake</dc:creator>
  <cp:keywords/>
  <dc:description/>
  <cp:lastModifiedBy>Juliette Hopkins</cp:lastModifiedBy>
  <cp:revision>90</cp:revision>
  <dcterms:created xsi:type="dcterms:W3CDTF">2020-01-07T08:54:00Z</dcterms:created>
  <dcterms:modified xsi:type="dcterms:W3CDTF">2020-05-11T12:11:00Z</dcterms:modified>
</cp:coreProperties>
</file>