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46970" w14:textId="77777777" w:rsidR="004320EF" w:rsidRPr="00695DFE" w:rsidRDefault="004320EF" w:rsidP="00647F30">
      <w:pPr>
        <w:pStyle w:val="Chapitre"/>
        <w:spacing w:before="0" w:after="0" w:line="240" w:lineRule="auto"/>
        <w:rPr>
          <w:b w:val="0"/>
          <w:bCs w:val="0"/>
          <w:caps w:val="0"/>
        </w:rPr>
      </w:pPr>
      <w:r>
        <w:t xml:space="preserve">UNIDAD 59 </w:t>
      </w:r>
    </w:p>
    <w:p w14:paraId="71EDBEFB" w14:textId="77777777" w:rsidR="004320EF" w:rsidRPr="00D10FA4" w:rsidRDefault="004320EF" w:rsidP="00647F30">
      <w:pPr>
        <w:pStyle w:val="HO1"/>
      </w:pPr>
      <w:r>
        <w:t>Folleto 1</w:t>
      </w:r>
    </w:p>
    <w:p w14:paraId="48C4A675" w14:textId="77777777" w:rsidR="004320EF" w:rsidRPr="00D10FA4" w:rsidRDefault="004320EF" w:rsidP="00647F30">
      <w:pPr>
        <w:pStyle w:val="HO1"/>
        <w:spacing w:before="0" w:after="240"/>
        <w:rPr>
          <w:caps/>
        </w:rPr>
      </w:pPr>
      <w:r>
        <w:rPr>
          <w:caps/>
        </w:rPr>
        <w:t>conjunto de datos</w:t>
      </w:r>
    </w:p>
    <w:p w14:paraId="3B32B956" w14:textId="77777777" w:rsidR="004320EF" w:rsidRPr="00D10FA4" w:rsidRDefault="004320EF" w:rsidP="00647F30">
      <w:pPr>
        <w:jc w:val="both"/>
        <w:rPr>
          <w:rFonts w:ascii="Arial" w:hAnsi="Arial"/>
          <w:sz w:val="20"/>
          <w:szCs w:val="20"/>
        </w:rPr>
      </w:pPr>
      <w:r>
        <w:rPr>
          <w:rFonts w:ascii="Arial" w:hAnsi="Arial"/>
          <w:sz w:val="20"/>
        </w:rPr>
        <w:t xml:space="preserve">A </w:t>
      </w:r>
      <w:proofErr w:type="gramStart"/>
      <w:r>
        <w:rPr>
          <w:rFonts w:ascii="Arial" w:hAnsi="Arial"/>
          <w:sz w:val="20"/>
        </w:rPr>
        <w:t>continuación</w:t>
      </w:r>
      <w:proofErr w:type="gramEnd"/>
      <w:r>
        <w:rPr>
          <w:rFonts w:ascii="Arial" w:hAnsi="Arial"/>
          <w:sz w:val="20"/>
        </w:rPr>
        <w:t xml:space="preserve"> se presentan conjuntos de información ficticia en respuesta a los factores de evaluación seleccionados. Analice esta información e identifique qué elementos son pertinentes para el factor de evaluación y cuáles no lo son, así como toda aquella otra información que pueda haberse omitido.</w:t>
      </w:r>
    </w:p>
    <w:p w14:paraId="23FCE220" w14:textId="77777777" w:rsidR="004320EF" w:rsidRPr="00524AE9" w:rsidRDefault="004320EF" w:rsidP="00647F30">
      <w:pPr>
        <w:rPr>
          <w:rFonts w:ascii="Arial" w:hAnsi="Arial"/>
          <w:i/>
          <w:iCs/>
          <w:sz w:val="20"/>
          <w:szCs w:val="20"/>
        </w:rPr>
      </w:pPr>
      <w:r>
        <w:rPr>
          <w:rFonts w:ascii="Arial" w:hAnsi="Arial"/>
          <w:b/>
          <w:sz w:val="20"/>
        </w:rPr>
        <w:t>Área temática II: Transmisión y educación</w:t>
      </w:r>
    </w:p>
    <w:p w14:paraId="377B9CD9" w14:textId="77777777" w:rsidR="004320EF" w:rsidRPr="00524AE9" w:rsidRDefault="004320EF" w:rsidP="00647F30">
      <w:pPr>
        <w:spacing w:after="0" w:line="240" w:lineRule="auto"/>
        <w:ind w:left="720"/>
        <w:rPr>
          <w:rFonts w:ascii="Arial" w:hAnsi="Arial"/>
          <w:sz w:val="20"/>
          <w:szCs w:val="20"/>
        </w:rPr>
      </w:pPr>
      <w:r>
        <w:rPr>
          <w:rFonts w:ascii="Arial" w:hAnsi="Arial"/>
          <w:b/>
          <w:i/>
          <w:sz w:val="20"/>
        </w:rPr>
        <w:t>3.2 Los programas de formación que permitan el fortalecimiento de capacidades sobre el PCI destinado a aquellas personas que trabajen en el ámbito de la cultura y del patrimonio, sobre una base inclusiva</w:t>
      </w:r>
      <w:r>
        <w:rPr>
          <w:rFonts w:ascii="Arial" w:hAnsi="Arial"/>
          <w:sz w:val="20"/>
        </w:rPr>
        <w:t>.</w:t>
      </w:r>
    </w:p>
    <w:p w14:paraId="1C3D05A7" w14:textId="77777777" w:rsidR="004320EF" w:rsidRPr="00524AE9" w:rsidRDefault="004320EF" w:rsidP="00647F30">
      <w:pPr>
        <w:spacing w:after="0" w:line="240" w:lineRule="auto"/>
        <w:rPr>
          <w:rFonts w:ascii="Arial" w:hAnsi="Arial"/>
          <w:sz w:val="20"/>
          <w:szCs w:val="20"/>
        </w:rPr>
      </w:pPr>
    </w:p>
    <w:p w14:paraId="6C0EA2D2" w14:textId="77777777" w:rsidR="004320EF" w:rsidRPr="00524AE9" w:rsidRDefault="004320EF" w:rsidP="00647F30">
      <w:pPr>
        <w:jc w:val="both"/>
        <w:rPr>
          <w:rFonts w:ascii="Arial" w:hAnsi="Arial"/>
          <w:sz w:val="20"/>
          <w:szCs w:val="20"/>
        </w:rPr>
      </w:pPr>
      <w:r>
        <w:rPr>
          <w:rStyle w:val="lev"/>
          <w:rFonts w:ascii="Arial" w:hAnsi="Arial"/>
          <w:b w:val="0"/>
          <w:bCs/>
          <w:sz w:val="20"/>
        </w:rPr>
        <w:t>Algunos programas de educación y capacitación están pensados para desarrollar las destrezas de los depositarios del PCI</w:t>
      </w:r>
      <w:r>
        <w:rPr>
          <w:rFonts w:ascii="Arial" w:hAnsi="Arial"/>
          <w:sz w:val="20"/>
        </w:rPr>
        <w:t xml:space="preserve"> y su habilidad para transmitir sus conocimientos, </w:t>
      </w:r>
      <w:proofErr w:type="gramStart"/>
      <w:r>
        <w:rPr>
          <w:rFonts w:ascii="Arial" w:hAnsi="Arial"/>
          <w:sz w:val="20"/>
        </w:rPr>
        <w:t>como</w:t>
      </w:r>
      <w:proofErr w:type="gramEnd"/>
      <w:r>
        <w:rPr>
          <w:rFonts w:ascii="Arial" w:hAnsi="Arial"/>
          <w:sz w:val="20"/>
        </w:rPr>
        <w:t xml:space="preserve"> por ejemplo, el Programa de Documentación formulado para fortalecer las capacidades locales de investigación y documentación. Estudiantes de la Maestría en Antropología de la Universidad Nacional también se forman en métodos de campo para el trabajo etnográfico, lo que les permite documentar los elementos del PCI, al tiempo que los docentes también se han capacitado para emplear el PCI en el aula. Asimismo, se crearon las Casas de las Artesanías en cada región administrativa del país donde se imparte capacitación a los artesanos y se les brinda la oportunidad de practicar sus artesanías mientras transmiten sus conocimientos y destrezas a hombres más jóvenes y niños. La Academia del Patrimonio ofrece un programa de capacitación para los depositarios de la tradición en el arte nacional de confección de lazos y se organizan talleres sobre distintas artesanías en la ciudad principal de la región norte con el fin de mejorar las destrezas de los jóvenes del sector. </w:t>
      </w:r>
    </w:p>
    <w:p w14:paraId="08893340" w14:textId="77777777" w:rsidR="004320EF" w:rsidRPr="00524AE9" w:rsidRDefault="004320EF" w:rsidP="00647F30">
      <w:pPr>
        <w:ind w:left="720"/>
        <w:rPr>
          <w:rFonts w:ascii="Arial" w:hAnsi="Arial"/>
          <w:sz w:val="20"/>
          <w:szCs w:val="20"/>
        </w:rPr>
      </w:pPr>
      <w:r>
        <w:rPr>
          <w:rFonts w:ascii="Arial" w:hAnsi="Arial"/>
          <w:b/>
          <w:i/>
          <w:sz w:val="20"/>
        </w:rPr>
        <w:t>4.3 Los programas educativos o actividades extracurriculares relacionadas con el PCI y con su transmisión, llevadas a cabo por las comunidades, los grupos, las ONG o instituciones encargadas del patrimonio existen y se promueven</w:t>
      </w:r>
      <w:r>
        <w:rPr>
          <w:rFonts w:ascii="Arial" w:hAnsi="Arial"/>
          <w:sz w:val="20"/>
        </w:rPr>
        <w:t>.</w:t>
      </w:r>
    </w:p>
    <w:p w14:paraId="127FD387" w14:textId="77777777" w:rsidR="004320EF" w:rsidRPr="00524AE9" w:rsidRDefault="004320EF" w:rsidP="00647F30">
      <w:pPr>
        <w:jc w:val="both"/>
        <w:rPr>
          <w:rFonts w:ascii="Arial" w:hAnsi="Arial"/>
          <w:sz w:val="20"/>
          <w:szCs w:val="20"/>
        </w:rPr>
      </w:pPr>
      <w:r>
        <w:rPr>
          <w:rFonts w:ascii="Arial" w:hAnsi="Arial"/>
          <w:sz w:val="20"/>
        </w:rPr>
        <w:t>Existe una</w:t>
      </w:r>
      <w:r w:rsidR="00D65F45">
        <w:rPr>
          <w:rStyle w:val="lev"/>
          <w:rFonts w:ascii="Arial" w:hAnsi="Arial"/>
          <w:b w:val="0"/>
          <w:bCs/>
          <w:sz w:val="20"/>
        </w:rPr>
        <w:t xml:space="preserve"> </w:t>
      </w:r>
      <w:r>
        <w:rPr>
          <w:rStyle w:val="lev"/>
          <w:rFonts w:ascii="Arial" w:hAnsi="Arial"/>
          <w:b w:val="0"/>
          <w:bCs/>
          <w:sz w:val="20"/>
        </w:rPr>
        <w:t xml:space="preserve">combinación de transmisión oral tradicional y metodologías de educación modernas que </w:t>
      </w:r>
      <w:r>
        <w:rPr>
          <w:rFonts w:ascii="Arial" w:hAnsi="Arial"/>
          <w:sz w:val="20"/>
        </w:rPr>
        <w:t>ha probado ser un modelo de transmisión efectivo en el país. Los exponentes del PCI y las ONG han mantenido un rol muy activo a este respecto. La transmisión formal y no formal del patrimonio cultural inmaterial por parte de los principales practicantes con “maestrías</w:t>
      </w:r>
      <w:r>
        <w:rPr>
          <w:rFonts w:ascii="Arial" w:hAnsi="Arial"/>
          <w:sz w:val="20"/>
          <w:lang w:val="es-AR"/>
        </w:rPr>
        <w:t>”</w:t>
      </w:r>
      <w:r>
        <w:rPr>
          <w:rFonts w:ascii="Arial" w:hAnsi="Arial"/>
          <w:sz w:val="20"/>
          <w:cs/>
        </w:rPr>
        <w:t xml:space="preserve"> </w:t>
      </w:r>
      <w:r>
        <w:rPr>
          <w:rFonts w:ascii="Arial" w:hAnsi="Arial"/>
          <w:sz w:val="20"/>
        </w:rPr>
        <w:t>es un aspecto habitual de muchas expresiones locales del PCI y lo mismo ocurre de manera informal en las familias, los grupos sociales y las comunidades culturales y, a menudo, por intermedio del aprendizaje de oficios. En las comunidades de las tribus costeras funciona un sistema no oficial de aprendizaje de oficios, al tiempo que el sistema de educación pública también ofrece formación en varios elementos del PCI. En la Universidad Autónoma se han emprendido algunas actividades de enseñanza e investigación con la cooperación de depositarios y practicantes de todos los niveles y a título individual. La ONG “De Vuelta a la Naturaleza</w:t>
      </w:r>
      <w:r>
        <w:rPr>
          <w:rFonts w:ascii="Arial" w:hAnsi="Arial"/>
          <w:sz w:val="20"/>
          <w:lang w:val="es-AR"/>
        </w:rPr>
        <w:t>”</w:t>
      </w:r>
      <w:r>
        <w:rPr>
          <w:rFonts w:ascii="Arial" w:hAnsi="Arial"/>
          <w:sz w:val="20"/>
          <w:cs/>
        </w:rPr>
        <w:t xml:space="preserve"> </w:t>
      </w:r>
      <w:r>
        <w:rPr>
          <w:rFonts w:ascii="Arial" w:hAnsi="Arial"/>
          <w:sz w:val="20"/>
        </w:rPr>
        <w:t xml:space="preserve">brinda caminatas en la naturaleza en las que los asistentes, en general personas jóvenes, aprenden sobre plantas asociadas a la medicina tradicional. Desafortunadamente y debido a un recorte del financiamiento, hace poco comenzaron a cobrar una tarifa por estas </w:t>
      </w:r>
      <w:bookmarkStart w:id="0" w:name="_GoBack"/>
      <w:bookmarkEnd w:id="0"/>
      <w:r>
        <w:rPr>
          <w:rFonts w:ascii="Arial" w:hAnsi="Arial"/>
          <w:sz w:val="20"/>
        </w:rPr>
        <w:t xml:space="preserve">actividades. </w:t>
      </w:r>
    </w:p>
    <w:p w14:paraId="4CE29B23" w14:textId="77777777" w:rsidR="004320EF" w:rsidRPr="00524AE9" w:rsidRDefault="004320EF" w:rsidP="00647F30">
      <w:pPr>
        <w:rPr>
          <w:rFonts w:ascii="Arial" w:hAnsi="Arial"/>
          <w:sz w:val="20"/>
          <w:szCs w:val="20"/>
        </w:rPr>
      </w:pPr>
      <w:r>
        <w:rPr>
          <w:rFonts w:ascii="Arial" w:hAnsi="Arial"/>
          <w:b/>
          <w:sz w:val="20"/>
        </w:rPr>
        <w:t>Área temática VI: Sensibilización</w:t>
      </w:r>
    </w:p>
    <w:p w14:paraId="2C66774A" w14:textId="77777777" w:rsidR="004320EF" w:rsidRPr="00524AE9" w:rsidRDefault="004320EF" w:rsidP="00647F30">
      <w:pPr>
        <w:ind w:left="720"/>
        <w:rPr>
          <w:rFonts w:ascii="Arial" w:hAnsi="Arial"/>
          <w:sz w:val="20"/>
          <w:szCs w:val="20"/>
        </w:rPr>
      </w:pPr>
      <w:r>
        <w:rPr>
          <w:rFonts w:ascii="Arial" w:hAnsi="Arial"/>
          <w:b/>
          <w:i/>
          <w:sz w:val="20"/>
        </w:rPr>
        <w:lastRenderedPageBreak/>
        <w:t>17.1 Las acciones de sensibilización reflejan la participación inclusiva, lo más amplia posible de las comunidades, de los grupos y de los individuos.</w:t>
      </w:r>
    </w:p>
    <w:p w14:paraId="71FB2919" w14:textId="77777777" w:rsidR="004320EF" w:rsidRPr="00524AE9" w:rsidRDefault="004320EF" w:rsidP="00647F30">
      <w:pPr>
        <w:jc w:val="both"/>
        <w:rPr>
          <w:rFonts w:ascii="Arial" w:hAnsi="Arial"/>
          <w:sz w:val="20"/>
          <w:szCs w:val="20"/>
        </w:rPr>
      </w:pPr>
      <w:r>
        <w:rPr>
          <w:rFonts w:ascii="Arial" w:hAnsi="Arial"/>
          <w:sz w:val="20"/>
        </w:rPr>
        <w:t xml:space="preserve">Se han creado diversas medidas para sensibilizar al </w:t>
      </w:r>
      <w:r>
        <w:rPr>
          <w:rStyle w:val="lev"/>
          <w:rFonts w:ascii="Arial" w:hAnsi="Arial"/>
          <w:b w:val="0"/>
          <w:bCs/>
          <w:sz w:val="20"/>
        </w:rPr>
        <w:t>público en general</w:t>
      </w:r>
      <w:r>
        <w:rPr>
          <w:rFonts w:ascii="Arial" w:hAnsi="Arial"/>
          <w:sz w:val="20"/>
        </w:rPr>
        <w:t xml:space="preserve">, y se reconoce la función primordial de los inventarios del PCI. Además de esto, </w:t>
      </w:r>
      <w:r>
        <w:rPr>
          <w:rStyle w:val="lev"/>
          <w:rFonts w:ascii="Arial" w:hAnsi="Arial"/>
          <w:b w:val="0"/>
          <w:bCs/>
          <w:sz w:val="20"/>
        </w:rPr>
        <w:t>ahora se usan los días del patrimonio</w:t>
      </w:r>
      <w:r>
        <w:rPr>
          <w:rFonts w:ascii="Arial" w:hAnsi="Arial"/>
          <w:sz w:val="20"/>
        </w:rPr>
        <w:t xml:space="preserve"> como medio para sensibilizar sobre el PCI y los elementos de este entre la población en general; por otro lado, las celebraciones del Día Nacional que tienen lugar ahora a lo largo y a lo ancho del país también contribuyen a la sensibilización de las personas sobre el PCI nacional. </w:t>
      </w:r>
      <w:r>
        <w:rPr>
          <w:rStyle w:val="lev"/>
          <w:rFonts w:ascii="Arial" w:hAnsi="Arial"/>
          <w:b w:val="0"/>
          <w:bCs/>
          <w:sz w:val="20"/>
        </w:rPr>
        <w:t>En las competiciones</w:t>
      </w:r>
      <w:r>
        <w:rPr>
          <w:rFonts w:ascii="Arial" w:hAnsi="Arial"/>
          <w:sz w:val="20"/>
        </w:rPr>
        <w:t xml:space="preserve"> donde participan los depositarios del patrimonio, incluidos niños en edad escolar, se entregan premios al desempeño. Estas además cumplen una función importante, sobre todo en lo que atañe a la sensibilización de la juventud. Los exponentes del PCI muy cualificados, y a menudo de mayor edad, han ganado el reconocimiento público como </w:t>
      </w:r>
      <w:r>
        <w:rPr>
          <w:rFonts w:ascii="Arial" w:hAnsi="Arial"/>
          <w:sz w:val="20"/>
          <w:lang w:val="es-AR"/>
        </w:rPr>
        <w:t>“</w:t>
      </w:r>
      <w:r>
        <w:rPr>
          <w:rFonts w:ascii="Arial" w:hAnsi="Arial"/>
          <w:sz w:val="20"/>
        </w:rPr>
        <w:t>Tesoros Humanos Vivientes</w:t>
      </w:r>
      <w:r>
        <w:rPr>
          <w:rFonts w:ascii="Arial" w:hAnsi="Arial"/>
          <w:sz w:val="20"/>
          <w:lang w:val="es-AR"/>
        </w:rPr>
        <w:t>”</w:t>
      </w:r>
      <w:r>
        <w:rPr>
          <w:rFonts w:ascii="Arial" w:hAnsi="Arial"/>
          <w:sz w:val="20"/>
        </w:rPr>
        <w:t xml:space="preserve">, lo que también ha contribuido a la sensibilización popular sobre el PCI. Los medios de comunicación, en especial </w:t>
      </w:r>
      <w:r>
        <w:rPr>
          <w:rStyle w:val="lev"/>
          <w:rFonts w:ascii="Arial" w:hAnsi="Arial"/>
          <w:b w:val="0"/>
          <w:bCs/>
          <w:sz w:val="20"/>
        </w:rPr>
        <w:t>la radio</w:t>
      </w:r>
      <w:r>
        <w:rPr>
          <w:rFonts w:ascii="Arial" w:hAnsi="Arial"/>
          <w:sz w:val="20"/>
        </w:rPr>
        <w:t xml:space="preserve"> y la </w:t>
      </w:r>
      <w:r>
        <w:rPr>
          <w:rStyle w:val="lev"/>
          <w:rFonts w:ascii="Arial" w:hAnsi="Arial"/>
          <w:b w:val="0"/>
          <w:bCs/>
          <w:sz w:val="20"/>
        </w:rPr>
        <w:t>televisión, ahora cuentan con programas dedicados a los distintos elementos del PCI (por ejemplo, la cocina tradicional), con llegada a un público amplio, sobre todo porque sus transmisiones se hacen en los idiomas locales.</w:t>
      </w:r>
      <w:r>
        <w:rPr>
          <w:rFonts w:ascii="Arial" w:hAnsi="Arial"/>
          <w:sz w:val="20"/>
        </w:rPr>
        <w:t xml:space="preserve"> </w:t>
      </w:r>
    </w:p>
    <w:sectPr w:rsidR="004320EF" w:rsidRPr="00524AE9" w:rsidSect="00647F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357F" w14:textId="77777777" w:rsidR="004320EF" w:rsidRDefault="004320EF" w:rsidP="00647F30">
      <w:pPr>
        <w:spacing w:after="0" w:line="240" w:lineRule="auto"/>
      </w:pPr>
      <w:r>
        <w:separator/>
      </w:r>
    </w:p>
  </w:endnote>
  <w:endnote w:type="continuationSeparator" w:id="0">
    <w:p w14:paraId="3F68D954" w14:textId="77777777" w:rsidR="004320EF" w:rsidRDefault="004320EF" w:rsidP="0064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5152" w14:textId="6FD55B8C" w:rsidR="004320EF" w:rsidRPr="008E320D" w:rsidRDefault="00691083" w:rsidP="00647F30">
    <w:pPr>
      <w:pStyle w:val="Pieddepage"/>
      <w:tabs>
        <w:tab w:val="left" w:pos="2093"/>
      </w:tabs>
      <w:rPr>
        <w:rFonts w:ascii="Arial" w:hAnsi="Arial"/>
        <w:sz w:val="16"/>
        <w:szCs w:val="16"/>
      </w:rPr>
    </w:pPr>
    <w:r>
      <w:rPr>
        <w:noProof/>
        <w:lang w:val="fr-FR" w:eastAsia="fr-FR"/>
      </w:rPr>
      <w:pict w14:anchorId="2C0D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68.4pt;margin-top:-12.35pt;width:58.55pt;height:42.7pt;z-index:251659264">
          <v:imagedata r:id="rId1" o:title=""/>
        </v:shape>
      </w:pict>
    </w:r>
    <w:r>
      <w:rPr>
        <w:noProof/>
        <w:lang w:val="es-AR" w:eastAsia="es-AR"/>
      </w:rPr>
      <w:pict w14:anchorId="356B1562">
        <v:shape id="Picture 6" o:spid="_x0000_s2049" type="#_x0000_t75" style="position:absolute;margin-left:200.25pt;margin-top:.65pt;width:42.7pt;height:14.9pt;z-index:251658240;visibility:visible" wrapcoords="-379 0 -379 20520 21600 20520 21600 0 -379 0">
          <v:imagedata r:id="rId2" o:title=""/>
          <w10:wrap type="through"/>
        </v:shape>
      </w:pict>
    </w:r>
    <w:r w:rsidR="004320EF">
      <w:rPr>
        <w:rFonts w:ascii="Arial" w:hAnsi="Arial"/>
        <w:sz w:val="16"/>
      </w:rPr>
      <w:t>U059-v1.0-HO1-ES</w:t>
    </w:r>
    <w:r w:rsidR="004320EF">
      <w:rPr>
        <w:rFonts w:ascii="Arial" w:hAnsi="Arial"/>
        <w:sz w:val="16"/>
      </w:rPr>
      <w:tab/>
    </w:r>
    <w:r w:rsidR="004320EF">
      <w:rPr>
        <w:rFonts w:ascii="Arial" w:hAnsi="Arial"/>
        <w:sz w:val="16"/>
      </w:rPr>
      <w:tab/>
    </w:r>
    <w:r w:rsidR="004320EF">
      <w:rPr>
        <w:rFonts w:ascii="Arial" w:hAnsi="Arial"/>
        <w:sz w:val="16"/>
      </w:rPr>
      <w:tab/>
    </w:r>
  </w:p>
  <w:p w14:paraId="6AC68A42" w14:textId="77777777" w:rsidR="004320EF" w:rsidRDefault="004320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48E68" w14:textId="77777777" w:rsidR="004320EF" w:rsidRDefault="004320EF" w:rsidP="00647F30">
      <w:pPr>
        <w:spacing w:after="0" w:line="240" w:lineRule="auto"/>
      </w:pPr>
      <w:r>
        <w:separator/>
      </w:r>
    </w:p>
  </w:footnote>
  <w:footnote w:type="continuationSeparator" w:id="0">
    <w:p w14:paraId="0C4C86FE" w14:textId="77777777" w:rsidR="004320EF" w:rsidRDefault="004320EF" w:rsidP="0064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6482" w14:textId="77777777" w:rsidR="004320EF" w:rsidRPr="00D10FA4" w:rsidRDefault="004320EF" w:rsidP="00647F30">
    <w:pPr>
      <w:pStyle w:val="En-tte"/>
      <w:rPr>
        <w:rFonts w:ascii="Arial" w:hAnsi="Arial"/>
        <w:sz w:val="16"/>
        <w:szCs w:val="16"/>
      </w:rPr>
    </w:pPr>
    <w:r>
      <w:rPr>
        <w:rFonts w:ascii="Arial" w:hAnsi="Arial"/>
        <w:sz w:val="16"/>
      </w:rPr>
      <w:tab/>
      <w:t>Folleto</w:t>
    </w:r>
  </w:p>
  <w:p w14:paraId="7BC3BE58" w14:textId="77777777" w:rsidR="004320EF" w:rsidRDefault="004320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DF0"/>
    <w:multiLevelType w:val="hybridMultilevel"/>
    <w:tmpl w:val="DCF652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CE143A"/>
    <w:multiLevelType w:val="hybridMultilevel"/>
    <w:tmpl w:val="3294AF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545EAC"/>
    <w:multiLevelType w:val="multilevel"/>
    <w:tmpl w:val="E1DEAED6"/>
    <w:lvl w:ilvl="0">
      <w:start w:val="5"/>
      <w:numFmt w:val="decimal"/>
      <w:lvlText w:val="%1"/>
      <w:lvlJc w:val="left"/>
      <w:pPr>
        <w:ind w:left="360" w:hanging="360"/>
      </w:pPr>
      <w:rPr>
        <w:rFonts w:cs="Times New Roman" w:hint="default"/>
      </w:rPr>
    </w:lvl>
    <w:lvl w:ilvl="1">
      <w:start w:val="1"/>
      <w:numFmt w:val="decimal"/>
      <w:lvlText w:val="2.%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3" w15:restartNumberingAfterBreak="0">
    <w:nsid w:val="5BEB212C"/>
    <w:multiLevelType w:val="multilevel"/>
    <w:tmpl w:val="A094F0A6"/>
    <w:lvl w:ilvl="0">
      <w:start w:val="1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6B8E74E0"/>
    <w:multiLevelType w:val="hybridMultilevel"/>
    <w:tmpl w:val="E9CE04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C62776"/>
    <w:multiLevelType w:val="hybridMultilevel"/>
    <w:tmpl w:val="4B0EA7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814"/>
    <w:rsid w:val="00300DFC"/>
    <w:rsid w:val="004320EF"/>
    <w:rsid w:val="00524AE9"/>
    <w:rsid w:val="00647F30"/>
    <w:rsid w:val="00691083"/>
    <w:rsid w:val="00695DFE"/>
    <w:rsid w:val="008D0C03"/>
    <w:rsid w:val="008E320D"/>
    <w:rsid w:val="00A4092A"/>
    <w:rsid w:val="00AF2814"/>
    <w:rsid w:val="00CD65B6"/>
    <w:rsid w:val="00D10FA4"/>
    <w:rsid w:val="00D65F45"/>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71C0236"/>
  <w14:defaultImageDpi w14:val="0"/>
  <w15:docId w15:val="{7B5AE992-67D7-44E0-83B7-7956283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240" w:after="0"/>
      <w:outlineLvl w:val="0"/>
    </w:pPr>
    <w:rPr>
      <w:rFonts w:ascii="Cambria" w:eastAsia="MS Gothic" w:hAnsi="Cambria" w:cs="Times New Roman"/>
      <w:color w:val="365F9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eastAsia="MS Gothic" w:hAnsi="Cambria"/>
      <w:color w:val="365F91"/>
      <w:sz w:val="32"/>
      <w:lang w:val="es-ES" w:eastAsia="es-ES"/>
    </w:rPr>
  </w:style>
  <w:style w:type="paragraph" w:styleId="Paragraphedeliste">
    <w:name w:val="List Paragraph"/>
    <w:basedOn w:val="Normal"/>
    <w:uiPriority w:val="34"/>
    <w:qFormat/>
    <w:pPr>
      <w:spacing w:after="160" w:line="259" w:lineRule="auto"/>
      <w:ind w:left="720"/>
      <w:contextualSpacing/>
    </w:pPr>
    <w:rPr>
      <w:rFonts w:cs="Times New Roman"/>
    </w:rPr>
  </w:style>
  <w:style w:type="character" w:styleId="lev">
    <w:name w:val="Strong"/>
    <w:basedOn w:val="Policepardfaut"/>
    <w:uiPriority w:val="22"/>
    <w:qFormat/>
    <w:rPr>
      <w:b/>
      <w:lang w:val="es-ES" w:eastAsia="es-E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Pr>
      <w:rFonts w:ascii="Segoe UI" w:hAnsi="Segoe UI"/>
      <w:sz w:val="18"/>
      <w:lang w:val="es-ES" w:eastAsia="es-E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Pr>
      <w:rFonts w:cs="Times New Roman"/>
    </w:rPr>
  </w:style>
  <w:style w:type="paragraph" w:customStyle="1" w:styleId="Chapitre">
    <w:name w:val="Chapitre"/>
    <w:basedOn w:val="Titre1"/>
    <w:pPr>
      <w:pBdr>
        <w:bottom w:val="single" w:sz="4" w:space="14" w:color="3366FF"/>
      </w:pBdr>
      <w:tabs>
        <w:tab w:val="left" w:pos="567"/>
      </w:tabs>
      <w:snapToGrid w:val="0"/>
      <w:spacing w:after="480" w:line="840" w:lineRule="exact"/>
    </w:pPr>
    <w:rPr>
      <w:rFonts w:ascii="Arial" w:eastAsia="Times New Roman" w:hAnsi="Arial" w:cs="Arial"/>
      <w:b/>
      <w:bCs/>
      <w:caps/>
      <w:noProof/>
      <w:color w:val="3366FF"/>
      <w:kern w:val="28"/>
      <w:sz w:val="70"/>
      <w:szCs w:val="70"/>
    </w:rPr>
  </w:style>
  <w:style w:type="paragraph" w:customStyle="1" w:styleId="HO1">
    <w:name w:val="HO1"/>
    <w:basedOn w:val="Normal"/>
    <w:link w:val="HO1Car"/>
    <w:pPr>
      <w:keepNext/>
      <w:keepLines/>
      <w:tabs>
        <w:tab w:val="left" w:pos="567"/>
      </w:tabs>
      <w:snapToGrid w:val="0"/>
      <w:spacing w:before="480" w:after="0" w:line="480" w:lineRule="exact"/>
      <w:outlineLvl w:val="0"/>
    </w:pPr>
    <w:rPr>
      <w:rFonts w:ascii="Arial" w:hAnsi="Arial"/>
      <w:b/>
      <w:bCs/>
      <w:noProof/>
      <w:color w:val="3366FF"/>
      <w:kern w:val="28"/>
      <w:sz w:val="32"/>
      <w:szCs w:val="32"/>
    </w:rPr>
  </w:style>
  <w:style w:type="character" w:customStyle="1" w:styleId="HO1Car">
    <w:name w:val="HO1 Car"/>
    <w:link w:val="HO1"/>
    <w:locked/>
    <w:rPr>
      <w:rFonts w:ascii="Arial" w:hAnsi="Arial"/>
      <w:b/>
      <w:noProof/>
      <w:color w:val="3366FF"/>
      <w:kern w:val="28"/>
      <w:sz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Luffi</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Undurraga, Maria-Paz</dc:creator>
  <cp:keywords/>
  <dc:description/>
  <cp:lastModifiedBy>Maria-Paz Fernandez Undurraga</cp:lastModifiedBy>
  <cp:revision>5</cp:revision>
  <dcterms:created xsi:type="dcterms:W3CDTF">2020-02-12T12:49:00Z</dcterms:created>
  <dcterms:modified xsi:type="dcterms:W3CDTF">2020-02-27T16:14:00Z</dcterms:modified>
</cp:coreProperties>
</file>